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1-1: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济南市对章丘区</w:t>
      </w:r>
      <w:r>
        <w:rPr>
          <w:rFonts w:hint="eastAsia" w:ascii="方正小标宋简体" w:hAnsi="Times New Roman" w:eastAsia="方正小标宋简体"/>
          <w:sz w:val="44"/>
          <w:szCs w:val="44"/>
        </w:rPr>
        <w:t>一般公共预算安排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税收返还及</w:t>
      </w:r>
      <w:r>
        <w:rPr>
          <w:rFonts w:hint="eastAsia" w:ascii="方正小标宋简体" w:hAnsi="Times New Roman" w:eastAsia="方正小标宋简体"/>
          <w:sz w:val="44"/>
          <w:szCs w:val="44"/>
        </w:rPr>
        <w:t>转移支付情况的说明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年济南市对章丘区税收返还和转移支付预算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62500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</w:t>
      </w:r>
      <w:bookmarkStart w:id="8" w:name="_GoBack"/>
      <w:bookmarkEnd w:id="8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一、税收返还</w:t>
      </w:r>
    </w:p>
    <w:p>
      <w:pPr>
        <w:kinsoku w:val="0"/>
        <w:overflowPunct w:val="0"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对下</w:t>
      </w:r>
      <w:r>
        <w:rPr>
          <w:rFonts w:hint="eastAsia" w:ascii="Times New Roman" w:hAnsi="Times New Roman" w:eastAsia="仿宋_GB2312"/>
          <w:sz w:val="32"/>
          <w:szCs w:val="32"/>
        </w:rPr>
        <w:t>税收返还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预算安排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26562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，包括</w:t>
      </w:r>
      <w:r>
        <w:rPr>
          <w:rFonts w:ascii="Times New Roman" w:hAnsi="Times New Roman" w:eastAsia="仿宋_GB2312"/>
          <w:sz w:val="32"/>
          <w:szCs w:val="32"/>
        </w:rPr>
        <w:t>：所得税基数返还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9938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成品油税费改革税收返还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1872万元，</w:t>
      </w:r>
      <w:r>
        <w:rPr>
          <w:rFonts w:ascii="Times New Roman" w:hAnsi="Times New Roman" w:eastAsia="仿宋_GB2312"/>
          <w:sz w:val="32"/>
          <w:szCs w:val="32"/>
        </w:rPr>
        <w:t>增值税税收返还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18176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增值税“五五分享”税收返还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-5870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其他税收返还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2446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二、一般性转移支付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年对下级一般性转移支付预算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35938万元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产粮油大县奖励资金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1961万元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，主要用于保障粮食生产。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固定数额补助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预算3500万元，主要用于农村税费改革和调整工资。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企事业单位划转补助收入1423万元，主要用于划转企事业单位运转及人员经费。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欠发达地区转移支付收入60万元，主要用于巩固脱贫衔接乡村振兴。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共同财政事权转移支付27225万元，主要用于公共安全、教育、社会保障、医疗卫生、农林水、住房保障等方面的支出。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其他一般性转移支付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预算1753万元，主要用于农村综合改革、退役安置补助、少数民族补贴、高校毕业生“三支一扶”计划补助、军休干部医疗补助、公共体育场馆向社会免费或低收费开放补助等方面支出。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三、专项转移支付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年对下级专项转移支付预算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299万元。其中用于重大传染病防控262万元、土地指标跨省域调剂收入安排支出（厕所革命）37万元。</w:t>
      </w: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1-2: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区对下</w:t>
      </w:r>
      <w:r>
        <w:rPr>
          <w:rFonts w:hint="eastAsia" w:ascii="方正小标宋简体" w:hAnsi="Times New Roman" w:eastAsia="方正小标宋简体"/>
          <w:sz w:val="44"/>
          <w:szCs w:val="44"/>
        </w:rPr>
        <w:t>一般公共预算安排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税收返还及</w:t>
      </w:r>
      <w:r>
        <w:rPr>
          <w:rFonts w:hint="eastAsia" w:ascii="方正小标宋简体" w:hAnsi="Times New Roman" w:eastAsia="方正小标宋简体"/>
          <w:sz w:val="44"/>
          <w:szCs w:val="44"/>
        </w:rPr>
        <w:t>转移支付情况的说明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年区对垛庄镇税收返还和转移支付预算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1800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一、税收返还</w:t>
      </w:r>
    </w:p>
    <w:p>
      <w:pPr>
        <w:kinsoku w:val="0"/>
        <w:overflowPunct w:val="0"/>
        <w:autoSpaceDE w:val="0"/>
        <w:autoSpaceDN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区对垛庄镇未安排</w:t>
      </w:r>
      <w:r>
        <w:rPr>
          <w:rFonts w:hint="eastAsia" w:ascii="Times New Roman" w:hAnsi="Times New Roman" w:eastAsia="仿宋_GB2312"/>
          <w:sz w:val="32"/>
          <w:szCs w:val="32"/>
        </w:rPr>
        <w:t>税收返还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二、一般性转移支付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年区对垛庄镇一般性转移支付预算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1183万元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，其中：其他一般性转移支付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1183万元，主要用于垛庄镇人员经费和机关运转。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三、专项转移支付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年区对垛庄镇专项转移支付预算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617万元。其中用于占地补偿40万元、弃渣清运67万元、机关综合运转项目150万元、长期聘用及劳务派遣人员劳务费115万元、小城镇基础设施建设项目245万元。</w:t>
      </w: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1-3：</w:t>
      </w:r>
    </w:p>
    <w:p>
      <w:pPr>
        <w:spacing w:line="600" w:lineRule="exact"/>
        <w:jc w:val="left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方正小标宋简体" w:hAnsi="Times New Roman" w:eastAsia="方正小标宋简体"/>
          <w:sz w:val="44"/>
          <w:szCs w:val="44"/>
        </w:rPr>
        <w:t>2022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济南市</w:t>
      </w:r>
      <w:r>
        <w:rPr>
          <w:rFonts w:ascii="Times New Roman" w:hAnsi="Times New Roman" w:eastAsia="方正小标宋简体"/>
          <w:sz w:val="44"/>
          <w:szCs w:val="44"/>
        </w:rPr>
        <w:t>对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章丘区</w:t>
      </w:r>
      <w:r>
        <w:rPr>
          <w:rFonts w:ascii="Times New Roman" w:hAnsi="Times New Roman" w:eastAsia="方正小标宋简体"/>
          <w:sz w:val="44"/>
          <w:szCs w:val="44"/>
        </w:rPr>
        <w:t>政府性基金预算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转移支付预算情况的说明</w:t>
      </w: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济南市</w:t>
      </w:r>
      <w:r>
        <w:rPr>
          <w:rFonts w:ascii="Times New Roman" w:hAnsi="Times New Roman" w:eastAsia="仿宋_GB2312"/>
          <w:sz w:val="32"/>
          <w:szCs w:val="32"/>
        </w:rPr>
        <w:t>安排对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章丘区</w:t>
      </w:r>
      <w:r>
        <w:rPr>
          <w:rFonts w:ascii="Times New Roman" w:hAnsi="Times New Roman" w:eastAsia="仿宋_GB2312"/>
          <w:sz w:val="32"/>
          <w:szCs w:val="32"/>
        </w:rPr>
        <w:t>政府性基金预算转移支付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2293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万元，其中用于工业强市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990万元，国家重大水利工程建设基金[三峡工程后续工作]131万元，大中型水库移民后期扶持基金1038万元，公共体育事业发展12万元，彩票公益金支持城乡医疗救助、残疾人事业发展、社会福利事业支出92万元、优抚对象医疗补助29万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预估济南市对章丘区</w:t>
      </w:r>
      <w:r>
        <w:rPr>
          <w:rFonts w:ascii="Times New Roman" w:hAnsi="Times New Roman" w:eastAsia="仿宋_GB2312"/>
          <w:sz w:val="32"/>
          <w:szCs w:val="32"/>
        </w:rPr>
        <w:t>政府性基金预算转移支付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428705万元，用于债务还本付息及重点项目建设。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br w:type="page"/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1-4：</w:t>
      </w:r>
    </w:p>
    <w:p>
      <w:pPr>
        <w:spacing w:line="600" w:lineRule="exact"/>
        <w:jc w:val="left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方正小标宋简体" w:hAnsi="Times New Roman" w:eastAsia="方正小标宋简体"/>
          <w:sz w:val="44"/>
          <w:szCs w:val="44"/>
        </w:rPr>
        <w:t>2022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区</w:t>
      </w:r>
      <w:r>
        <w:rPr>
          <w:rFonts w:ascii="Times New Roman" w:hAnsi="Times New Roman" w:eastAsia="方正小标宋简体"/>
          <w:sz w:val="44"/>
          <w:szCs w:val="44"/>
        </w:rPr>
        <w:t>对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下</w:t>
      </w:r>
      <w:r>
        <w:rPr>
          <w:rFonts w:ascii="Times New Roman" w:hAnsi="Times New Roman" w:eastAsia="方正小标宋简体"/>
          <w:sz w:val="44"/>
          <w:szCs w:val="44"/>
        </w:rPr>
        <w:t>政府性基金预算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转移支付预算情况的说明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2022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无</w:t>
      </w:r>
      <w:r>
        <w:rPr>
          <w:rFonts w:ascii="Times New Roman" w:hAnsi="Times New Roman" w:eastAsia="仿宋_GB2312"/>
          <w:sz w:val="32"/>
          <w:szCs w:val="32"/>
          <w:highlight w:val="none"/>
        </w:rPr>
        <w:t>对下政府性基金预算转移支付。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1-5：</w:t>
      </w:r>
    </w:p>
    <w:p>
      <w:pPr>
        <w:spacing w:line="600" w:lineRule="exact"/>
        <w:jc w:val="left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方正小标宋简体" w:hAnsi="Times New Roman" w:eastAsia="方正小标宋简体"/>
          <w:sz w:val="44"/>
          <w:szCs w:val="44"/>
        </w:rPr>
        <w:t>2022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济南市对章丘区国有资本经营预算</w:t>
      </w:r>
      <w:r>
        <w:rPr>
          <w:rFonts w:ascii="Times New Roman" w:hAnsi="Times New Roman" w:eastAsia="方正小标宋简体"/>
          <w:sz w:val="44"/>
          <w:szCs w:val="44"/>
        </w:rPr>
        <w:t>转移支付预算情况的说明</w:t>
      </w: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济南市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章丘区</w:t>
      </w:r>
      <w:r>
        <w:rPr>
          <w:rFonts w:ascii="Times New Roman" w:hAnsi="Times New Roman" w:eastAsia="仿宋_GB2312" w:cs="Times New Roman"/>
          <w:sz w:val="32"/>
          <w:szCs w:val="32"/>
        </w:rPr>
        <w:t>国有资本经营预算转移支付预算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1-6：</w:t>
      </w:r>
    </w:p>
    <w:p>
      <w:pPr>
        <w:spacing w:line="600" w:lineRule="exact"/>
        <w:jc w:val="left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关于</w:t>
      </w:r>
      <w:r>
        <w:rPr>
          <w:rFonts w:hint="eastAsia" w:ascii="方正小标宋简体" w:hAnsi="Times New Roman" w:eastAsia="方正小标宋简体"/>
          <w:sz w:val="44"/>
          <w:szCs w:val="44"/>
        </w:rPr>
        <w:t>2022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区对下国有资本经营预算</w:t>
      </w:r>
      <w:r>
        <w:rPr>
          <w:rFonts w:ascii="Times New Roman" w:hAnsi="Times New Roman" w:eastAsia="方正小标宋简体"/>
          <w:sz w:val="44"/>
          <w:szCs w:val="44"/>
        </w:rPr>
        <w:t>转移支付预算情况的说明</w:t>
      </w: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对下国有资本经营预算转移支付。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left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地方政府债务2021年执行及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2022年预算有关情况的说明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一、2021年全区地方政府债务限额情况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经国务院批准，上级核定章丘区2021年地方政府债务限额1520490万元。其中，新增债务限额323600万元。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二、2021年全区地方政府债务举借情况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2021年全区共发行政府债券435206万元，其中：新增债券323600万元，全部为新增专项债券；再融资债券111606万元，包含再融资一般债券46326万元、再融资专项债券65280万元。截至 2021年底，全区政府债务余额1421051万元，其中一般债务余额158905万元、专项债务余额1262146万元。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关于加强地方政府性债务管理的意见》（国发〔2014〕43号）、《财政部关于对地方政府债务实行限额管理的实施意见》（财预〔2015〕225号）和《财政部关于印发&lt;地方政府债务信息公开办法（试行）&gt;的通知》（财预〔2018〕209号）等规定，2021年历次发行政府债券举借政府债务的相关信息，均已按规定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三、2022年全区政府债务收支计划情况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2022年全区政府债务收入343980万元。其中，预计发行新增政府债券收入300000万元，全部为新增专项债券；发行再融资债券收入43980万元，其中再融资一般债券收入16629万元、再融资专项债券27351万元。预计全区政府债务支出安排343980万元。其中，新增一般债券项目支出0万元，新增专项债券项目支出300000万元，在融资债券还本支出43980万元。另外预算内资金安排到期债务还本支出4887万元，其中一般公共预算安排一般债务还本1848万元、政府性基金预算安排专项债务还本支出3039万元。按照上述安排，以2021年末全区政府债务余额为基数，加上2022年政府债务收入，减去2022年债务还本支出后，预计2022年末全区政府债务余额为1716164万元。此外，2022年全区预算需安排债务利息支出53295万元，其中一般债务付息5700万元、专项债务付息47595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四、2022年区本级政府债务收支计划情况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计2022年区本级政府债务收入343980万元。其中，预计发行新增政府债券收入300000万元，全部为新增专项债券；发行再融资债券收入43980万元，其中再融资一般债券收入16629万元、再融资专项债券27351万元。预计区本级政府债务支出安排343980万元。其中，新增一般债券项目支出0万元，新增专项债券项目支出300000万元，在融资债券还本支出43980万元。另外预算内资金安排到期债务还本支出4887万元，其中一般公共预算安排一般债务还本1848万元、政府性基金预算安排专项债务还本支出3039万元。按照上述安排，以2021年末区本级政府债务余额为基数，加上2022年政府债务收入，减去2022年债务还本支出后，预计2022年末区本级政府债务余额为1716164万元。此外，2022年区本级预算需安排债务利息支出53295万元，其中一般债务付息5700万元、专项债务付息47595万元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说明3：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2022年区本级三公经费情况说明</w:t>
      </w:r>
    </w:p>
    <w:p>
      <w:pPr>
        <w:rPr>
          <w:rFonts w:hint="eastAsia"/>
          <w:lang w:val="en-US" w:eastAsia="zh-CN"/>
        </w:rPr>
      </w:pPr>
    </w:p>
    <w:p>
      <w:pPr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PO_part2Public_Year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年本级财政拨款安排“三公”经费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，比上年</w:t>
      </w:r>
      <w:bookmarkStart w:id="1" w:name="PO_part2Public_Compare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bookmarkStart w:id="2" w:name="PO_part2Public_Reason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，原因是严格落实过紧日子要求，大力压减行政运行成本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其中：因公出国（境）支出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3" w:name="PO_part2PublicAbroad_Reason"/>
      <w:r>
        <w:rPr>
          <w:rFonts w:hint="eastAsia" w:ascii="仿宋_GB2312" w:hAnsi="仿宋_GB2312" w:eastAsia="仿宋_GB2312" w:cs="仿宋_GB2312"/>
          <w:sz w:val="32"/>
          <w:szCs w:val="32"/>
        </w:rPr>
        <w:t>较上年持平，无增减变化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；公务用车购置及运行维护支出</w:t>
      </w:r>
      <w:bookmarkStart w:id="4" w:name="PO_part2PublicCar_Amount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1236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，较上年持平，无增减变化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万元，比上年减少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5" w:name="PO_part2PublicCar_Reason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主要是公务用车数量减少，车辆维修维护费用相应减少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，比上年</w:t>
      </w:r>
      <w:bookmarkStart w:id="6" w:name="PO_part2PublicRecept_Compare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7" w:name="PO_part2PublicRecept_Reason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主要是各部门认真贯彻落实厉行节约有关规定，进一步压减公务接待活动经费开支规模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bookmarkEnd w:id="7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说明4：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-2400300</wp:posOffset>
                </wp:positionH>
                <wp:positionV relativeFrom="paragraph">
                  <wp:posOffset>-99060</wp:posOffset>
                </wp:positionV>
                <wp:extent cx="113665" cy="99060"/>
                <wp:effectExtent l="4445" t="4445" r="1524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"/>
                              <w:tblW w:w="324" w:type="dxa"/>
                              <w:tblInd w:w="18" w:type="dxa"/>
                              <w:tblBorders>
                                <w:top w:val="single" w:color="FFFFFF" w:sz="4" w:space="0"/>
                                <w:left w:val="single" w:color="FFFFFF" w:sz="4" w:space="0"/>
                                <w:bottom w:val="single" w:color="FFFFFF" w:sz="4" w:space="0"/>
                                <w:right w:val="single" w:color="FFFFFF" w:sz="4" w:space="0"/>
                                <w:insideH w:val="single" w:color="FFFFFF" w:sz="4" w:space="0"/>
                                <w:insideV w:val="single" w:color="FFFFFF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4"/>
                            </w:tblGrid>
                            <w:tr>
                              <w:tblPrEx>
                                <w:tblBorders>
                                  <w:top w:val="single" w:color="FFFFFF" w:sz="4" w:space="0"/>
                                  <w:left w:val="single" w:color="FFFFFF" w:sz="4" w:space="0"/>
                                  <w:bottom w:val="single" w:color="FFFFFF" w:sz="4" w:space="0"/>
                                  <w:right w:val="single" w:color="FFFFFF" w:sz="4" w:space="0"/>
                                  <w:insideH w:val="single" w:color="FFFFFF" w:sz="4" w:space="0"/>
                                  <w:insideV w:val="single" w:color="FFFFF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color="FFFFFF" w:sz="4" w:space="0"/>
                                    <w:left w:val="single" w:color="FFFFFF" w:sz="4" w:space="0"/>
                                    <w:bottom w:val="single" w:color="FFFFFF" w:sz="4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9pt;margin-top:-7.8pt;height:7.8pt;width:8.95pt;z-index:251659264;mso-width-relative:page;mso-height-relative:page;" fillcolor="#FFFFFF" filled="t" stroked="t" coordsize="21600,21600" o:gfxdata="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/sJGNoAAAAKAQAADwAAAAAAAAAB&#10;ACAAAAAiAAAAZHJzL2Rvd25yZXYueG1sUEsBAhQAFAAAAAgAh07iQIZSaa8OAgAAQg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2"/>
                        <w:tblW w:w="324" w:type="dxa"/>
                        <w:tblInd w:w="18" w:type="dxa"/>
                        <w:tblBorders>
                          <w:top w:val="single" w:color="FFFFFF" w:sz="4" w:space="0"/>
                          <w:left w:val="single" w:color="FFFFFF" w:sz="4" w:space="0"/>
                          <w:bottom w:val="single" w:color="FFFFFF" w:sz="4" w:space="0"/>
                          <w:right w:val="single" w:color="FFFFFF" w:sz="4" w:space="0"/>
                          <w:insideH w:val="single" w:color="FFFFFF" w:sz="4" w:space="0"/>
                          <w:insideV w:val="single" w:color="FFFFFF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4"/>
                      </w:tblGrid>
                      <w:tr>
                        <w:tblPrEx>
                          <w:tblBorders>
                            <w:top w:val="single" w:color="FFFFFF" w:sz="4" w:space="0"/>
                            <w:left w:val="single" w:color="FFFFFF" w:sz="4" w:space="0"/>
                            <w:bottom w:val="single" w:color="FFFFFF" w:sz="4" w:space="0"/>
                            <w:right w:val="single" w:color="FFFFFF" w:sz="4" w:space="0"/>
                            <w:insideH w:val="single" w:color="FFFFFF" w:sz="4" w:space="0"/>
                            <w:insideV w:val="single" w:color="FFFFF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0" w:hRule="atLeast"/>
                        </w:trPr>
                        <w:tc>
                          <w:tcPr>
                            <w:tcW w:w="324" w:type="dxa"/>
                            <w:tcBorders>
                              <w:top w:val="single" w:color="FFFFFF" w:sz="4" w:space="0"/>
                              <w:left w:val="single" w:color="FFFFFF" w:sz="4" w:space="0"/>
                              <w:bottom w:val="single" w:color="FFFFFF" w:sz="4" w:space="0"/>
                              <w:right w:val="nil"/>
                            </w:tcBorders>
                          </w:tcPr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关于2021年章丘区预算绩效管理</w:t>
      </w:r>
    </w:p>
    <w:p>
      <w:pPr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工作开展情况的说明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2021年，是深化预算管理制度改革的关键之年，也是章丘区全面推进预算绩效管理的攻坚之年，按照省、 市“预算绩效管理扩围提质年”活动要求,章丘区基本建成“全方位、全过程、全覆盖”的预算绩效管理体系，预算绩效管理工作稳步推进，预算绩效管理改革取得明显成效。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一、基础制度体系不断完善。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一是加快构建标准科学、制度完备、规范 高效的绩效管理基础支撑体系，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“1+2+N”的制度框架基本搭建完毕；二是宣传培训不断加强，开展各类培训及业务学习交流4次，参训人数达到800人次；积极进行宣传报道，分别被人民网、新华网、大众网等中央、省级媒体报道10余次，营造良好的绩效管理工作氛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二、事前评估和绩效目标管理不断强化。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按照预算编制要求，开展项目库入库评审。对事前评估不过关、绩效目标不明确、预期效果不明显的项目实行一票否决，不予入库，累计完成评审项目430个，评审金额达到24.51亿元，废除项目16个，压减金额达到1843万元；二是绩效目标管理范围、规模进一步扩大，编报质量进一步提升。一般公共预算、政府性基金预算、国有资本经营预算总计341个年初项目全部编制绩效目标，并按要求与部门预算同步批复、同步公开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三、事中监控及事后评价质量不断提高。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2021年，组织对所有项目跟踪监控及自评进行全面审核和辅导,进一步压实部门单位绩效管理主体责任，提高自评及监控真实性和有效性。全区选取30个重大政策和项目开展财政重点绩效评价，项目金额合计3.48亿元，涉及23个区级预算部门（单位），辐射农业、水利、环保、卫生健康等领域，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自评情况及重点评价情况随政府及部门决算同步公开。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四是各项特色试点工作不断推进。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2021年部门整体绩效管理先试点后全面，以点带面，实现整体绩效目标编报和评价全覆盖，并探索开展部门整体财政重点评价；二是试点开展政府财政运行综合绩效管理，将章丘区垛庄镇作为政府财政运行综合绩效管理试点，以此引导高质量发展，不断提高收入质量、优化支出结构，提高财政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资源配置效率；三是项目成本效益分析、重大政策和项目全周期跟踪问效等试点工作按时完成，实现预期效果，为下一步由点及面、全面铺开奠定坚实基础。</w:t>
      </w:r>
    </w:p>
    <w:p>
      <w:pPr>
        <w:snapToGrid w:val="0"/>
        <w:spacing w:line="360" w:lineRule="auto"/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  </w:t>
      </w:r>
    </w:p>
    <w:sectPr>
      <w:pgSz w:w="11906" w:h="16838"/>
      <w:pgMar w:top="2041" w:right="1701" w:bottom="204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35F2C"/>
    <w:multiLevelType w:val="singleLevel"/>
    <w:tmpl w:val="C5835F2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N2YwYmE2Yzk4NzUyZjFiMTIxMTBmZGZlOTBhYjEifQ=="/>
  </w:docVars>
  <w:rsids>
    <w:rsidRoot w:val="00000000"/>
    <w:rsid w:val="032F6AFA"/>
    <w:rsid w:val="04A16A38"/>
    <w:rsid w:val="04A26E12"/>
    <w:rsid w:val="0FDC0106"/>
    <w:rsid w:val="180A182C"/>
    <w:rsid w:val="19CB3549"/>
    <w:rsid w:val="1DDB517B"/>
    <w:rsid w:val="22287BC2"/>
    <w:rsid w:val="22747992"/>
    <w:rsid w:val="230D069C"/>
    <w:rsid w:val="25F735EF"/>
    <w:rsid w:val="26A01A47"/>
    <w:rsid w:val="26AF3844"/>
    <w:rsid w:val="26C00441"/>
    <w:rsid w:val="2CD074B8"/>
    <w:rsid w:val="2F0C45B5"/>
    <w:rsid w:val="308D2AC5"/>
    <w:rsid w:val="32236AEA"/>
    <w:rsid w:val="354B3EFD"/>
    <w:rsid w:val="360A5A97"/>
    <w:rsid w:val="37B019BA"/>
    <w:rsid w:val="38167D86"/>
    <w:rsid w:val="3ACE0D0C"/>
    <w:rsid w:val="3EBC1BFD"/>
    <w:rsid w:val="3F3379BD"/>
    <w:rsid w:val="44E242AA"/>
    <w:rsid w:val="453F6387"/>
    <w:rsid w:val="4D710BAC"/>
    <w:rsid w:val="50CB05D3"/>
    <w:rsid w:val="51782E4A"/>
    <w:rsid w:val="51DC37D8"/>
    <w:rsid w:val="521E0CC9"/>
    <w:rsid w:val="553E011F"/>
    <w:rsid w:val="5C02014A"/>
    <w:rsid w:val="60D316CE"/>
    <w:rsid w:val="629004F8"/>
    <w:rsid w:val="681E586F"/>
    <w:rsid w:val="68616DF2"/>
    <w:rsid w:val="6D5E2222"/>
    <w:rsid w:val="6FC44B3F"/>
    <w:rsid w:val="73D035F9"/>
    <w:rsid w:val="7D5378EA"/>
    <w:rsid w:val="7E8C4C69"/>
    <w:rsid w:val="7EF3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3271</Words>
  <Characters>3744</Characters>
  <Lines>0</Lines>
  <Paragraphs>0</Paragraphs>
  <TotalTime>29</TotalTime>
  <ScaleCrop>false</ScaleCrop>
  <LinksUpToDate>false</LinksUpToDate>
  <CharactersWithSpaces>3761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枫丹白露</cp:lastModifiedBy>
  <dcterms:modified xsi:type="dcterms:W3CDTF">2022-03-10T02:34:53Z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94BEAFB45A4A411AA451FBBCB41F84E9</vt:lpwstr>
  </property>
</Properties>
</file>