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keepNext w:val="0"/>
        <w:keepLines w:val="0"/>
        <w:pageBreakBefore w:val="0"/>
        <w:widowControl w:val="0"/>
        <w:kinsoku/>
        <w:wordWrap/>
        <w:overflowPunct/>
        <w:topLinePunct w:val="0"/>
        <w:autoSpaceDE/>
        <w:autoSpaceDN/>
        <w:bidi w:val="0"/>
        <w:adjustRightInd/>
        <w:snapToGrid/>
        <w:spacing w:line="1500" w:lineRule="exact"/>
        <w:jc w:val="center"/>
        <w:textAlignment w:val="auto"/>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济南市章丘区人民政府办公室文件</w:t>
      </w:r>
    </w:p>
    <w:p>
      <w:pPr>
        <w:pStyle w:val="3"/>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color w:val="000000"/>
        </w:rPr>
      </w:pPr>
    </w:p>
    <w:p>
      <w:pPr>
        <w:pStyle w:val="3"/>
        <w:spacing w:line="160" w:lineRule="exact"/>
        <w:rPr>
          <w:color w:val="000000"/>
        </w:rPr>
      </w:pPr>
    </w:p>
    <w:p>
      <w:pPr>
        <w:pStyle w:val="3"/>
        <w:spacing w:line="600" w:lineRule="exact"/>
        <w:jc w:val="center"/>
        <w:rPr>
          <w:rFonts w:ascii="仿宋_GB2312"/>
          <w:color w:val="000000"/>
        </w:rPr>
      </w:pPr>
      <w:r>
        <w:rPr>
          <w:rFonts w:hint="eastAsia" w:ascii="仿宋_GB2312"/>
          <w:color w:val="000000"/>
        </w:rPr>
        <w:t>章政办</w:t>
      </w:r>
      <w:r>
        <w:rPr>
          <w:rFonts w:hint="eastAsia" w:ascii="仿宋_GB2312"/>
          <w:color w:val="000000"/>
          <w:lang w:eastAsia="zh-CN"/>
        </w:rPr>
        <w:t>发</w:t>
      </w:r>
      <w:r>
        <w:rPr>
          <w:rFonts w:hint="eastAsia" w:ascii="仿宋_GB2312"/>
          <w:color w:val="000000"/>
        </w:rPr>
        <w:t>〔</w:t>
      </w:r>
      <w:r>
        <w:rPr>
          <w:rFonts w:ascii="仿宋_GB2312"/>
          <w:color w:val="000000"/>
        </w:rPr>
        <w:t>202</w:t>
      </w:r>
      <w:r>
        <w:rPr>
          <w:rFonts w:hint="eastAsia" w:ascii="仿宋_GB2312"/>
          <w:color w:val="000000"/>
          <w:lang w:val="en-US" w:eastAsia="zh-CN"/>
        </w:rPr>
        <w:t>2</w:t>
      </w:r>
      <w:r>
        <w:rPr>
          <w:rFonts w:hint="eastAsia" w:ascii="仿宋_GB2312"/>
          <w:color w:val="000000"/>
        </w:rPr>
        <w:t>〕</w:t>
      </w:r>
      <w:r>
        <w:rPr>
          <w:rFonts w:hint="eastAsia" w:ascii="仿宋_GB2312"/>
          <w:color w:val="000000"/>
          <w:lang w:val="en-US" w:eastAsia="zh-CN"/>
        </w:rPr>
        <w:t>14</w:t>
      </w:r>
      <w:r>
        <w:rPr>
          <w:rFonts w:hint="eastAsia" w:ascii="仿宋_GB2312"/>
          <w:color w:val="000000"/>
        </w:rPr>
        <w:t>号</w:t>
      </w:r>
    </w:p>
    <w:p>
      <w:pPr>
        <w:spacing w:line="360" w:lineRule="exact"/>
        <w:ind w:firstLine="640"/>
        <w:jc w:val="center"/>
        <w:rPr>
          <w:rFonts w:ascii="华文中宋" w:hAnsi="华文中宋" w:eastAsia="华文中宋"/>
          <w:b/>
          <w:color w:val="000000"/>
          <w:w w:val="70"/>
          <w:sz w:val="125"/>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20"/>
          <w:rFonts w:ascii="文星标宋" w:hAnsi="文星标宋" w:eastAsia="文星标宋"/>
          <w:sz w:val="44"/>
          <w:szCs w:val="44"/>
        </w:rPr>
      </w:pPr>
      <w:r>
        <w:rPr>
          <w:rFonts w:ascii="Calibri" w:hAnsi="Calibri" w:eastAsia="宋体"/>
        </w:rPr>
        <w:pict>
          <v:line id="直接连接符 4" o:spid="_x0000_s2050" o:spt="20" style="position:absolute;left:0pt;margin-top:4.35pt;height:0pt;width:452.2pt;mso-position-horizontal:center;z-index:251660288;mso-width-relative:page;mso-height-relative:page;" filled="f" stroked="t" coordsize="21600,21600">
            <v:path arrowok="t"/>
            <v:fill on="f" focussize="0,0"/>
            <v:stroke weight="1.5pt" color="#FF0000"/>
            <v:imagedata o:title=""/>
            <o:lock v:ext="edit" aspectratio="f"/>
          </v:line>
        </w:pict>
      </w:r>
    </w:p>
    <w:p>
      <w:pPr>
        <w:rPr>
          <w:rFonts w:hint="eastAsia"/>
          <w:sz w:val="32"/>
          <w:szCs w:val="32"/>
        </w:rPr>
      </w:pPr>
    </w:p>
    <w:p>
      <w:pPr>
        <w:snapToGrid w:val="0"/>
        <w:jc w:val="center"/>
        <w:rPr>
          <w:rFonts w:hint="eastAsia" w:ascii="文星标宋" w:hAnsi="文星标宋" w:eastAsia="文星标宋"/>
          <w:sz w:val="44"/>
          <w:szCs w:val="44"/>
        </w:rPr>
      </w:pPr>
      <w:r>
        <w:rPr>
          <w:rFonts w:hint="eastAsia" w:ascii="文星标宋" w:hAnsi="文星标宋" w:eastAsia="文星标宋"/>
          <w:sz w:val="44"/>
          <w:szCs w:val="44"/>
        </w:rPr>
        <w:t>济南市章丘区人民政府办公室</w:t>
      </w:r>
    </w:p>
    <w:p>
      <w:pPr>
        <w:snapToGrid w:val="0"/>
        <w:jc w:val="center"/>
        <w:rPr>
          <w:rFonts w:hint="eastAsia" w:ascii="文星标宋" w:hAnsi="文星标宋" w:eastAsia="文星标宋"/>
          <w:sz w:val="44"/>
          <w:szCs w:val="44"/>
        </w:rPr>
      </w:pPr>
      <w:r>
        <w:rPr>
          <w:rFonts w:hint="eastAsia" w:ascii="文星标宋" w:hAnsi="文星标宋" w:eastAsia="文星标宋"/>
          <w:sz w:val="44"/>
          <w:szCs w:val="44"/>
        </w:rPr>
        <w:t>关于印发济南市章丘区辐射事故应急预案的</w:t>
      </w:r>
    </w:p>
    <w:p>
      <w:pPr>
        <w:snapToGrid w:val="0"/>
        <w:jc w:val="center"/>
        <w:rPr>
          <w:rFonts w:ascii="文星标宋" w:hAnsi="文星标宋" w:eastAsia="文星标宋"/>
          <w:sz w:val="44"/>
          <w:szCs w:val="44"/>
        </w:rPr>
      </w:pPr>
      <w:r>
        <w:rPr>
          <w:rFonts w:hint="eastAsia" w:ascii="文星标宋" w:hAnsi="文星标宋" w:eastAsia="文星标宋"/>
          <w:sz w:val="44"/>
          <w:szCs w:val="44"/>
        </w:rPr>
        <w:t>通</w:t>
      </w:r>
      <w:r>
        <w:rPr>
          <w:rFonts w:hint="eastAsia" w:ascii="文星标宋" w:hAnsi="文星标宋" w:eastAsia="文星标宋"/>
          <w:sz w:val="44"/>
          <w:szCs w:val="44"/>
          <w:lang w:val="en-US" w:eastAsia="zh-CN"/>
        </w:rPr>
        <w:t xml:space="preserve">  </w:t>
      </w:r>
      <w:r>
        <w:rPr>
          <w:rFonts w:hint="eastAsia" w:ascii="文星标宋" w:hAnsi="文星标宋" w:eastAsia="文星标宋"/>
          <w:sz w:val="44"/>
          <w:szCs w:val="44"/>
        </w:rPr>
        <w:t>知</w:t>
      </w:r>
    </w:p>
    <w:p>
      <w:pPr>
        <w:jc w:val="center"/>
        <w:rPr>
          <w:rFonts w:ascii="文星标宋" w:hAnsi="Times New Roman" w:eastAsia="文星标宋"/>
          <w:sz w:val="44"/>
          <w:szCs w:val="4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各镇人民政府、街道办事处，区政府各部门(单位)：</w:t>
      </w:r>
    </w:p>
    <w:p>
      <w:pPr>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经区政府同意，现将修订后的《济南市章丘区辐射事故应急预案》印发给你们，请认真组织实施。</w:t>
      </w:r>
    </w:p>
    <w:p>
      <w:pPr>
        <w:ind w:firstLine="646"/>
        <w:rPr>
          <w:rFonts w:ascii="仿宋_GB2312" w:hAnsi="华文仿宋" w:eastAsia="仿宋_GB2312"/>
          <w:sz w:val="32"/>
          <w:szCs w:val="32"/>
        </w:rPr>
      </w:pPr>
      <w:r>
        <w:rPr>
          <w:rFonts w:hint="eastAsia" w:ascii="仿宋_GB2312" w:hAnsi="仿宋_GB2312" w:eastAsia="仿宋_GB2312" w:cs="仿宋_GB2312"/>
          <w:sz w:val="32"/>
          <w:szCs w:val="32"/>
        </w:rPr>
        <w:t>2020年9月16日印发的《济南市章丘区辐射事故应急预案》（章政办发〔2020〕16 号）同时废止。</w:t>
      </w:r>
    </w:p>
    <w:p>
      <w:pPr>
        <w:rPr>
          <w:rFonts w:ascii="仿宋_GB2312" w:hAnsi="华文仿宋" w:eastAsia="仿宋_GB2312"/>
          <w:sz w:val="32"/>
          <w:szCs w:val="32"/>
        </w:rPr>
      </w:pPr>
    </w:p>
    <w:p>
      <w:pPr>
        <w:rPr>
          <w:rFonts w:ascii="仿宋_GB2312" w:hAnsi="华文仿宋" w:eastAsia="仿宋_GB2312"/>
          <w:sz w:val="32"/>
          <w:szCs w:val="32"/>
        </w:rPr>
      </w:pPr>
    </w:p>
    <w:p>
      <w:pPr>
        <w:ind w:firstLine="4480" w:firstLineChars="1400"/>
        <w:rPr>
          <w:rFonts w:ascii="仿宋_GB2312" w:hAnsi="华文仿宋" w:eastAsia="仿宋_GB2312"/>
          <w:sz w:val="32"/>
          <w:szCs w:val="32"/>
        </w:rPr>
      </w:pPr>
      <w:r>
        <w:rPr>
          <w:rFonts w:hint="eastAsia" w:ascii="仿宋_GB2312" w:hAnsi="华文仿宋" w:eastAsia="仿宋_GB2312"/>
          <w:sz w:val="32"/>
          <w:szCs w:val="32"/>
        </w:rPr>
        <w:t>济南市章丘区人民政府办公室</w:t>
      </w:r>
    </w:p>
    <w:p>
      <w:pPr>
        <w:ind w:firstLine="5280" w:firstLineChars="1650"/>
        <w:rPr>
          <w:rFonts w:ascii="文星标宋" w:hAnsi="文星标宋" w:eastAsia="文星标宋"/>
          <w:b/>
          <w:sz w:val="36"/>
          <w:szCs w:val="36"/>
        </w:rPr>
      </w:pPr>
      <w:r>
        <w:rPr>
          <w:rFonts w:hint="eastAsia" w:ascii="仿宋_GB2312" w:hAnsi="华文仿宋" w:eastAsia="仿宋_GB2312"/>
          <w:sz w:val="32"/>
          <w:szCs w:val="32"/>
        </w:rPr>
        <w:t>2022年11月30日</w:t>
      </w:r>
    </w:p>
    <w:p>
      <w:pPr>
        <w:jc w:val="center"/>
        <w:rPr>
          <w:rFonts w:hint="eastAsia" w:ascii="文星标宋" w:hAnsi="文星标宋" w:eastAsia="文星标宋" w:cs="文星标宋"/>
          <w:b/>
          <w:sz w:val="44"/>
          <w:szCs w:val="44"/>
        </w:rPr>
      </w:pPr>
      <w:r>
        <w:rPr>
          <w:rFonts w:hint="eastAsia" w:ascii="文星标宋" w:hAnsi="文星标宋" w:eastAsia="文星标宋" w:cs="文星标宋"/>
          <w:b w:val="0"/>
          <w:bCs/>
          <w:sz w:val="44"/>
          <w:szCs w:val="44"/>
        </w:rPr>
        <w:t>济南市章丘区辐射事故应急预案</w:t>
      </w:r>
    </w:p>
    <w:p>
      <w:pPr>
        <w:adjustRightInd w:val="0"/>
        <w:snapToGrid w:val="0"/>
        <w:spacing w:line="360" w:lineRule="auto"/>
        <w:jc w:val="center"/>
        <w:rPr>
          <w:rFonts w:hint="eastAsia"/>
          <w:b/>
          <w:sz w:val="32"/>
          <w:szCs w:val="32"/>
        </w:rPr>
      </w:pPr>
    </w:p>
    <w:p>
      <w:pPr>
        <w:adjustRightInd w:val="0"/>
        <w:snapToGrid w:val="0"/>
        <w:spacing w:line="360" w:lineRule="auto"/>
        <w:jc w:val="center"/>
        <w:rPr>
          <w:rFonts w:hint="eastAsia"/>
          <w:b/>
          <w:sz w:val="32"/>
          <w:szCs w:val="32"/>
        </w:rPr>
      </w:pPr>
      <w:r>
        <w:rPr>
          <w:rFonts w:hint="eastAsia" w:ascii="黑体" w:hAnsi="黑体" w:eastAsia="黑体" w:cs="黑体"/>
          <w:b/>
          <w:sz w:val="32"/>
          <w:szCs w:val="32"/>
        </w:rPr>
        <w:t>目  录</w:t>
      </w:r>
    </w:p>
    <w:p>
      <w:pPr>
        <w:adjustRightInd w:val="0"/>
        <w:snapToGrid w:val="0"/>
        <w:spacing w:line="360" w:lineRule="auto"/>
        <w:jc w:val="center"/>
        <w:rPr>
          <w:sz w:val="32"/>
          <w:szCs w:val="32"/>
        </w:rPr>
      </w:pPr>
    </w:p>
    <w:p>
      <w:pPr>
        <w:adjustRightInd w:val="0"/>
        <w:snapToGrid w:val="0"/>
        <w:spacing w:line="360" w:lineRule="auto"/>
        <w:rPr>
          <w:rFonts w:hint="eastAsia" w:ascii="仿宋" w:hAnsi="仿宋" w:eastAsia="仿宋"/>
          <w:b/>
          <w:sz w:val="32"/>
          <w:szCs w:val="32"/>
        </w:rPr>
      </w:pPr>
      <w:r>
        <w:rPr>
          <w:rFonts w:hint="eastAsia" w:ascii="仿宋" w:hAnsi="仿宋" w:eastAsia="仿宋"/>
          <w:b/>
          <w:sz w:val="32"/>
          <w:szCs w:val="32"/>
        </w:rPr>
        <w:t>1总则</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1.1编制目的</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1.2编制依据</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1.3适用范围</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1.4应急原则</w:t>
      </w:r>
    </w:p>
    <w:p>
      <w:pPr>
        <w:adjustRightInd w:val="0"/>
        <w:snapToGrid w:val="0"/>
        <w:spacing w:line="360" w:lineRule="auto"/>
        <w:rPr>
          <w:rFonts w:hint="eastAsia" w:ascii="仿宋" w:hAnsi="仿宋" w:eastAsia="仿宋"/>
          <w:b/>
          <w:sz w:val="32"/>
          <w:szCs w:val="32"/>
        </w:rPr>
      </w:pPr>
      <w:r>
        <w:rPr>
          <w:rFonts w:hint="eastAsia" w:ascii="仿宋" w:hAnsi="仿宋" w:eastAsia="仿宋"/>
          <w:b/>
          <w:sz w:val="32"/>
          <w:szCs w:val="32"/>
        </w:rPr>
        <w:t>2辐射事故分级</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2.1特别重大辐射事故</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2.2重大辐射事故</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2.3较大辐射事故</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2.4一般辐射事故</w:t>
      </w:r>
    </w:p>
    <w:p>
      <w:pPr>
        <w:adjustRightInd w:val="0"/>
        <w:snapToGrid w:val="0"/>
        <w:spacing w:line="360" w:lineRule="auto"/>
        <w:rPr>
          <w:rFonts w:hint="eastAsia" w:ascii="仿宋" w:hAnsi="仿宋" w:eastAsia="仿宋"/>
          <w:b/>
          <w:sz w:val="32"/>
          <w:szCs w:val="32"/>
        </w:rPr>
      </w:pPr>
      <w:r>
        <w:rPr>
          <w:rFonts w:hint="eastAsia" w:ascii="仿宋" w:hAnsi="仿宋" w:eastAsia="仿宋"/>
          <w:b/>
          <w:sz w:val="32"/>
          <w:szCs w:val="32"/>
        </w:rPr>
        <w:t>3组织机构及职责</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3.1领导机构组成与职责</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3.2工作机构与职责</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3.3应急专业组</w:t>
      </w:r>
    </w:p>
    <w:p>
      <w:pPr>
        <w:adjustRightInd w:val="0"/>
        <w:snapToGrid w:val="0"/>
        <w:spacing w:line="360" w:lineRule="auto"/>
        <w:rPr>
          <w:rFonts w:hint="eastAsia" w:ascii="仿宋" w:hAnsi="仿宋" w:eastAsia="仿宋"/>
          <w:b/>
          <w:sz w:val="32"/>
          <w:szCs w:val="32"/>
        </w:rPr>
      </w:pPr>
      <w:r>
        <w:rPr>
          <w:rFonts w:hint="eastAsia" w:ascii="仿宋" w:hAnsi="仿宋" w:eastAsia="仿宋"/>
          <w:b/>
          <w:sz w:val="32"/>
          <w:szCs w:val="32"/>
        </w:rPr>
        <w:t xml:space="preserve">4 监控预警 </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 xml:space="preserve">4.1 信息监控 </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 xml:space="preserve">4.2 预防工作 </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 xml:space="preserve">4.3 预警工作 </w:t>
      </w:r>
    </w:p>
    <w:p>
      <w:pPr>
        <w:adjustRightInd w:val="0"/>
        <w:snapToGrid w:val="0"/>
        <w:spacing w:line="360" w:lineRule="auto"/>
        <w:rPr>
          <w:rFonts w:hint="eastAsia" w:ascii="仿宋" w:hAnsi="仿宋" w:eastAsia="仿宋"/>
          <w:b/>
          <w:sz w:val="32"/>
          <w:szCs w:val="32"/>
        </w:rPr>
      </w:pPr>
      <w:r>
        <w:rPr>
          <w:rFonts w:hint="eastAsia" w:ascii="仿宋" w:hAnsi="仿宋" w:eastAsia="仿宋"/>
          <w:b/>
          <w:sz w:val="32"/>
          <w:szCs w:val="32"/>
        </w:rPr>
        <w:t>5应急响应</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5.1分级响应</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5.2信息报告</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5.3先期处置</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.4现场应急处置</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.5辐射应急监测</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.6信息发布和舆论引导</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.7安全防护</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.8应急终止</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.9总结报告</w:t>
      </w:r>
    </w:p>
    <w:p>
      <w:pPr>
        <w:adjustRightInd w:val="0"/>
        <w:snapToGrid w:val="0"/>
        <w:spacing w:line="360" w:lineRule="auto"/>
        <w:rPr>
          <w:rFonts w:ascii="仿宋" w:hAnsi="仿宋" w:eastAsia="仿宋"/>
          <w:b/>
          <w:sz w:val="32"/>
          <w:szCs w:val="32"/>
        </w:rPr>
      </w:pPr>
      <w:r>
        <w:rPr>
          <w:rFonts w:hint="eastAsia" w:ascii="仿宋" w:hAnsi="仿宋" w:eastAsia="仿宋"/>
          <w:b/>
          <w:sz w:val="32"/>
          <w:szCs w:val="32"/>
        </w:rPr>
        <w:t>6</w:t>
      </w:r>
      <w:r>
        <w:rPr>
          <w:rFonts w:ascii="仿宋" w:hAnsi="仿宋" w:eastAsia="仿宋"/>
          <w:b/>
          <w:sz w:val="32"/>
          <w:szCs w:val="32"/>
        </w:rPr>
        <w:t>应急能力维持</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.1应急预案</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.2培训和演练</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.3应急保障</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.4值班制度</w:t>
      </w:r>
    </w:p>
    <w:p>
      <w:pPr>
        <w:adjustRightInd w:val="0"/>
        <w:snapToGrid w:val="0"/>
        <w:spacing w:line="360" w:lineRule="auto"/>
        <w:rPr>
          <w:rFonts w:ascii="仿宋" w:hAnsi="仿宋" w:eastAsia="仿宋"/>
          <w:b/>
          <w:sz w:val="32"/>
          <w:szCs w:val="32"/>
        </w:rPr>
      </w:pPr>
      <w:r>
        <w:rPr>
          <w:rFonts w:hint="eastAsia" w:ascii="仿宋" w:hAnsi="仿宋" w:eastAsia="仿宋"/>
          <w:b/>
          <w:sz w:val="32"/>
          <w:szCs w:val="32"/>
        </w:rPr>
        <w:t>7</w:t>
      </w:r>
      <w:r>
        <w:rPr>
          <w:rFonts w:ascii="仿宋" w:hAnsi="仿宋" w:eastAsia="仿宋"/>
          <w:b/>
          <w:sz w:val="32"/>
          <w:szCs w:val="32"/>
        </w:rPr>
        <w:t>附则</w:t>
      </w:r>
    </w:p>
    <w:p>
      <w:pPr>
        <w:adjustRightInd w:val="0"/>
        <w:snapToGrid w:val="0"/>
        <w:spacing w:line="360" w:lineRule="auto"/>
        <w:jc w:val="center"/>
        <w:rPr>
          <w:rFonts w:hint="eastAsia"/>
          <w:sz w:val="28"/>
          <w:szCs w:val="28"/>
        </w:rPr>
      </w:pPr>
      <w:r>
        <w:rPr>
          <w:sz w:val="28"/>
          <w:szCs w:val="28"/>
        </w:rPr>
        <w:br w:type="page"/>
      </w:r>
    </w:p>
    <w:p>
      <w:pPr>
        <w:adjustRightInd w:val="0"/>
        <w:snapToGrid w:val="0"/>
        <w:spacing w:line="360" w:lineRule="auto"/>
        <w:jc w:val="center"/>
        <w:rPr>
          <w:rFonts w:hint="eastAsia" w:ascii="文星标宋" w:hAnsi="文星标宋" w:eastAsia="文星标宋" w:cs="文星标宋"/>
          <w:b w:val="0"/>
          <w:bCs/>
          <w:sz w:val="44"/>
          <w:szCs w:val="44"/>
        </w:rPr>
      </w:pPr>
    </w:p>
    <w:p>
      <w:pPr>
        <w:adjustRightInd w:val="0"/>
        <w:snapToGrid w:val="0"/>
        <w:spacing w:line="360" w:lineRule="auto"/>
        <w:jc w:val="center"/>
        <w:rPr>
          <w:sz w:val="28"/>
          <w:szCs w:val="28"/>
        </w:rPr>
      </w:pPr>
      <w:r>
        <w:rPr>
          <w:rFonts w:hint="eastAsia" w:ascii="文星标宋" w:hAnsi="文星标宋" w:eastAsia="文星标宋" w:cs="文星标宋"/>
          <w:b w:val="0"/>
          <w:bCs/>
          <w:sz w:val="44"/>
          <w:szCs w:val="44"/>
        </w:rPr>
        <w:t>济南市章丘区辐射事故应急预案</w:t>
      </w:r>
    </w:p>
    <w:p>
      <w:pPr>
        <w:keepNext w:val="0"/>
        <w:keepLines w:val="0"/>
        <w:pageBreakBefore w:val="0"/>
        <w:kinsoku/>
        <w:wordWrap/>
        <w:overflowPunct/>
        <w:topLinePunct w:val="0"/>
        <w:bidi w:val="0"/>
        <w:snapToGrid/>
        <w:spacing w:beforeAutospacing="0" w:afterAutospacing="0" w:line="600" w:lineRule="exact"/>
        <w:ind w:firstLine="630" w:firstLineChars="196"/>
        <w:textAlignment w:val="auto"/>
        <w:outlineLvl w:val="0"/>
        <w:rPr>
          <w:rFonts w:hint="eastAsia" w:ascii="黑体" w:hAnsi="宋体" w:eastAsia="黑体"/>
          <w:sz w:val="32"/>
          <w:szCs w:val="32"/>
        </w:rPr>
      </w:pPr>
      <w:bookmarkStart w:id="0" w:name="_Toc18223"/>
      <w:bookmarkStart w:id="1" w:name="_Toc29045_WPSOffice_Level1"/>
      <w:r>
        <w:rPr>
          <w:rFonts w:hint="eastAsia" w:ascii="黑体" w:hAnsi="黑体" w:eastAsia="黑体"/>
          <w:b/>
          <w:sz w:val="32"/>
          <w:szCs w:val="32"/>
        </w:rPr>
        <w:t>1 总则</w:t>
      </w:r>
      <w:bookmarkEnd w:id="0"/>
      <w:bookmarkEnd w:id="1"/>
    </w:p>
    <w:p>
      <w:pPr>
        <w:pStyle w:val="7"/>
        <w:keepNext w:val="0"/>
        <w:keepLines w:val="0"/>
        <w:pageBreakBefore w:val="0"/>
        <w:kinsoku/>
        <w:wordWrap/>
        <w:overflowPunct/>
        <w:topLinePunct w:val="0"/>
        <w:bidi w:val="0"/>
        <w:snapToGrid/>
        <w:spacing w:before="0" w:beforeAutospacing="0" w:after="0" w:afterAutospacing="0" w:line="600" w:lineRule="exact"/>
        <w:ind w:firstLine="636" w:firstLineChars="198"/>
        <w:jc w:val="both"/>
        <w:textAlignment w:val="auto"/>
        <w:outlineLvl w:val="1"/>
        <w:rPr>
          <w:rFonts w:hint="eastAsia" w:eastAsia="仿宋_GB2312"/>
          <w:sz w:val="28"/>
          <w:szCs w:val="22"/>
        </w:rPr>
      </w:pPr>
      <w:bookmarkStart w:id="2" w:name="_Toc18436"/>
      <w:bookmarkStart w:id="3" w:name="_Toc9704_WPSOffice_Level2"/>
      <w:r>
        <w:rPr>
          <w:rFonts w:hint="eastAsia" w:ascii="仿宋" w:hAnsi="仿宋" w:eastAsia="仿宋"/>
          <w:b/>
          <w:bCs/>
          <w:sz w:val="32"/>
          <w:szCs w:val="32"/>
        </w:rPr>
        <w:t>1.1编制</w:t>
      </w:r>
      <w:r>
        <w:rPr>
          <w:rFonts w:hint="eastAsia" w:ascii="仿宋" w:hAnsi="仿宋" w:eastAsia="仿宋"/>
          <w:b/>
          <w:bCs/>
          <w:kern w:val="2"/>
          <w:sz w:val="32"/>
          <w:szCs w:val="32"/>
        </w:rPr>
        <w:t>目的</w:t>
      </w:r>
      <w:bookmarkEnd w:id="2"/>
      <w:bookmarkEnd w:id="3"/>
      <w:r>
        <w:rPr>
          <w:rFonts w:hint="eastAsia" w:ascii="仿宋" w:hAnsi="仿宋" w:eastAsia="仿宋"/>
          <w:b/>
          <w:bCs/>
          <w:sz w:val="32"/>
          <w:szCs w:val="32"/>
        </w:rPr>
        <w:t>。</w:t>
      </w:r>
      <w:r>
        <w:rPr>
          <w:rFonts w:hint="eastAsia" w:ascii="仿宋" w:hAnsi="仿宋" w:eastAsia="仿宋"/>
          <w:sz w:val="32"/>
          <w:szCs w:val="32"/>
        </w:rPr>
        <w:t>进一步健全完善我区辐射事故应急机制，提高应对辐射事故的预防、预警和应急处置能力，减轻和消除辐射事故的风险和危害，保障公众生命健康，维护辐射环境安全，促进经济社会全面、协调、可持续发展。</w:t>
      </w:r>
    </w:p>
    <w:p>
      <w:pPr>
        <w:pStyle w:val="7"/>
        <w:keepNext w:val="0"/>
        <w:keepLines w:val="0"/>
        <w:pageBreakBefore w:val="0"/>
        <w:kinsoku/>
        <w:wordWrap/>
        <w:overflowPunct/>
        <w:topLinePunct w:val="0"/>
        <w:bidi w:val="0"/>
        <w:snapToGrid/>
        <w:spacing w:before="0" w:beforeAutospacing="0" w:after="0" w:afterAutospacing="0" w:line="600" w:lineRule="exact"/>
        <w:ind w:firstLine="643" w:firstLineChars="200"/>
        <w:jc w:val="both"/>
        <w:textAlignment w:val="auto"/>
        <w:outlineLvl w:val="1"/>
        <w:rPr>
          <w:rFonts w:hint="eastAsia"/>
          <w:b/>
          <w:sz w:val="30"/>
          <w:szCs w:val="30"/>
        </w:rPr>
      </w:pPr>
      <w:bookmarkStart w:id="4" w:name="_Toc10466"/>
      <w:bookmarkStart w:id="5" w:name="_Toc18071_WPSOffice_Level2"/>
      <w:r>
        <w:rPr>
          <w:rFonts w:hint="eastAsia" w:ascii="仿宋" w:hAnsi="仿宋" w:eastAsia="仿宋"/>
          <w:b/>
          <w:bCs/>
          <w:sz w:val="32"/>
          <w:szCs w:val="32"/>
        </w:rPr>
        <w:t>1.2 编制依据</w:t>
      </w:r>
      <w:bookmarkEnd w:id="4"/>
      <w:bookmarkEnd w:id="5"/>
      <w:r>
        <w:rPr>
          <w:rFonts w:hint="eastAsia" w:ascii="仿宋" w:hAnsi="仿宋" w:eastAsia="仿宋"/>
          <w:b/>
          <w:bCs/>
          <w:sz w:val="32"/>
          <w:szCs w:val="32"/>
        </w:rPr>
        <w:t>。</w:t>
      </w:r>
      <w:r>
        <w:rPr>
          <w:rFonts w:hint="eastAsia" w:ascii="仿宋" w:hAnsi="仿宋" w:eastAsia="仿宋"/>
          <w:sz w:val="32"/>
          <w:szCs w:val="32"/>
        </w:rPr>
        <w:t>依据《中华人民共和国环境保护法》《中华人民共和国突发事件应对法》《中华人民共和国放射性污染防治法》《中华人民共和国核安全法》《放射性废物安全管理条例》《放射性同位素与射线装置安全和防护条例》《放射性物品运输安全管理条例》《环境保护部（国家核安全局）辐射事故应急预案》《山东省辐射污染防治条例》《山东省辐射事故应急预案》《济南市辐射事故应急预案》《济南市章丘区突发事件总体应急预案》等规定制定本方案。</w:t>
      </w:r>
      <w:bookmarkStart w:id="6" w:name="_Toc29734_WPSOffice_Level2"/>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firstLine="643" w:firstLineChars="200"/>
        <w:textAlignment w:val="auto"/>
        <w:rPr>
          <w:rFonts w:hint="eastAsia" w:ascii="仿宋" w:hAnsi="仿宋" w:eastAsia="仿宋"/>
          <w:sz w:val="32"/>
          <w:szCs w:val="32"/>
        </w:rPr>
      </w:pPr>
      <w:bookmarkStart w:id="7" w:name="_Toc23525"/>
      <w:r>
        <w:rPr>
          <w:rFonts w:hint="eastAsia" w:ascii="仿宋" w:hAnsi="仿宋" w:eastAsia="仿宋"/>
          <w:b/>
          <w:bCs/>
          <w:sz w:val="32"/>
          <w:szCs w:val="32"/>
        </w:rPr>
        <w:t>1.3 适用范围</w:t>
      </w:r>
      <w:bookmarkEnd w:id="6"/>
      <w:bookmarkEnd w:id="7"/>
      <w:r>
        <w:rPr>
          <w:rFonts w:hint="eastAsia" w:ascii="仿宋" w:hAnsi="仿宋" w:eastAsia="仿宋"/>
          <w:b/>
          <w:bCs/>
          <w:sz w:val="32"/>
          <w:szCs w:val="32"/>
        </w:rPr>
        <w:t>。</w:t>
      </w:r>
      <w:r>
        <w:rPr>
          <w:rFonts w:hint="eastAsia" w:ascii="仿宋" w:hAnsi="仿宋" w:eastAsia="仿宋"/>
          <w:sz w:val="32"/>
          <w:szCs w:val="32"/>
        </w:rPr>
        <w:t>本预案主要适用于我区辖区内一般辐射事故或参与处置的特别重大、重大、较大辐射事故；</w:t>
      </w:r>
      <w:r>
        <w:rPr>
          <w:rFonts w:eastAsia="仿宋"/>
          <w:kern w:val="0"/>
          <w:sz w:val="32"/>
          <w:szCs w:val="32"/>
        </w:rPr>
        <w:t>发生在</w:t>
      </w:r>
      <w:r>
        <w:rPr>
          <w:rFonts w:hint="eastAsia" w:eastAsia="仿宋"/>
          <w:kern w:val="0"/>
          <w:sz w:val="32"/>
          <w:szCs w:val="32"/>
        </w:rPr>
        <w:t>章丘</w:t>
      </w:r>
      <w:r>
        <w:rPr>
          <w:rFonts w:eastAsia="仿宋"/>
          <w:kern w:val="0"/>
          <w:sz w:val="32"/>
          <w:szCs w:val="32"/>
        </w:rPr>
        <w:t>区区域外，对我区可能造成一般影响的辐射事故。</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本预案中的辐射事故主要指除核事故以外，放射性物质丢失、被盗、失控，或者放射性物质造成人员受到意外的异常照射或者造成环境放射性污染的事件。主要包括：</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（1）核技术利用中发生的辐射事故；</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（2）放射性废物处理、处置设施发生的辐射事故；</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（3）铀（钍）矿及伴生放射性矿开发利用中发生的环境辐射污染事故；</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（4）放射性物质运输中发生的事故；</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（5）可能对我区环境造成辐射影响的境外核试验、核事故及辐射事故；</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（6）航天器在我区境内坠落造成环境辐射污染的事故；</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（7）各种重大自然灾害、安全生产事故引发的次生辐射事故。</w:t>
      </w:r>
    </w:p>
    <w:p>
      <w:pPr>
        <w:keepNext w:val="0"/>
        <w:keepLines w:val="0"/>
        <w:pageBreakBefore w:val="0"/>
        <w:kinsoku/>
        <w:wordWrap/>
        <w:overflowPunct/>
        <w:topLinePunct w:val="0"/>
        <w:bidi w:val="0"/>
        <w:snapToGrid/>
        <w:spacing w:beforeAutospacing="0" w:afterAutospacing="0" w:line="600" w:lineRule="exact"/>
        <w:ind w:firstLine="643" w:firstLineChars="200"/>
        <w:textAlignment w:val="auto"/>
        <w:rPr>
          <w:rFonts w:hint="eastAsia" w:ascii="仿宋" w:hAnsi="仿宋" w:eastAsia="仿宋" w:cs="宋体"/>
          <w:kern w:val="0"/>
          <w:sz w:val="32"/>
          <w:szCs w:val="32"/>
        </w:rPr>
      </w:pPr>
      <w:bookmarkStart w:id="8" w:name="_Toc760"/>
      <w:bookmarkStart w:id="9" w:name="_Toc8084_WPSOffice_Level2"/>
      <w:r>
        <w:rPr>
          <w:rFonts w:hint="eastAsia" w:ascii="仿宋" w:hAnsi="仿宋" w:eastAsia="仿宋" w:cs="宋体"/>
          <w:b/>
          <w:bCs/>
          <w:kern w:val="0"/>
          <w:sz w:val="32"/>
          <w:szCs w:val="32"/>
        </w:rPr>
        <w:t>1.4 应急原则</w:t>
      </w:r>
      <w:bookmarkEnd w:id="8"/>
      <w:bookmarkEnd w:id="9"/>
      <w:r>
        <w:rPr>
          <w:rFonts w:hint="eastAsia" w:ascii="仿宋" w:hAnsi="仿宋" w:eastAsia="仿宋" w:cs="宋体"/>
          <w:b/>
          <w:bCs/>
          <w:kern w:val="0"/>
          <w:sz w:val="32"/>
          <w:szCs w:val="32"/>
        </w:rPr>
        <w:t>。</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——以人为本，预防为主。把人民群众生命健康放在首位， 最大程度保护人民群众生命财产安全；加强演练，强化预防、预警和放射源管理，做好安全隐患排查，完善救援保障体系。 </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——统一领导，部门联动。在区政府的统一领导下，建立和完善部门联动机制，针对不同类型辐射事故的特点，充分发挥部门专业优势，共同处置辐射事故。 </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分级响应，先期处置。根据不同辐射事故响应级别，各级政府分级负责相应辐射事故的应对处置工作。严格落实辐射工作单位辐射安全主体责任，造成辐射事故的辐射工作单位应实施先期处置，控制事态、减轻后果，并第一时间报告生态环境部门和公安部门。 </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——平急结合，常备不懈。各有关部门充分利用现有资源，完善辐射事故应急响应体系，加强应急能力建设，强化应急培训，落实值班制度，快速高效处理处置突发辐射事故。</w:t>
      </w:r>
    </w:p>
    <w:p>
      <w:pPr>
        <w:keepNext w:val="0"/>
        <w:keepLines w:val="0"/>
        <w:pageBreakBefore w:val="0"/>
        <w:kinsoku/>
        <w:wordWrap/>
        <w:overflowPunct/>
        <w:topLinePunct w:val="0"/>
        <w:bidi w:val="0"/>
        <w:snapToGrid/>
        <w:spacing w:beforeAutospacing="0" w:afterAutospacing="0" w:line="600" w:lineRule="exact"/>
        <w:textAlignment w:val="auto"/>
        <w:outlineLvl w:val="0"/>
        <w:rPr>
          <w:rStyle w:val="11"/>
          <w:rFonts w:hint="eastAsia" w:ascii="宋体" w:hAnsi="宋体" w:cs="宋体"/>
          <w:color w:val="333333"/>
          <w:sz w:val="44"/>
          <w:szCs w:val="44"/>
        </w:rPr>
      </w:pPr>
      <w:bookmarkStart w:id="10" w:name="_Toc6182_WPSOffice_Level1"/>
      <w:bookmarkStart w:id="11" w:name="_Toc19094"/>
      <w:r>
        <w:rPr>
          <w:rFonts w:hint="eastAsia" w:ascii="黑体" w:hAnsi="黑体" w:eastAsia="黑体"/>
          <w:b/>
          <w:sz w:val="32"/>
          <w:szCs w:val="32"/>
        </w:rPr>
        <w:t>2 辐射事故分级</w:t>
      </w:r>
      <w:bookmarkEnd w:id="10"/>
      <w:bookmarkEnd w:id="11"/>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根据辐射事故的性质、严重程度、可控性和影响范围等因素，分为特别重大辐射事故、重大辐射事故、较大辐射事故和一般辐射事故四个等级。辐射事故量化指标见附件1。</w:t>
      </w:r>
    </w:p>
    <w:p>
      <w:pPr>
        <w:keepNext w:val="0"/>
        <w:keepLines w:val="0"/>
        <w:pageBreakBefore w:val="0"/>
        <w:kinsoku/>
        <w:wordWrap/>
        <w:overflowPunct/>
        <w:topLinePunct w:val="0"/>
        <w:bidi w:val="0"/>
        <w:snapToGrid/>
        <w:spacing w:beforeAutospacing="0" w:afterAutospacing="0" w:line="600" w:lineRule="exact"/>
        <w:ind w:firstLine="643" w:firstLineChars="200"/>
        <w:textAlignment w:val="auto"/>
        <w:rPr>
          <w:rFonts w:hint="eastAsia" w:ascii="仿宋" w:hAnsi="仿宋" w:eastAsia="仿宋" w:cs="宋体"/>
          <w:kern w:val="0"/>
          <w:sz w:val="32"/>
          <w:szCs w:val="32"/>
        </w:rPr>
      </w:pPr>
      <w:bookmarkStart w:id="12" w:name="_Toc1447"/>
      <w:bookmarkStart w:id="13" w:name="_Toc14412_WPSOffice_Level2"/>
      <w:r>
        <w:rPr>
          <w:rFonts w:ascii="仿宋" w:hAnsi="仿宋" w:eastAsia="仿宋" w:cs="宋体"/>
          <w:b/>
          <w:bCs/>
          <w:kern w:val="0"/>
          <w:sz w:val="32"/>
          <w:szCs w:val="32"/>
        </w:rPr>
        <w:t>2.1 特别重大辐射事故</w:t>
      </w:r>
      <w:bookmarkEnd w:id="12"/>
      <w:bookmarkEnd w:id="13"/>
      <w:r>
        <w:rPr>
          <w:rFonts w:hint="eastAsia" w:ascii="仿宋" w:hAnsi="仿宋" w:eastAsia="仿宋" w:cs="宋体"/>
          <w:b/>
          <w:bCs/>
          <w:kern w:val="0"/>
          <w:sz w:val="32"/>
          <w:szCs w:val="32"/>
        </w:rPr>
        <w:t>。</w:t>
      </w:r>
      <w:r>
        <w:rPr>
          <w:rFonts w:hint="eastAsia" w:ascii="仿宋" w:hAnsi="仿宋" w:eastAsia="仿宋" w:cs="宋体"/>
          <w:kern w:val="0"/>
          <w:sz w:val="32"/>
          <w:szCs w:val="32"/>
        </w:rPr>
        <w:t>凡符合下列情形之一的，为特别重大辐射事故：</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（1）I、Ⅱ类放射源丢失、被盗、失控并造成大范围严重辐射污染后果；</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_GB2312" w:hAnsi="仿宋_GB2312" w:eastAsia="仿宋_GB2312" w:cs="仿宋_GB2312"/>
          <w:kern w:val="0"/>
          <w:sz w:val="32"/>
          <w:szCs w:val="32"/>
        </w:rPr>
        <w:t>（2）放射性同位素和射线装置失控导致3人以上（含3人）</w:t>
      </w:r>
      <w:r>
        <w:rPr>
          <w:rFonts w:hint="eastAsia" w:ascii="仿宋" w:hAnsi="仿宋" w:eastAsia="仿宋" w:cs="宋体"/>
          <w:kern w:val="0"/>
          <w:sz w:val="32"/>
          <w:szCs w:val="32"/>
        </w:rPr>
        <w:t>急性死亡；</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（3）放射性物质泄漏造成大范围辐射污染事故；</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（4）对我区境内可能或已经造成较大范围辐射环境影响的航天器坠落事件或境外发生的核试验、核事故及辐射事故。</w:t>
      </w:r>
    </w:p>
    <w:p>
      <w:pPr>
        <w:keepNext w:val="0"/>
        <w:keepLines w:val="0"/>
        <w:pageBreakBefore w:val="0"/>
        <w:kinsoku/>
        <w:wordWrap/>
        <w:overflowPunct/>
        <w:topLinePunct w:val="0"/>
        <w:bidi w:val="0"/>
        <w:snapToGrid/>
        <w:spacing w:beforeAutospacing="0" w:afterAutospacing="0" w:line="600" w:lineRule="exact"/>
        <w:ind w:firstLine="643" w:firstLineChars="200"/>
        <w:textAlignment w:val="auto"/>
        <w:rPr>
          <w:rFonts w:hint="eastAsia" w:ascii="仿宋" w:hAnsi="仿宋" w:eastAsia="仿宋" w:cs="宋体"/>
          <w:kern w:val="0"/>
          <w:sz w:val="32"/>
          <w:szCs w:val="32"/>
        </w:rPr>
      </w:pPr>
      <w:bookmarkStart w:id="14" w:name="_Toc1383"/>
      <w:bookmarkStart w:id="15" w:name="_Toc2805_WPSOffice_Level2"/>
      <w:r>
        <w:rPr>
          <w:rFonts w:ascii="仿宋" w:hAnsi="仿宋" w:eastAsia="仿宋" w:cs="宋体"/>
          <w:b/>
          <w:bCs/>
          <w:kern w:val="0"/>
          <w:sz w:val="32"/>
          <w:szCs w:val="32"/>
        </w:rPr>
        <w:t xml:space="preserve">2.2 </w:t>
      </w:r>
      <w:r>
        <w:rPr>
          <w:rFonts w:hint="eastAsia" w:ascii="仿宋_GB2312" w:hAnsi="仿宋_GB2312" w:eastAsia="仿宋_GB2312" w:cs="仿宋_GB2312"/>
          <w:b/>
          <w:bCs/>
          <w:kern w:val="0"/>
          <w:sz w:val="32"/>
          <w:szCs w:val="32"/>
        </w:rPr>
        <w:t>重大辐射事故</w:t>
      </w:r>
      <w:bookmarkEnd w:id="14"/>
      <w:bookmarkEnd w:id="15"/>
      <w:r>
        <w:rPr>
          <w:rFonts w:hint="eastAsia" w:ascii="仿宋_GB2312" w:hAnsi="仿宋_GB2312" w:eastAsia="仿宋_GB2312" w:cs="仿宋_GB2312"/>
          <w:b/>
          <w:bCs/>
          <w:kern w:val="0"/>
          <w:sz w:val="32"/>
          <w:szCs w:val="32"/>
        </w:rPr>
        <w:t>。</w:t>
      </w:r>
      <w:r>
        <w:rPr>
          <w:rFonts w:hint="eastAsia" w:ascii="仿宋" w:hAnsi="仿宋" w:eastAsia="仿宋" w:cs="宋体"/>
          <w:kern w:val="0"/>
          <w:sz w:val="32"/>
          <w:szCs w:val="32"/>
        </w:rPr>
        <w:t>凡符合下列情形之一的，为重大辐射事故：</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（1）I、Ⅱ类放射源丢失、被盗、失控；</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（2）放射性同位素和射线装置失控导致2人以下（含2人）急性死亡或者10人以上（含10人）急性重度放射病、局部器官残疾；</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（3）放射性物质泄漏造成较大范围环境辐射污染后果。</w:t>
      </w:r>
    </w:p>
    <w:p>
      <w:pPr>
        <w:keepNext w:val="0"/>
        <w:keepLines w:val="0"/>
        <w:pageBreakBefore w:val="0"/>
        <w:kinsoku/>
        <w:wordWrap/>
        <w:overflowPunct/>
        <w:topLinePunct w:val="0"/>
        <w:bidi w:val="0"/>
        <w:snapToGrid/>
        <w:spacing w:beforeAutospacing="0" w:afterAutospacing="0" w:line="600" w:lineRule="exact"/>
        <w:ind w:firstLine="643" w:firstLineChars="200"/>
        <w:textAlignment w:val="auto"/>
        <w:rPr>
          <w:rFonts w:hint="eastAsia" w:ascii="仿宋" w:hAnsi="仿宋" w:eastAsia="仿宋" w:cs="宋体"/>
          <w:kern w:val="0"/>
          <w:sz w:val="32"/>
          <w:szCs w:val="32"/>
        </w:rPr>
      </w:pPr>
      <w:bookmarkStart w:id="16" w:name="_Toc18332_WPSOffice_Level2"/>
      <w:bookmarkStart w:id="17" w:name="_Toc32576"/>
      <w:r>
        <w:rPr>
          <w:rFonts w:hint="eastAsia" w:ascii="仿宋" w:hAnsi="仿宋" w:eastAsia="仿宋" w:cs="宋体"/>
          <w:b/>
          <w:bCs/>
          <w:kern w:val="0"/>
          <w:sz w:val="32"/>
          <w:szCs w:val="32"/>
        </w:rPr>
        <w:t>2.3 较大辐射事故</w:t>
      </w:r>
      <w:bookmarkEnd w:id="16"/>
      <w:bookmarkEnd w:id="17"/>
      <w:r>
        <w:rPr>
          <w:rFonts w:hint="eastAsia" w:ascii="仿宋" w:hAnsi="仿宋" w:eastAsia="仿宋" w:cs="宋体"/>
          <w:b/>
          <w:bCs/>
          <w:kern w:val="0"/>
          <w:sz w:val="32"/>
          <w:szCs w:val="32"/>
        </w:rPr>
        <w:t>。</w:t>
      </w:r>
      <w:r>
        <w:rPr>
          <w:rFonts w:hint="eastAsia" w:ascii="仿宋" w:hAnsi="仿宋" w:eastAsia="仿宋" w:cs="宋体"/>
          <w:kern w:val="0"/>
          <w:sz w:val="32"/>
          <w:szCs w:val="32"/>
        </w:rPr>
        <w:t>凡符合下列情形之一的，为较大辐射事故：</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（1）Ⅲ类放射源丢失、被盗、失控；</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（2）放射性同位素和射线装置失控导致10人以下急性重度放射病、局部器官残疾；</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（3）放射性物质泄漏造成小范围环境辐射污染后果。</w:t>
      </w:r>
    </w:p>
    <w:p>
      <w:pPr>
        <w:keepNext w:val="0"/>
        <w:keepLines w:val="0"/>
        <w:pageBreakBefore w:val="0"/>
        <w:kinsoku/>
        <w:wordWrap/>
        <w:overflowPunct/>
        <w:topLinePunct w:val="0"/>
        <w:bidi w:val="0"/>
        <w:snapToGrid/>
        <w:spacing w:beforeAutospacing="0" w:afterAutospacing="0" w:line="600" w:lineRule="exact"/>
        <w:ind w:firstLine="643" w:firstLineChars="200"/>
        <w:textAlignment w:val="auto"/>
        <w:rPr>
          <w:rFonts w:hint="eastAsia" w:ascii="仿宋" w:hAnsi="仿宋" w:eastAsia="仿宋" w:cs="宋体"/>
          <w:kern w:val="0"/>
          <w:sz w:val="32"/>
          <w:szCs w:val="32"/>
        </w:rPr>
      </w:pPr>
      <w:bookmarkStart w:id="18" w:name="_Toc18935_WPSOffice_Level2"/>
      <w:bookmarkStart w:id="19" w:name="_Toc17048"/>
      <w:r>
        <w:rPr>
          <w:rFonts w:ascii="仿宋" w:hAnsi="仿宋" w:eastAsia="仿宋" w:cs="宋体"/>
          <w:b/>
          <w:bCs/>
          <w:kern w:val="0"/>
          <w:sz w:val="32"/>
          <w:szCs w:val="32"/>
        </w:rPr>
        <w:t>2.4 一般辐射事故</w:t>
      </w:r>
      <w:bookmarkEnd w:id="18"/>
      <w:bookmarkEnd w:id="19"/>
      <w:r>
        <w:rPr>
          <w:rFonts w:hint="eastAsia" w:ascii="仿宋" w:hAnsi="仿宋" w:eastAsia="仿宋" w:cs="宋体"/>
          <w:b/>
          <w:bCs/>
          <w:kern w:val="0"/>
          <w:sz w:val="32"/>
          <w:szCs w:val="32"/>
        </w:rPr>
        <w:t>。</w:t>
      </w:r>
      <w:r>
        <w:rPr>
          <w:rFonts w:hint="eastAsia" w:ascii="仿宋" w:hAnsi="仿宋" w:eastAsia="仿宋" w:cs="宋体"/>
          <w:kern w:val="0"/>
          <w:sz w:val="32"/>
          <w:szCs w:val="32"/>
        </w:rPr>
        <w:t>凡符合下列情形之一的，为一般辐射事故：</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Ⅳ</w:t>
      </w:r>
      <w:r>
        <w:rPr>
          <w:rFonts w:hint="eastAsia" w:ascii="仿宋" w:hAnsi="仿宋" w:eastAsia="仿宋" w:cs="宋体"/>
          <w:kern w:val="0"/>
          <w:sz w:val="32"/>
          <w:szCs w:val="32"/>
        </w:rPr>
        <w:t>、</w:t>
      </w:r>
      <w:r>
        <w:rPr>
          <w:rFonts w:ascii="仿宋" w:hAnsi="仿宋" w:eastAsia="仿宋" w:cs="宋体"/>
          <w:kern w:val="0"/>
          <w:sz w:val="32"/>
          <w:szCs w:val="32"/>
        </w:rPr>
        <w:t>Ⅴ</w:t>
      </w:r>
      <w:r>
        <w:rPr>
          <w:rFonts w:hint="eastAsia" w:ascii="仿宋" w:hAnsi="仿宋" w:eastAsia="仿宋" w:cs="宋体"/>
          <w:kern w:val="0"/>
          <w:sz w:val="32"/>
          <w:szCs w:val="32"/>
        </w:rPr>
        <w:t>类放射源丢失、被盗、失控；</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（2）放射性同位素和射线装置失控导致人员受到超过年剂量限值的照射；</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（3）放射性物质泄漏造成厂区内或设施内局部辐射污染后果；</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（4）铀（钍）矿及伴生放射性矿开发利用超标排放，造成环境辐射污染后果； </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（5）测井用放射源落井，打捞不成功进行封井处理。 </w:t>
      </w:r>
    </w:p>
    <w:p>
      <w:pPr>
        <w:keepNext w:val="0"/>
        <w:keepLines w:val="0"/>
        <w:pageBreakBefore w:val="0"/>
        <w:kinsoku/>
        <w:wordWrap/>
        <w:overflowPunct/>
        <w:topLinePunct w:val="0"/>
        <w:bidi w:val="0"/>
        <w:snapToGrid/>
        <w:spacing w:beforeAutospacing="0" w:afterAutospacing="0" w:line="600" w:lineRule="exact"/>
        <w:ind w:firstLine="630" w:firstLineChars="196"/>
        <w:textAlignment w:val="auto"/>
        <w:outlineLvl w:val="0"/>
        <w:rPr>
          <w:rFonts w:hint="eastAsia" w:ascii="黑体" w:hAnsi="黑体" w:eastAsia="黑体"/>
          <w:b/>
          <w:sz w:val="32"/>
          <w:szCs w:val="32"/>
        </w:rPr>
      </w:pPr>
      <w:bookmarkStart w:id="20" w:name="_Toc22372_WPSOffice_Level1"/>
      <w:bookmarkStart w:id="21" w:name="_Toc20820"/>
      <w:r>
        <w:rPr>
          <w:rFonts w:hint="eastAsia" w:ascii="黑体" w:hAnsi="黑体" w:eastAsia="黑体"/>
          <w:b/>
          <w:sz w:val="32"/>
          <w:szCs w:val="32"/>
        </w:rPr>
        <w:t>3 组织机构及职责</w:t>
      </w:r>
      <w:bookmarkEnd w:id="20"/>
      <w:bookmarkEnd w:id="21"/>
    </w:p>
    <w:p>
      <w:pPr>
        <w:keepNext w:val="0"/>
        <w:keepLines w:val="0"/>
        <w:pageBreakBefore w:val="0"/>
        <w:kinsoku/>
        <w:wordWrap/>
        <w:overflowPunct/>
        <w:topLinePunct w:val="0"/>
        <w:bidi w:val="0"/>
        <w:snapToGrid/>
        <w:spacing w:beforeAutospacing="0" w:afterAutospacing="0" w:line="600" w:lineRule="exact"/>
        <w:ind w:firstLine="643" w:firstLineChars="200"/>
        <w:textAlignment w:val="auto"/>
        <w:rPr>
          <w:rFonts w:hint="eastAsia" w:ascii="仿宋" w:hAnsi="仿宋" w:eastAsia="仿宋" w:cs="宋体"/>
          <w:b/>
          <w:kern w:val="0"/>
          <w:sz w:val="32"/>
          <w:szCs w:val="32"/>
        </w:rPr>
      </w:pPr>
      <w:bookmarkStart w:id="22" w:name="_Toc31057_WPSOffice_Level2"/>
      <w:bookmarkStart w:id="23" w:name="_Toc6279"/>
      <w:r>
        <w:rPr>
          <w:rFonts w:hint="eastAsia" w:ascii="仿宋" w:hAnsi="仿宋" w:eastAsia="仿宋" w:cs="宋体"/>
          <w:b/>
          <w:kern w:val="0"/>
          <w:sz w:val="32"/>
          <w:szCs w:val="32"/>
        </w:rPr>
        <w:t xml:space="preserve">3.1 </w:t>
      </w:r>
      <w:bookmarkEnd w:id="22"/>
      <w:r>
        <w:rPr>
          <w:rFonts w:hint="eastAsia" w:ascii="仿宋" w:hAnsi="仿宋" w:eastAsia="仿宋" w:cs="宋体"/>
          <w:b/>
          <w:kern w:val="0"/>
          <w:sz w:val="32"/>
          <w:szCs w:val="32"/>
        </w:rPr>
        <w:t>领导机构组成与职责</w:t>
      </w:r>
      <w:bookmarkEnd w:id="23"/>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bookmarkStart w:id="24" w:name="_Toc24027_WPSOffice_Level3"/>
      <w:bookmarkStart w:id="25" w:name="_Toc12206"/>
      <w:r>
        <w:rPr>
          <w:rFonts w:hint="eastAsia" w:ascii="仿宋" w:hAnsi="仿宋" w:eastAsia="仿宋" w:cs="宋体"/>
          <w:kern w:val="0"/>
          <w:sz w:val="32"/>
          <w:szCs w:val="32"/>
        </w:rPr>
        <w:t>3.1.1 领导机构组成</w:t>
      </w:r>
      <w:bookmarkEnd w:id="24"/>
      <w:bookmarkEnd w:id="25"/>
      <w:r>
        <w:rPr>
          <w:rFonts w:hint="eastAsia" w:ascii="仿宋" w:hAnsi="仿宋" w:eastAsia="仿宋" w:cs="宋体"/>
          <w:kern w:val="0"/>
          <w:sz w:val="32"/>
          <w:szCs w:val="32"/>
        </w:rPr>
        <w:t>。成立区辐射事故应急工作专项小组（简称专项小组），负责辐射事故应对工作。专项小组成员如下：</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组长：区政府分管生态环境工作的副区长</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副组长：区政府办公室副主任、区生态环境分局局长</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成员单位：区委宣传部、区委网信办、区公安分局、区财政局、区生态环境分局、区卫健局、各镇街人民政府。</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专项小组在发生辐射事故时转为区辐射事故应急指挥部。专项小组组长为总指挥，副组长为副总指挥。</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bookmarkStart w:id="26" w:name="_Toc3877"/>
      <w:bookmarkStart w:id="27" w:name="_Toc5757_WPSOffice_Level3"/>
      <w:r>
        <w:rPr>
          <w:rFonts w:hint="eastAsia" w:ascii="仿宋" w:hAnsi="仿宋" w:eastAsia="仿宋" w:cs="宋体"/>
          <w:kern w:val="0"/>
          <w:sz w:val="32"/>
          <w:szCs w:val="32"/>
        </w:rPr>
        <w:t>3.1.2 专项小组主要职责</w:t>
      </w:r>
      <w:bookmarkEnd w:id="26"/>
      <w:bookmarkEnd w:id="27"/>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（1）负责贯彻执行国家辐射事故应急方针、政策和国家、省市关于特别重大、重大和较大辐射事故应急响应的指示；</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（2）负责全区一般辐射事故的应急准备和应急响应工作；配合做好特别重大、重大和较大辐射事故的应急处置工作；发布和决定一般辐射事故应急响应的预警启动和终止； </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（3）根据受影响地区的放射性水平，决定采取有效防护和恢复正常秩序的措施；</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（4）审定向省、市辐射事故应急工作专项小组提交的辐射事故应急处理处置情况报告；</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（5）负责一般辐射事故相关信息发布、舆论的引导和监控工作。</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bookmarkStart w:id="28" w:name="_Toc10820_WPSOffice_Level3"/>
      <w:bookmarkStart w:id="29" w:name="_Toc105"/>
      <w:r>
        <w:rPr>
          <w:rFonts w:hint="eastAsia" w:ascii="仿宋" w:hAnsi="仿宋" w:eastAsia="仿宋" w:cs="宋体"/>
          <w:kern w:val="0"/>
          <w:sz w:val="32"/>
          <w:szCs w:val="32"/>
        </w:rPr>
        <w:t>3.1.3 组成部门职责</w:t>
      </w:r>
      <w:bookmarkEnd w:id="28"/>
      <w:bookmarkEnd w:id="29"/>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（1）区委宣传部：指导协调有关部门和新闻媒体做好宣传报道工作；加强舆情信息监测和管理，正确引导舆论；配合指导有关部门按程序发布相关信息等。</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（2）区委网信办：指导有关部门做好应急期间网络舆情监控、网络舆论引导和管控等工作。</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3）区公安分局：负责对放射源的安全保卫和道路运输安全监管；对丢失和被盗放射源事件进行立案、侦查和追缴；指导、协调事发地公安机关执行现场警戒和交通管制，维护现场治安秩序；参与辐射事故应急处置行动和事故调查处理等。</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（4）区财政局：负责辐射事故应急响应工作的经费保障等。</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（5）区生态环境分局：负责一般辐射事故的应急、调查处理和定性定级工作，并将有关情况报告济南市生态环境局和区政府；协助公安部门监控追缴丢失、被盗的放射源等。  </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（6）区卫健局：负责辐射事故的应急医疗救援，指导可能受到辐射伤害的人员健康影响评估；参与辐射事故应急相关的宣传工作；参与辐射事故其他相关应急处置行动等。</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（7）各镇街人民政府：在专项小组的统一指挥下，协助做好辖区内的应急处置、应急保障等工作。</w:t>
      </w:r>
    </w:p>
    <w:p>
      <w:pPr>
        <w:keepNext w:val="0"/>
        <w:keepLines w:val="0"/>
        <w:pageBreakBefore w:val="0"/>
        <w:kinsoku/>
        <w:wordWrap/>
        <w:overflowPunct/>
        <w:topLinePunct w:val="0"/>
        <w:bidi w:val="0"/>
        <w:snapToGrid/>
        <w:spacing w:beforeAutospacing="0" w:afterAutospacing="0" w:line="600" w:lineRule="exact"/>
        <w:ind w:firstLine="643" w:firstLineChars="200"/>
        <w:textAlignment w:val="auto"/>
        <w:rPr>
          <w:rFonts w:hint="eastAsia" w:ascii="仿宋" w:hAnsi="仿宋" w:eastAsia="仿宋" w:cs="宋体"/>
          <w:b/>
          <w:bCs w:val="0"/>
          <w:kern w:val="0"/>
          <w:sz w:val="32"/>
          <w:szCs w:val="32"/>
        </w:rPr>
      </w:pPr>
      <w:bookmarkStart w:id="30" w:name="_Toc9372_WPSOffice_Level2"/>
      <w:bookmarkStart w:id="31" w:name="_Toc16977"/>
      <w:r>
        <w:rPr>
          <w:rFonts w:hint="eastAsia" w:ascii="仿宋" w:hAnsi="仿宋" w:eastAsia="仿宋" w:cs="宋体"/>
          <w:b/>
          <w:bCs w:val="0"/>
          <w:kern w:val="0"/>
          <w:sz w:val="32"/>
          <w:szCs w:val="32"/>
        </w:rPr>
        <w:t xml:space="preserve">3.2 </w:t>
      </w:r>
      <w:bookmarkEnd w:id="30"/>
      <w:r>
        <w:rPr>
          <w:rFonts w:hint="eastAsia" w:ascii="仿宋" w:hAnsi="仿宋" w:eastAsia="仿宋" w:cs="宋体"/>
          <w:b/>
          <w:bCs w:val="0"/>
          <w:kern w:val="0"/>
          <w:sz w:val="32"/>
          <w:szCs w:val="32"/>
        </w:rPr>
        <w:t>工作机构与职责</w:t>
      </w:r>
      <w:bookmarkEnd w:id="31"/>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firstLine="640" w:firstLineChars="20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区辐射事故应急工作专项小组下设办公室，设在区生态环境分局，作为全区辐射事故应急管理的日常工作机构，区生态环境分局局长兼任办公室主任。专项小组办公室负责贯彻执行专项小组的有关决定，协调全区辐射事故应急准备和应急响应行动；组织开展对区应急响应行动和事故处理措施的跟踪、评价、监督，向专项小组提交辐射事故应急处理处置情况报告；组织全区辐射事故应急综合演练等。</w:t>
      </w:r>
      <w:bookmarkStart w:id="32" w:name="_Toc11631"/>
      <w:bookmarkStart w:id="33" w:name="_Toc2174_WPSOffice_Level2"/>
    </w:p>
    <w:p>
      <w:pPr>
        <w:keepNext w:val="0"/>
        <w:keepLines w:val="0"/>
        <w:pageBreakBefore w:val="0"/>
        <w:kinsoku/>
        <w:wordWrap/>
        <w:overflowPunct/>
        <w:topLinePunct w:val="0"/>
        <w:bidi w:val="0"/>
        <w:snapToGrid/>
        <w:spacing w:beforeAutospacing="0" w:afterAutospacing="0" w:line="600" w:lineRule="exact"/>
        <w:ind w:firstLine="643" w:firstLineChars="200"/>
        <w:textAlignment w:val="auto"/>
        <w:rPr>
          <w:rFonts w:hint="eastAsia" w:ascii="仿宋" w:hAnsi="仿宋" w:eastAsia="仿宋" w:cs="宋体"/>
          <w:b/>
          <w:kern w:val="0"/>
          <w:sz w:val="32"/>
          <w:szCs w:val="32"/>
        </w:rPr>
      </w:pPr>
      <w:r>
        <w:rPr>
          <w:rFonts w:hint="eastAsia" w:ascii="仿宋" w:hAnsi="仿宋" w:eastAsia="仿宋" w:cs="宋体"/>
          <w:b/>
          <w:kern w:val="0"/>
          <w:sz w:val="32"/>
          <w:szCs w:val="32"/>
        </w:rPr>
        <w:t>3.3 应急专业组</w:t>
      </w:r>
      <w:bookmarkEnd w:id="32"/>
      <w:bookmarkEnd w:id="33"/>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黑体" w:hAnsi="黑体" w:eastAsia="黑体" w:cs="黑体"/>
          <w:sz w:val="24"/>
        </w:rPr>
      </w:pPr>
      <w:r>
        <w:rPr>
          <w:rFonts w:hint="eastAsia" w:ascii="仿宋" w:hAnsi="仿宋" w:eastAsia="仿宋" w:cs="宋体"/>
          <w:kern w:val="0"/>
          <w:sz w:val="32"/>
          <w:szCs w:val="32"/>
        </w:rPr>
        <w:t>区辐射事故应急工作专项小组下设应急专业组，包括：应急监测组、医疗救援组、应急处置组、舆情信息组、专家咨询组、应急保障组等6个专业组。</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应急监测组：由区生态环境分局牵头，有关监测单位参加。承担一般辐射事故的应急响应和应急监测工作；负责辐射事故预测和后果评价，及时提出应急措施，配合市级以上辐射事故应急救援力量做好较大及以上辐射事故的应急响应和应急监测工作。</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医疗救援组：由区卫健局牵头，事故发生地区镇街人民政府、有关医疗机构参加。根据辐射物质的种类、危害特性，指导公众应急防护；指导个体防护，发放所需药品；对受辐射事故影响人员实施应急救援，对放射病和受超剂量照射的人员实施现场救护、医学救治及心理干预。</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应急处置组：由区生态环境分局、区公安分局牵头，事故发生地镇街人民政府参加。区生态环境分局负责事故放射源的安全处置。区公安分局负责现场安保和交通秩序维护；追缴丢失、被盗的放射源。</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舆情信息组：由区委宣传部牵头，区委网信办、区生态环境分局、区公安分局、区卫健局参加。负责收集分析舆情，及时报送重要信息，向区辐射事故应急指挥部提出舆情应对建议；组织指导报刊、电台、电视、网络等新闻媒体及时宣传报道；组织开展辐射事故应急期间的公众宣传和专家解读，应对媒体采访和公众咨询。</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专家咨询组：负责为辐射事故应急提供技术咨询，为辐射事故应急决策提供技术支持。</w:t>
      </w:r>
    </w:p>
    <w:p>
      <w:pPr>
        <w:ind w:firstLine="640" w:firstLineChars="200"/>
        <w:rPr>
          <w:rFonts w:hint="eastAsia" w:ascii="黑体" w:hAnsi="黑体" w:eastAsia="黑体"/>
          <w:b/>
          <w:sz w:val="32"/>
          <w:szCs w:val="32"/>
        </w:rPr>
      </w:pPr>
      <w:r>
        <w:rPr>
          <w:rFonts w:hint="eastAsia" w:ascii="仿宋" w:hAnsi="仿宋" w:eastAsia="仿宋" w:cs="宋体"/>
          <w:kern w:val="0"/>
          <w:sz w:val="32"/>
          <w:szCs w:val="32"/>
        </w:rPr>
        <w:t>应急保障组：由事故发生地镇街人民政府牵头，区委宣传部、区委网信办、区生态环境分局、区公安分局、区财政局、区卫健局根据本预案规定的职责，为应急响应提供设备、交通、物资等保障。</w:t>
      </w:r>
    </w:p>
    <w:p>
      <w:pPr>
        <w:ind w:firstLine="643" w:firstLineChars="200"/>
        <w:outlineLvl w:val="0"/>
        <w:rPr>
          <w:rFonts w:hint="eastAsia" w:ascii="黑体" w:hAnsi="黑体" w:eastAsia="黑体"/>
          <w:b/>
          <w:sz w:val="32"/>
          <w:szCs w:val="32"/>
        </w:rPr>
      </w:pPr>
      <w:r>
        <w:rPr>
          <w:rFonts w:hint="eastAsia" w:ascii="黑体" w:hAnsi="黑体" w:eastAsia="黑体"/>
          <w:b/>
          <w:sz w:val="32"/>
          <w:szCs w:val="32"/>
        </w:rPr>
        <w:t xml:space="preserve">4 监控预警 </w:t>
      </w:r>
    </w:p>
    <w:p>
      <w:pPr>
        <w:ind w:firstLine="643" w:firstLineChars="200"/>
        <w:rPr>
          <w:rFonts w:hint="eastAsia" w:ascii="仿宋" w:hAnsi="仿宋" w:eastAsia="仿宋" w:cs="宋体"/>
          <w:kern w:val="0"/>
          <w:sz w:val="32"/>
          <w:szCs w:val="32"/>
        </w:rPr>
      </w:pPr>
      <w:r>
        <w:rPr>
          <w:rFonts w:hint="eastAsia" w:ascii="仿宋" w:hAnsi="仿宋" w:eastAsia="仿宋" w:cs="宋体"/>
          <w:b/>
          <w:kern w:val="0"/>
          <w:sz w:val="32"/>
          <w:szCs w:val="32"/>
        </w:rPr>
        <w:t>4.1 信息监控。</w:t>
      </w:r>
      <w:r>
        <w:rPr>
          <w:rFonts w:hint="eastAsia" w:ascii="仿宋" w:hAnsi="仿宋" w:eastAsia="仿宋" w:cs="宋体"/>
          <w:kern w:val="0"/>
          <w:sz w:val="32"/>
          <w:szCs w:val="32"/>
        </w:rPr>
        <w:t xml:space="preserve">按照早发现、早报告、早处置的原则，生态环境部门可利用全省放射源在线监控平台等方式对辐射工作单位进行动态信息监控，重点收集、报告和处理放射源信息，放射源使用单位的安全运行状况信息，自然灾害（如台风、地震等）对辐射工作单位安全运行可能产生的影响，以及发生在我区境外有可能对我区造成辐射影响的事故信息。 </w:t>
      </w:r>
    </w:p>
    <w:p>
      <w:pPr>
        <w:ind w:firstLine="643" w:firstLineChars="200"/>
        <w:rPr>
          <w:rFonts w:hint="eastAsia" w:ascii="仿宋" w:hAnsi="仿宋" w:eastAsia="仿宋" w:cs="宋体"/>
          <w:kern w:val="0"/>
          <w:sz w:val="32"/>
          <w:szCs w:val="32"/>
        </w:rPr>
      </w:pPr>
      <w:r>
        <w:rPr>
          <w:rFonts w:hint="eastAsia" w:ascii="仿宋" w:hAnsi="仿宋" w:eastAsia="仿宋" w:cs="宋体"/>
          <w:b/>
          <w:kern w:val="0"/>
          <w:sz w:val="32"/>
          <w:szCs w:val="32"/>
        </w:rPr>
        <w:t>4.2 预防工作。</w:t>
      </w:r>
      <w:r>
        <w:rPr>
          <w:rFonts w:hint="eastAsia" w:ascii="仿宋" w:hAnsi="仿宋" w:eastAsia="仿宋" w:cs="宋体"/>
          <w:kern w:val="0"/>
          <w:sz w:val="32"/>
          <w:szCs w:val="32"/>
        </w:rPr>
        <w:t xml:space="preserve">辐射工作单位负责本单位辐射安全管理工作，制定本单位辐射事故应急处置方案，落实各项应急准备工作，预防辐射事故发生。生态环境部门和其他有关部门按照各自职责对辐射工作单位进行监督检查，对重点放射源实施有效监控，预防和减少辐射事故发生。 </w:t>
      </w:r>
    </w:p>
    <w:p>
      <w:pPr>
        <w:ind w:firstLine="643" w:firstLineChars="200"/>
        <w:rPr>
          <w:rFonts w:hint="eastAsia" w:ascii="仿宋" w:hAnsi="仿宋" w:eastAsia="仿宋" w:cs="宋体"/>
          <w:kern w:val="0"/>
          <w:sz w:val="32"/>
          <w:szCs w:val="32"/>
        </w:rPr>
      </w:pPr>
      <w:r>
        <w:rPr>
          <w:rFonts w:hint="eastAsia" w:ascii="仿宋" w:hAnsi="仿宋" w:eastAsia="仿宋" w:cs="宋体"/>
          <w:b/>
          <w:kern w:val="0"/>
          <w:sz w:val="32"/>
          <w:szCs w:val="32"/>
        </w:rPr>
        <w:t>4.3 预警工作。</w:t>
      </w:r>
      <w:r>
        <w:rPr>
          <w:rFonts w:hint="eastAsia" w:ascii="仿宋" w:hAnsi="仿宋" w:eastAsia="仿宋" w:cs="宋体"/>
          <w:kern w:val="0"/>
          <w:sz w:val="32"/>
          <w:szCs w:val="32"/>
        </w:rPr>
        <w:t xml:space="preserve">根据紧急程度、发展势态和可能造成的危害程度，预警级别分为一级、二级、三级和四级，分别用红色、橙色、黄色和蓝色标示，一级为最高级别。原则上，预警级别与可能发生的辐射事故等级对应。进入预警状态后，辐射事故应急工作专项小组应当采取以下措施： </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 xml:space="preserve">（1）发布预警公告。经请示政府同意后，组织相关部门及时通过电视、广播、报纸、互联网、手机短信等渠道或方式向可能受到危害的公众发布预警信息； </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 xml:space="preserve">（2）及时收集、报告有关信息，密切关注事态发展，根据事态发展，及时调整预警级别、更新报告、通报和发布有关辐射事故预测信息和分析评估结果； </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 xml:space="preserve">（3）组织辐射事故应急工作专项小组组成部门进入待命状态，动员应急人员做好参加应急处置和救援工作的准备，预置有关队伍、装备、物资等应急资源； </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（4）当事故发生风险已经解除，组织相关部门立即宣布解除预警，并解除已经采取的有关措施。</w:t>
      </w:r>
    </w:p>
    <w:p>
      <w:pPr>
        <w:outlineLvl w:val="0"/>
        <w:rPr>
          <w:rFonts w:hint="eastAsia" w:ascii="黑体" w:hAnsi="黑体" w:eastAsia="黑体"/>
          <w:b/>
          <w:sz w:val="32"/>
          <w:szCs w:val="32"/>
        </w:rPr>
      </w:pPr>
      <w:bookmarkStart w:id="34" w:name="_Toc17351"/>
      <w:r>
        <w:rPr>
          <w:rFonts w:hint="eastAsia" w:ascii="黑体" w:hAnsi="黑体" w:eastAsia="黑体"/>
          <w:b/>
          <w:sz w:val="32"/>
          <w:szCs w:val="32"/>
        </w:rPr>
        <w:t>5 应急响应</w:t>
      </w:r>
      <w:bookmarkEnd w:id="34"/>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根据辐射事故的性质、严重程度、可控性和影响范围等因素，应急响应分为I 级响应和II级响应。</w:t>
      </w:r>
    </w:p>
    <w:p>
      <w:pPr>
        <w:ind w:firstLine="643" w:firstLineChars="200"/>
        <w:rPr>
          <w:rFonts w:hint="eastAsia" w:ascii="仿宋" w:hAnsi="仿宋" w:eastAsia="仿宋" w:cs="宋体"/>
          <w:kern w:val="0"/>
          <w:sz w:val="32"/>
          <w:szCs w:val="32"/>
        </w:rPr>
      </w:pPr>
      <w:bookmarkStart w:id="35" w:name="_Toc31512"/>
      <w:bookmarkStart w:id="36" w:name="_Toc14050_WPSOffice_Level2"/>
      <w:r>
        <w:rPr>
          <w:rFonts w:hint="eastAsia" w:ascii="仿宋" w:hAnsi="仿宋" w:eastAsia="仿宋" w:cs="宋体"/>
          <w:b/>
          <w:bCs/>
          <w:kern w:val="0"/>
          <w:sz w:val="32"/>
          <w:szCs w:val="32"/>
        </w:rPr>
        <w:t>5.1 分级响应</w:t>
      </w:r>
      <w:bookmarkEnd w:id="35"/>
      <w:bookmarkEnd w:id="36"/>
    </w:p>
    <w:p>
      <w:pPr>
        <w:ind w:firstLine="640" w:firstLineChars="200"/>
        <w:rPr>
          <w:rFonts w:hint="eastAsia" w:ascii="仿宋" w:hAnsi="仿宋" w:eastAsia="仿宋" w:cs="宋体"/>
          <w:kern w:val="0"/>
          <w:sz w:val="32"/>
          <w:szCs w:val="32"/>
        </w:rPr>
      </w:pPr>
      <w:bookmarkStart w:id="37" w:name="_Toc6322_WPSOffice_Level3"/>
      <w:bookmarkStart w:id="38" w:name="_Toc8643"/>
      <w:r>
        <w:rPr>
          <w:rFonts w:hint="eastAsia" w:ascii="仿宋" w:hAnsi="仿宋" w:eastAsia="仿宋" w:cs="宋体"/>
          <w:kern w:val="0"/>
          <w:sz w:val="32"/>
          <w:szCs w:val="32"/>
        </w:rPr>
        <w:t xml:space="preserve">5.1.1  </w:t>
      </w:r>
      <w:bookmarkEnd w:id="37"/>
      <w:bookmarkEnd w:id="38"/>
      <w:r>
        <w:rPr>
          <w:rFonts w:hint="eastAsia" w:ascii="仿宋" w:hAnsi="仿宋" w:eastAsia="仿宋" w:cs="宋体"/>
          <w:kern w:val="0"/>
          <w:sz w:val="32"/>
          <w:szCs w:val="32"/>
        </w:rPr>
        <w:t>I 级响应。发生特别重大、重大、较大辐射事故时，由区辐射事故应急工作专项小组负责启动I 级响应，参与处置较大以上辐射事故。I级响应应采取下列应急处置措施：</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（1）按照上级统一部署开通与国务院、省、市辐射事故应急工作专项小组的通信联络，</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（2）启动区辐射事故应急预案，在国务院、省、市辐射事故应急工作专项小组的指导下，组织开展先期应急处置，随时掌握事态进展，及时报告事故进展情况，协助开展应急处置和救援工作。</w:t>
      </w:r>
      <w:bookmarkStart w:id="39" w:name="_Toc15831_WPSOffice_Level3"/>
    </w:p>
    <w:bookmarkEnd w:id="39"/>
    <w:p>
      <w:pPr>
        <w:ind w:firstLine="640" w:firstLineChars="200"/>
        <w:rPr>
          <w:rFonts w:hint="eastAsia" w:ascii="仿宋" w:hAnsi="仿宋" w:eastAsia="仿宋" w:cs="宋体"/>
          <w:kern w:val="0"/>
          <w:sz w:val="32"/>
          <w:szCs w:val="32"/>
        </w:rPr>
      </w:pPr>
      <w:bookmarkStart w:id="40" w:name="_Toc5396_WPSOffice_Level3"/>
      <w:bookmarkStart w:id="41" w:name="_Toc21719"/>
      <w:r>
        <w:rPr>
          <w:rFonts w:hint="eastAsia" w:ascii="仿宋" w:hAnsi="仿宋" w:eastAsia="仿宋" w:cs="宋体"/>
          <w:kern w:val="0"/>
          <w:sz w:val="32"/>
          <w:szCs w:val="32"/>
        </w:rPr>
        <w:t xml:space="preserve">5.1.2  </w:t>
      </w:r>
      <w:bookmarkEnd w:id="40"/>
      <w:bookmarkEnd w:id="41"/>
      <w:r>
        <w:rPr>
          <w:rFonts w:hint="eastAsia" w:ascii="仿宋" w:hAnsi="仿宋" w:eastAsia="仿宋" w:cs="宋体"/>
          <w:kern w:val="0"/>
          <w:sz w:val="32"/>
          <w:szCs w:val="32"/>
        </w:rPr>
        <w:t>II级响应。发生一般辐射事故时，由区辐射事故应急工作专项小组负责启动II级响应，统一指挥、组织、协调开展应急处置工作。II级响应应采取下列应急处置措施：</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 xml:space="preserve">（1）启动区辐射事故应急预案，组织实施应急处置，并及时向区政府和市辐射事故应急工作专项小组报告辐射事故情况和应急救援实施情况； </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（2）各相关成员单位应保持与区辐射事故应急工作专项小组的通信联络，及时掌握事故动态情况；</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（3）派出辐射事故相关应急专业组赶赴现场，参加应急救援行动。必要时报请市辐射事故应急工作专项小组予以指导和支持；</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（4）辐射事故发生地镇街人民政府及相关成员单位，在区辐射事故应急指挥部的领导下，要调集相关应急力量，组织开展辐射事故的应急处置工作。</w:t>
      </w:r>
    </w:p>
    <w:p>
      <w:pPr>
        <w:ind w:firstLine="643" w:firstLineChars="200"/>
        <w:rPr>
          <w:rFonts w:hint="eastAsia" w:ascii="仿宋" w:hAnsi="仿宋" w:eastAsia="仿宋" w:cs="宋体"/>
          <w:b/>
          <w:kern w:val="0"/>
          <w:sz w:val="32"/>
          <w:szCs w:val="32"/>
        </w:rPr>
      </w:pPr>
      <w:bookmarkStart w:id="42" w:name="_Toc18437"/>
      <w:bookmarkStart w:id="43" w:name="_Toc7946_WPSOffice_Level2"/>
      <w:r>
        <w:rPr>
          <w:rFonts w:hint="eastAsia" w:ascii="仿宋" w:hAnsi="仿宋" w:eastAsia="仿宋" w:cs="宋体"/>
          <w:b/>
          <w:bCs w:val="0"/>
          <w:kern w:val="0"/>
          <w:sz w:val="32"/>
          <w:szCs w:val="32"/>
        </w:rPr>
        <w:t>5.2 信息报告</w:t>
      </w:r>
      <w:bookmarkEnd w:id="42"/>
      <w:bookmarkEnd w:id="43"/>
      <w:r>
        <w:rPr>
          <w:rFonts w:hint="eastAsia" w:ascii="仿宋" w:hAnsi="仿宋" w:eastAsia="仿宋" w:cs="宋体"/>
          <w:b/>
          <w:kern w:val="0"/>
          <w:sz w:val="32"/>
          <w:szCs w:val="32"/>
        </w:rPr>
        <w:t xml:space="preserve"> </w:t>
      </w:r>
    </w:p>
    <w:p>
      <w:pPr>
        <w:ind w:firstLine="640" w:firstLineChars="200"/>
        <w:rPr>
          <w:rFonts w:hint="eastAsia" w:ascii="仿宋" w:hAnsi="仿宋" w:eastAsia="仿宋" w:cs="宋体"/>
          <w:kern w:val="0"/>
          <w:sz w:val="32"/>
          <w:szCs w:val="32"/>
        </w:rPr>
      </w:pPr>
      <w:bookmarkStart w:id="44" w:name="_Toc15500_WPSOffice_Level3"/>
      <w:bookmarkStart w:id="45" w:name="_Toc22402"/>
      <w:r>
        <w:rPr>
          <w:rFonts w:hint="eastAsia" w:ascii="仿宋" w:hAnsi="仿宋" w:eastAsia="仿宋" w:cs="宋体"/>
          <w:kern w:val="0"/>
          <w:sz w:val="32"/>
          <w:szCs w:val="32"/>
        </w:rPr>
        <w:t>5.2.1 报告时限和程序</w:t>
      </w:r>
      <w:bookmarkEnd w:id="44"/>
      <w:bookmarkEnd w:id="45"/>
      <w:r>
        <w:rPr>
          <w:rFonts w:hint="eastAsia" w:ascii="仿宋" w:hAnsi="仿宋" w:eastAsia="仿宋" w:cs="宋体"/>
          <w:kern w:val="0"/>
          <w:sz w:val="32"/>
          <w:szCs w:val="32"/>
        </w:rPr>
        <w:t>。企事业单位发生辐射事故或判断可能引发辐射事故时，应立即向当地生态环境、公安、卫生健康等部门报告相关信息，并启动本单位辐射事故应急方案，采取必要的先期应急处置措施。专项小组成员单位得知辐射事故信息后，及时进行通报，立即进行核实，对辐射事故的性质和类别作出初步认定，并逐级上报；情况紧急时，也可越级上报，但应同时报告上一级主管部门。</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接到事故报告后，属于较大以上辐射事故的，应在1小时内报告市政府，必要时直接报省政府。不得迟报、谎报、瞒报和漏报。</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辐射事故处置过程中事故级别发生变化的，应当按照变化后的级别报告信息。发生无法判明等级的辐射事故，应当按照重大或者特别重大辐射事故的报告程序上报。</w:t>
      </w:r>
    </w:p>
    <w:p>
      <w:pPr>
        <w:ind w:firstLine="640" w:firstLineChars="200"/>
        <w:rPr>
          <w:rFonts w:hint="eastAsia" w:ascii="仿宋" w:hAnsi="仿宋" w:eastAsia="仿宋" w:cs="宋体"/>
          <w:kern w:val="0"/>
          <w:sz w:val="32"/>
          <w:szCs w:val="32"/>
        </w:rPr>
      </w:pPr>
      <w:bookmarkStart w:id="46" w:name="_Toc26188"/>
      <w:bookmarkStart w:id="47" w:name="_Toc26115_WPSOffice_Level3"/>
      <w:r>
        <w:rPr>
          <w:rFonts w:hint="eastAsia" w:ascii="仿宋" w:hAnsi="仿宋" w:eastAsia="仿宋" w:cs="宋体"/>
          <w:kern w:val="0"/>
          <w:sz w:val="32"/>
          <w:szCs w:val="32"/>
        </w:rPr>
        <w:t>5.2.2 报告方式与内容</w:t>
      </w:r>
      <w:bookmarkEnd w:id="46"/>
      <w:bookmarkEnd w:id="47"/>
      <w:r>
        <w:rPr>
          <w:rFonts w:hint="eastAsia" w:ascii="仿宋" w:hAnsi="仿宋" w:eastAsia="仿宋" w:cs="宋体"/>
          <w:kern w:val="0"/>
          <w:sz w:val="32"/>
          <w:szCs w:val="32"/>
        </w:rPr>
        <w:t>。辐射事故的报告分为初报、续报和处理结果报告。</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初报在发现或者得知辐射事故后首次上报；续报在查清有关基本情况、事故发展情况后随时上报；处理结果报告在辐射事故处理完毕后上报。</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初报应当报告辐射事故的发生时间、地点、信息来源、事故起因和性质、基本过程、人员受害情况、事故发展趋势、处置情况、拟采取的措施以及下一步工作建议等初步情况。（《辐射事故初始报告表》详见附件2）</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续报应当在初报的基础上，报告有关处置进展情况。（《辐射事故后续报告表》详见附件3）</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处理结果报告应当在初报和续报的基础上，报告处理辐射事故的措施、过程和结果，辐射事故潜在或者间接危害以及损失、社会影响、处理后的遗留问题、责任追究等详细情况。</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辐射事故信息应当采用传真、网络、邮寄和面呈等方式书面报告；情况紧急时，初报可通过电话报告，但应当及时补充书面报告。</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书面报告中应当写明辐射事故报告单位、报告签发人、联系人及联系方式等内容，并尽可能提供地图、图片以及相关的多媒体资料。</w:t>
      </w:r>
    </w:p>
    <w:p>
      <w:pPr>
        <w:ind w:firstLine="640" w:firstLineChars="200"/>
        <w:rPr>
          <w:rFonts w:hint="eastAsia" w:ascii="仿宋" w:hAnsi="仿宋" w:eastAsia="仿宋" w:cs="宋体"/>
          <w:kern w:val="0"/>
          <w:sz w:val="32"/>
          <w:szCs w:val="32"/>
        </w:rPr>
      </w:pPr>
      <w:bookmarkStart w:id="48" w:name="_Toc31326"/>
      <w:bookmarkStart w:id="49" w:name="_Toc10071_WPSOffice_Level3"/>
      <w:r>
        <w:rPr>
          <w:rFonts w:hint="eastAsia" w:ascii="仿宋" w:hAnsi="仿宋" w:eastAsia="仿宋" w:cs="宋体"/>
          <w:kern w:val="0"/>
          <w:sz w:val="32"/>
          <w:szCs w:val="32"/>
        </w:rPr>
        <w:t>5.2.3 信息通报</w:t>
      </w:r>
      <w:bookmarkEnd w:id="48"/>
      <w:bookmarkEnd w:id="49"/>
      <w:r>
        <w:rPr>
          <w:rFonts w:hint="eastAsia" w:ascii="仿宋" w:hAnsi="仿宋" w:eastAsia="仿宋" w:cs="宋体"/>
          <w:kern w:val="0"/>
          <w:sz w:val="32"/>
          <w:szCs w:val="32"/>
        </w:rPr>
        <w:t>。辐射事故已经或者可能涉及相邻行政区域的，事故发生地政府及其生态环境部门应当及时上报上一级政府及其生态环境主管部门，并通报相邻区域同级政府及其生态环境部门。接到通报的政府及部门应当及时调查了解情况，并按照相关规定报告辐射事故信息。</w:t>
      </w:r>
    </w:p>
    <w:p>
      <w:pPr>
        <w:ind w:firstLine="643" w:firstLineChars="200"/>
        <w:rPr>
          <w:rFonts w:hint="eastAsia" w:ascii="仿宋" w:hAnsi="仿宋" w:eastAsia="仿宋" w:cs="宋体"/>
          <w:b/>
          <w:kern w:val="0"/>
          <w:sz w:val="32"/>
          <w:szCs w:val="32"/>
        </w:rPr>
      </w:pPr>
      <w:bookmarkStart w:id="50" w:name="_Toc21579"/>
      <w:bookmarkStart w:id="51" w:name="_Toc7969_WPSOffice_Level2"/>
      <w:r>
        <w:rPr>
          <w:rFonts w:hint="eastAsia" w:ascii="仿宋" w:hAnsi="仿宋" w:eastAsia="仿宋" w:cs="宋体"/>
          <w:b/>
          <w:kern w:val="0"/>
          <w:sz w:val="32"/>
          <w:szCs w:val="32"/>
        </w:rPr>
        <w:t>5.3 先期处置</w:t>
      </w:r>
      <w:bookmarkEnd w:id="50"/>
      <w:bookmarkEnd w:id="51"/>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 xml:space="preserve">发生辐射事故的企事业单位，应立即启动辐射事故应急预案，采取有效措施，防止污染扩散，按规定向当地生态环境、公安、卫生健康等部门报告。 </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接到报告的相关部门应当立即派员赶赴现场，采取有效措施，控制事故现场，并按要求上报事故情况。辐射事故应急处置相关部门、单位要及时主动提供应急救援有关的基础资料和必要的技术支持，负有监管责任的相关部门提供事故发生前的有关监管检查资料，供实施和调整应急救援和处置方案时参考。</w:t>
      </w:r>
    </w:p>
    <w:p>
      <w:pPr>
        <w:ind w:firstLine="643" w:firstLineChars="200"/>
        <w:rPr>
          <w:rFonts w:hint="eastAsia" w:ascii="仿宋" w:hAnsi="仿宋" w:eastAsia="仿宋" w:cs="宋体"/>
          <w:b/>
          <w:kern w:val="0"/>
          <w:sz w:val="32"/>
          <w:szCs w:val="32"/>
        </w:rPr>
      </w:pPr>
      <w:bookmarkStart w:id="52" w:name="_Toc26016_WPSOffice_Level2"/>
      <w:bookmarkStart w:id="53" w:name="_Toc15820"/>
      <w:r>
        <w:rPr>
          <w:rFonts w:hint="eastAsia" w:ascii="仿宋" w:hAnsi="仿宋" w:eastAsia="仿宋" w:cs="宋体"/>
          <w:b/>
          <w:kern w:val="0"/>
          <w:sz w:val="32"/>
          <w:szCs w:val="32"/>
        </w:rPr>
        <w:t>5.4 现场应急处置</w:t>
      </w:r>
      <w:bookmarkEnd w:id="52"/>
      <w:bookmarkEnd w:id="53"/>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发生辐射事故时，区辐射事故应急工作专项小组转为区辐射事故应急指挥部，根据应急处置需要可成立辐射事故现场应急指挥部，负责组织协调辐射事故现场的应急处置工作。</w:t>
      </w:r>
    </w:p>
    <w:p>
      <w:pPr>
        <w:ind w:firstLine="640" w:firstLineChars="200"/>
        <w:rPr>
          <w:rFonts w:ascii="仿宋" w:hAnsi="仿宋" w:eastAsia="仿宋" w:cs="宋体"/>
          <w:kern w:val="0"/>
          <w:sz w:val="32"/>
          <w:szCs w:val="32"/>
        </w:rPr>
      </w:pPr>
      <w:r>
        <w:rPr>
          <w:rFonts w:ascii="仿宋" w:hAnsi="仿宋" w:eastAsia="仿宋" w:cs="宋体"/>
          <w:kern w:val="0"/>
          <w:sz w:val="32"/>
          <w:szCs w:val="32"/>
        </w:rPr>
        <w:t xml:space="preserve">（1）提出现场应急行动原则要求，依法及时公布应对辐射事故的决定、命令； </w:t>
      </w:r>
    </w:p>
    <w:p>
      <w:pPr>
        <w:ind w:firstLine="640" w:firstLineChars="200"/>
        <w:rPr>
          <w:rFonts w:ascii="仿宋" w:hAnsi="仿宋" w:eastAsia="仿宋" w:cs="宋体"/>
          <w:kern w:val="0"/>
          <w:sz w:val="32"/>
          <w:szCs w:val="32"/>
        </w:rPr>
      </w:pPr>
      <w:r>
        <w:rPr>
          <w:rFonts w:ascii="仿宋" w:hAnsi="仿宋" w:eastAsia="仿宋" w:cs="宋体"/>
          <w:kern w:val="0"/>
          <w:sz w:val="32"/>
          <w:szCs w:val="32"/>
        </w:rPr>
        <w:t xml:space="preserve">（2）派出有关专家和人员参与现场应急处置指挥工作； </w:t>
      </w:r>
    </w:p>
    <w:p>
      <w:pPr>
        <w:ind w:firstLine="640" w:firstLineChars="200"/>
        <w:rPr>
          <w:rFonts w:ascii="仿宋" w:hAnsi="仿宋" w:eastAsia="仿宋" w:cs="宋体"/>
          <w:kern w:val="0"/>
          <w:sz w:val="32"/>
          <w:szCs w:val="32"/>
        </w:rPr>
      </w:pPr>
      <w:r>
        <w:rPr>
          <w:rFonts w:ascii="仿宋" w:hAnsi="仿宋" w:eastAsia="仿宋" w:cs="宋体"/>
          <w:kern w:val="0"/>
          <w:sz w:val="32"/>
          <w:szCs w:val="32"/>
        </w:rPr>
        <w:t xml:space="preserve">（3）协调各级、各专业应急力量实施应急支援行动； </w:t>
      </w:r>
    </w:p>
    <w:p>
      <w:pPr>
        <w:ind w:firstLine="640" w:firstLineChars="200"/>
        <w:rPr>
          <w:rFonts w:ascii="仿宋" w:hAnsi="仿宋" w:eastAsia="仿宋" w:cs="宋体"/>
          <w:kern w:val="0"/>
          <w:sz w:val="32"/>
          <w:szCs w:val="32"/>
        </w:rPr>
      </w:pPr>
      <w:r>
        <w:rPr>
          <w:rFonts w:ascii="仿宋" w:hAnsi="仿宋" w:eastAsia="仿宋" w:cs="宋体"/>
          <w:kern w:val="0"/>
          <w:sz w:val="32"/>
          <w:szCs w:val="32"/>
        </w:rPr>
        <w:t xml:space="preserve">（4）协调受威胁的周边地区放射源的监控工作； </w:t>
      </w:r>
    </w:p>
    <w:p>
      <w:pPr>
        <w:ind w:firstLine="640" w:firstLineChars="200"/>
        <w:rPr>
          <w:rFonts w:ascii="仿宋" w:hAnsi="仿宋" w:eastAsia="仿宋" w:cs="宋体"/>
          <w:kern w:val="0"/>
          <w:sz w:val="32"/>
          <w:szCs w:val="32"/>
        </w:rPr>
      </w:pPr>
      <w:r>
        <w:rPr>
          <w:rFonts w:ascii="仿宋" w:hAnsi="仿宋" w:eastAsia="仿宋" w:cs="宋体"/>
          <w:kern w:val="0"/>
          <w:sz w:val="32"/>
          <w:szCs w:val="32"/>
        </w:rPr>
        <w:t xml:space="preserve">（5）协调建立现场警戒区和交通管制区域，确定重点防护区域； </w:t>
      </w:r>
    </w:p>
    <w:p>
      <w:pPr>
        <w:ind w:firstLine="640" w:firstLineChars="200"/>
        <w:rPr>
          <w:rFonts w:ascii="仿宋" w:hAnsi="仿宋" w:eastAsia="仿宋" w:cs="宋体"/>
          <w:kern w:val="0"/>
          <w:sz w:val="32"/>
          <w:szCs w:val="32"/>
        </w:rPr>
      </w:pPr>
      <w:r>
        <w:rPr>
          <w:rFonts w:ascii="仿宋" w:hAnsi="仿宋" w:eastAsia="仿宋" w:cs="宋体"/>
          <w:kern w:val="0"/>
          <w:sz w:val="32"/>
          <w:szCs w:val="32"/>
        </w:rPr>
        <w:t xml:space="preserve">（6）根据辐射事故的性质、特点，告知单位和公民应采取的安全防护措施； </w:t>
      </w:r>
    </w:p>
    <w:p>
      <w:pPr>
        <w:ind w:firstLine="640" w:firstLineChars="200"/>
        <w:rPr>
          <w:rFonts w:ascii="仿宋" w:hAnsi="仿宋" w:eastAsia="仿宋" w:cs="宋体"/>
          <w:kern w:val="0"/>
          <w:sz w:val="32"/>
          <w:szCs w:val="32"/>
        </w:rPr>
      </w:pPr>
      <w:r>
        <w:rPr>
          <w:rFonts w:ascii="仿宋" w:hAnsi="仿宋" w:eastAsia="仿宋" w:cs="宋体"/>
          <w:kern w:val="0"/>
          <w:sz w:val="32"/>
          <w:szCs w:val="32"/>
        </w:rPr>
        <w:t xml:space="preserve">（7）根据事发时当地的气象、地理环境、人员密集度等，确定受到威胁人员的疏散和撤离时间、方式； </w:t>
      </w:r>
    </w:p>
    <w:p>
      <w:pPr>
        <w:ind w:firstLine="640" w:firstLineChars="200"/>
        <w:rPr>
          <w:rFonts w:ascii="仿宋" w:hAnsi="仿宋" w:eastAsia="仿宋" w:cs="宋体"/>
          <w:kern w:val="0"/>
          <w:sz w:val="32"/>
          <w:szCs w:val="32"/>
        </w:rPr>
      </w:pPr>
      <w:r>
        <w:rPr>
          <w:rFonts w:ascii="仿宋" w:hAnsi="仿宋" w:eastAsia="仿宋" w:cs="宋体"/>
          <w:kern w:val="0"/>
          <w:sz w:val="32"/>
          <w:szCs w:val="32"/>
        </w:rPr>
        <w:t xml:space="preserve">（8）及时向辐射事故应急指挥部报告相关信息。 </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其中，</w:t>
      </w:r>
      <w:r>
        <w:rPr>
          <w:rFonts w:ascii="仿宋" w:hAnsi="仿宋" w:eastAsia="仿宋" w:cs="宋体"/>
          <w:kern w:val="0"/>
          <w:sz w:val="32"/>
          <w:szCs w:val="32"/>
        </w:rPr>
        <w:t>生态环境部门负责现场辐射事故应急监测，事故放射源的安全处置等。公安部门负责现场安保和交通秩序维护，追缴丢失、被盗的放射源等。卫生健康部门负责指导个体防护，发放所需药品，对受辐射事故影响人员实施应急救援，对放射病和受超剂量照射的人员实施现场救护、医学救治及心理干预等。</w:t>
      </w:r>
    </w:p>
    <w:p>
      <w:pPr>
        <w:ind w:firstLine="643" w:firstLineChars="200"/>
        <w:rPr>
          <w:rFonts w:hint="eastAsia" w:ascii="仿宋" w:hAnsi="仿宋" w:eastAsia="仿宋" w:cs="宋体"/>
          <w:b/>
          <w:kern w:val="0"/>
          <w:sz w:val="32"/>
          <w:szCs w:val="32"/>
        </w:rPr>
      </w:pPr>
      <w:bookmarkStart w:id="54" w:name="_Toc9469_WPSOffice_Level2"/>
      <w:bookmarkStart w:id="55" w:name="_Toc11872"/>
      <w:r>
        <w:rPr>
          <w:rFonts w:hint="eastAsia" w:ascii="仿宋" w:hAnsi="仿宋" w:eastAsia="仿宋" w:cs="宋体"/>
          <w:b/>
          <w:kern w:val="0"/>
          <w:sz w:val="32"/>
          <w:szCs w:val="32"/>
        </w:rPr>
        <w:t>5.5 辐射应急监测</w:t>
      </w:r>
      <w:bookmarkEnd w:id="54"/>
      <w:bookmarkEnd w:id="55"/>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根据辐射事故性质，制定辐射应急监测方案，确定污染物扩散的范围；根据监测结果，综合分析辐射事故污染变化趋势，并通过专家咨询和讨论等方式，预测并报告辐射事故发展情况、污染物变化以及对人群的影响，作为辐射事故应急决策的技术支撑。</w:t>
      </w:r>
    </w:p>
    <w:p>
      <w:pPr>
        <w:ind w:firstLine="643" w:firstLineChars="200"/>
        <w:rPr>
          <w:rFonts w:hint="eastAsia" w:ascii="仿宋" w:hAnsi="仿宋" w:eastAsia="仿宋" w:cs="宋体"/>
          <w:b/>
          <w:kern w:val="0"/>
          <w:sz w:val="32"/>
          <w:szCs w:val="32"/>
        </w:rPr>
      </w:pPr>
      <w:bookmarkStart w:id="56" w:name="_Toc23692"/>
      <w:bookmarkStart w:id="57" w:name="_Toc6405_WPSOffice_Level2"/>
      <w:r>
        <w:rPr>
          <w:rFonts w:hint="eastAsia" w:ascii="仿宋" w:hAnsi="仿宋" w:eastAsia="仿宋" w:cs="宋体"/>
          <w:b/>
          <w:kern w:val="0"/>
          <w:sz w:val="32"/>
          <w:szCs w:val="32"/>
        </w:rPr>
        <w:t>5.6 信息发布和舆论引导</w:t>
      </w:r>
      <w:bookmarkEnd w:id="56"/>
      <w:bookmarkEnd w:id="57"/>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辐射事故的信息发布应遵循依法、及时、准确、客观、全面的原则，由政府统一向社会发布信息。</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辐射事故发生后应及时向社会发布简要信息，适时发布初步核实情况、事态进展、政府应对措施和公众安全防范措施等，并根据事故处置情况做好后续发布工作。</w:t>
      </w:r>
    </w:p>
    <w:p>
      <w:pPr>
        <w:ind w:firstLine="640" w:firstLineChars="200"/>
        <w:rPr>
          <w:rFonts w:hint="eastAsia" w:ascii="仿宋" w:hAnsi="仿宋" w:eastAsia="仿宋" w:cs="宋体"/>
          <w:kern w:val="0"/>
          <w:sz w:val="32"/>
          <w:szCs w:val="32"/>
        </w:rPr>
      </w:pPr>
      <w:bookmarkStart w:id="58" w:name="_Toc9856_WPSOffice_Level2"/>
      <w:r>
        <w:rPr>
          <w:rFonts w:hint="eastAsia" w:ascii="仿宋" w:hAnsi="仿宋" w:eastAsia="仿宋" w:cs="宋体"/>
          <w:kern w:val="0"/>
          <w:sz w:val="32"/>
          <w:szCs w:val="32"/>
        </w:rPr>
        <w:t>各级各有关部门要加强对相关信息的核实、审查和管理，做好舆情分析和舆论引导工作。任何单位和个人不得编造、传播有关辐射事故事态发展或者应急处置工作的虚假信息。</w:t>
      </w:r>
    </w:p>
    <w:p>
      <w:pPr>
        <w:ind w:firstLine="643" w:firstLineChars="200"/>
        <w:rPr>
          <w:rFonts w:hint="eastAsia" w:ascii="仿宋" w:hAnsi="仿宋" w:eastAsia="仿宋" w:cs="宋体"/>
          <w:b/>
          <w:kern w:val="0"/>
          <w:sz w:val="32"/>
          <w:szCs w:val="32"/>
        </w:rPr>
      </w:pPr>
      <w:bookmarkStart w:id="59" w:name="_Toc31935"/>
      <w:r>
        <w:rPr>
          <w:rFonts w:hint="eastAsia" w:ascii="仿宋" w:hAnsi="仿宋" w:eastAsia="仿宋" w:cs="宋体"/>
          <w:b/>
          <w:kern w:val="0"/>
          <w:sz w:val="32"/>
          <w:szCs w:val="32"/>
        </w:rPr>
        <w:t>5.7 安全防护</w:t>
      </w:r>
      <w:bookmarkEnd w:id="58"/>
      <w:bookmarkEnd w:id="59"/>
      <w:r>
        <w:rPr>
          <w:rFonts w:hint="eastAsia" w:ascii="仿宋" w:hAnsi="仿宋" w:eastAsia="仿宋" w:cs="宋体"/>
          <w:b/>
          <w:kern w:val="0"/>
          <w:sz w:val="32"/>
          <w:szCs w:val="32"/>
        </w:rPr>
        <w:t xml:space="preserve"> </w:t>
      </w:r>
    </w:p>
    <w:p>
      <w:pPr>
        <w:ind w:firstLine="640" w:firstLineChars="200"/>
        <w:rPr>
          <w:rFonts w:hint="eastAsia" w:ascii="仿宋" w:hAnsi="仿宋" w:eastAsia="仿宋" w:cs="宋体"/>
          <w:kern w:val="0"/>
          <w:sz w:val="32"/>
          <w:szCs w:val="32"/>
        </w:rPr>
      </w:pPr>
      <w:bookmarkStart w:id="60" w:name="_Toc392_WPSOffice_Level3"/>
      <w:bookmarkStart w:id="61" w:name="_Toc23726"/>
      <w:r>
        <w:rPr>
          <w:rFonts w:hint="eastAsia" w:ascii="仿宋" w:hAnsi="仿宋" w:eastAsia="仿宋" w:cs="宋体"/>
          <w:kern w:val="0"/>
          <w:sz w:val="32"/>
          <w:szCs w:val="32"/>
        </w:rPr>
        <w:t>5.7.1 辐射应急人员的安全防护</w:t>
      </w:r>
      <w:bookmarkEnd w:id="60"/>
      <w:bookmarkEnd w:id="61"/>
      <w:r>
        <w:rPr>
          <w:rFonts w:hint="eastAsia" w:ascii="仿宋" w:hAnsi="仿宋" w:eastAsia="仿宋" w:cs="宋体"/>
          <w:kern w:val="0"/>
          <w:sz w:val="32"/>
          <w:szCs w:val="32"/>
        </w:rPr>
        <w:t>。根据辐射事故的特点，采取安全防护措施，配备相应的专业防护装备，严格执行辐射应急人员出入事发现场的程序。</w:t>
      </w:r>
    </w:p>
    <w:p>
      <w:pPr>
        <w:ind w:firstLine="640" w:firstLineChars="200"/>
        <w:rPr>
          <w:rFonts w:hint="eastAsia" w:ascii="仿宋" w:hAnsi="仿宋" w:eastAsia="仿宋" w:cs="宋体"/>
          <w:kern w:val="0"/>
          <w:sz w:val="32"/>
          <w:szCs w:val="32"/>
        </w:rPr>
      </w:pPr>
      <w:bookmarkStart w:id="62" w:name="_Toc31037"/>
      <w:bookmarkStart w:id="63" w:name="_Toc25972_WPSOffice_Level3"/>
      <w:r>
        <w:rPr>
          <w:rFonts w:hint="eastAsia" w:ascii="仿宋" w:hAnsi="仿宋" w:eastAsia="仿宋" w:cs="宋体"/>
          <w:kern w:val="0"/>
          <w:sz w:val="32"/>
          <w:szCs w:val="32"/>
        </w:rPr>
        <w:t>5.7.2 受威胁群众的安全防护</w:t>
      </w:r>
      <w:bookmarkEnd w:id="62"/>
      <w:bookmarkEnd w:id="63"/>
      <w:r>
        <w:rPr>
          <w:rFonts w:hint="eastAsia" w:ascii="仿宋" w:hAnsi="仿宋" w:eastAsia="仿宋" w:cs="宋体"/>
          <w:kern w:val="0"/>
          <w:sz w:val="32"/>
          <w:szCs w:val="32"/>
        </w:rPr>
        <w:t xml:space="preserve">。受威胁群众的安全防护由区政府统一规划，设立紧急避险场所。应当根据当地的气象、地理环境、人员密集度等，确定受威胁人员疏散方式，组织群众安全疏散撤离和妥善安置。 </w:t>
      </w:r>
    </w:p>
    <w:p>
      <w:pPr>
        <w:ind w:firstLine="643" w:firstLineChars="200"/>
        <w:rPr>
          <w:rFonts w:hint="eastAsia" w:ascii="仿宋" w:hAnsi="仿宋" w:eastAsia="仿宋" w:cs="宋体"/>
          <w:b/>
          <w:kern w:val="0"/>
          <w:sz w:val="32"/>
          <w:szCs w:val="32"/>
        </w:rPr>
      </w:pPr>
      <w:bookmarkStart w:id="64" w:name="_Toc7251_WPSOffice_Level2"/>
      <w:bookmarkStart w:id="65" w:name="_Toc13484"/>
      <w:r>
        <w:rPr>
          <w:rFonts w:hint="eastAsia" w:ascii="仿宋" w:hAnsi="仿宋" w:eastAsia="仿宋" w:cs="宋体"/>
          <w:b/>
          <w:kern w:val="0"/>
          <w:sz w:val="32"/>
          <w:szCs w:val="32"/>
        </w:rPr>
        <w:t>5.8 应急终止</w:t>
      </w:r>
      <w:bookmarkEnd w:id="64"/>
      <w:bookmarkEnd w:id="65"/>
      <w:r>
        <w:rPr>
          <w:rFonts w:hint="eastAsia" w:ascii="仿宋" w:hAnsi="仿宋" w:eastAsia="仿宋" w:cs="宋体"/>
          <w:b/>
          <w:kern w:val="0"/>
          <w:sz w:val="32"/>
          <w:szCs w:val="32"/>
        </w:rPr>
        <w:t xml:space="preserve"> </w:t>
      </w:r>
    </w:p>
    <w:p>
      <w:pPr>
        <w:ind w:firstLine="640" w:firstLineChars="200"/>
        <w:rPr>
          <w:rFonts w:hint="eastAsia" w:ascii="仿宋" w:hAnsi="仿宋" w:eastAsia="仿宋" w:cs="宋体"/>
          <w:kern w:val="0"/>
          <w:sz w:val="32"/>
          <w:szCs w:val="32"/>
        </w:rPr>
      </w:pPr>
      <w:bookmarkStart w:id="66" w:name="_Toc15480"/>
      <w:bookmarkStart w:id="67" w:name="_Toc19138_WPSOffice_Level3"/>
      <w:r>
        <w:rPr>
          <w:rFonts w:hint="eastAsia" w:ascii="仿宋" w:hAnsi="仿宋" w:eastAsia="仿宋" w:cs="宋体"/>
          <w:kern w:val="0"/>
          <w:sz w:val="32"/>
          <w:szCs w:val="32"/>
        </w:rPr>
        <w:t>5.8.1 应急终止的条件</w:t>
      </w:r>
      <w:bookmarkEnd w:id="66"/>
      <w:bookmarkEnd w:id="67"/>
      <w:r>
        <w:rPr>
          <w:rFonts w:hint="eastAsia" w:ascii="仿宋" w:hAnsi="仿宋" w:eastAsia="仿宋" w:cs="宋体"/>
          <w:kern w:val="0"/>
          <w:sz w:val="32"/>
          <w:szCs w:val="32"/>
        </w:rPr>
        <w:t>。符合下列条件之一的，可终止应急响应：</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（1）辐射污染源的泄漏或释放已降至规定限值以内；</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（2）事故所造成的危害已经被彻底消除，无继发可能；</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（3）事故现场的各种专业应急处置行动已无继续的必要。</w:t>
      </w:r>
    </w:p>
    <w:p>
      <w:pPr>
        <w:ind w:firstLine="640" w:firstLineChars="200"/>
        <w:rPr>
          <w:rFonts w:hint="eastAsia" w:ascii="仿宋" w:hAnsi="仿宋" w:eastAsia="仿宋" w:cs="宋体"/>
          <w:kern w:val="0"/>
          <w:sz w:val="32"/>
          <w:szCs w:val="32"/>
        </w:rPr>
      </w:pPr>
      <w:bookmarkStart w:id="68" w:name="_Toc28279"/>
      <w:bookmarkStart w:id="69" w:name="_Toc5510_WPSOffice_Level3"/>
      <w:r>
        <w:rPr>
          <w:rFonts w:hint="eastAsia" w:ascii="仿宋" w:hAnsi="仿宋" w:eastAsia="仿宋" w:cs="宋体"/>
          <w:kern w:val="0"/>
          <w:sz w:val="32"/>
          <w:szCs w:val="32"/>
        </w:rPr>
        <w:t>5.8.2 应急终止的程序</w:t>
      </w:r>
      <w:bookmarkEnd w:id="68"/>
      <w:bookmarkEnd w:id="69"/>
      <w:r>
        <w:rPr>
          <w:rFonts w:hint="eastAsia" w:ascii="仿宋" w:hAnsi="仿宋" w:eastAsia="仿宋"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（1）辐射事故应急指挥部决定终止应急响应，或由事故责任单位提出并经辐射事故应急指挥部批准；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（2）辐射事故应急指挥部向组织处置辐射事故的各专业应急救援队伍下达应急终止命令；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（3）应急状态终止后，辐射事故应急指挥部组成部门应根据当地实际情况，决定是否继续进行环境放射性巡测、采样和事故影响的评价工作，直至自然过程或其它补救措施无需继续进行为止。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宋体"/>
          <w:b/>
          <w:kern w:val="0"/>
          <w:sz w:val="32"/>
          <w:szCs w:val="32"/>
        </w:rPr>
      </w:pPr>
      <w:bookmarkStart w:id="70" w:name="_Toc21830"/>
      <w:bookmarkStart w:id="71" w:name="_Toc1396_WPSOffice_Level2"/>
      <w:r>
        <w:rPr>
          <w:rFonts w:hint="eastAsia" w:ascii="仿宋" w:hAnsi="仿宋" w:eastAsia="仿宋" w:cs="宋体"/>
          <w:b/>
          <w:kern w:val="0"/>
          <w:sz w:val="32"/>
          <w:szCs w:val="32"/>
        </w:rPr>
        <w:t>5.9 总结报告</w:t>
      </w:r>
      <w:bookmarkEnd w:id="70"/>
      <w:bookmarkEnd w:id="7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应急响应终止后，区辐射事故应急工作专项小组应尽快查明事故原因，并对辐射事故情况和应急期间的主要行动进行总结评估，于1个月内以书面形式将总结报告报区政府和上级有关部门。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b/>
          <w:sz w:val="32"/>
          <w:szCs w:val="32"/>
        </w:rPr>
      </w:pPr>
      <w:bookmarkStart w:id="72" w:name="_Toc24486"/>
      <w:bookmarkStart w:id="73" w:name="_Toc3498_WPSOffice_Level1"/>
      <w:r>
        <w:rPr>
          <w:rFonts w:hint="eastAsia" w:ascii="黑体" w:hAnsi="黑体" w:eastAsia="黑体"/>
          <w:b/>
          <w:sz w:val="32"/>
          <w:szCs w:val="32"/>
        </w:rPr>
        <w:t>6 应急能力维持</w:t>
      </w:r>
      <w:bookmarkEnd w:id="72"/>
      <w:bookmarkEnd w:id="73"/>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宋体"/>
          <w:b/>
          <w:kern w:val="0"/>
          <w:sz w:val="32"/>
          <w:szCs w:val="32"/>
        </w:rPr>
      </w:pPr>
      <w:bookmarkStart w:id="74" w:name="_Toc9359"/>
      <w:bookmarkStart w:id="75" w:name="_Toc21238_WPSOffice_Level2"/>
      <w:r>
        <w:rPr>
          <w:rFonts w:hint="eastAsia" w:ascii="仿宋" w:hAnsi="仿宋" w:eastAsia="仿宋" w:cs="宋体"/>
          <w:b/>
          <w:kern w:val="0"/>
          <w:sz w:val="32"/>
          <w:szCs w:val="32"/>
        </w:rPr>
        <w:t>6.1 应急预案</w:t>
      </w:r>
      <w:bookmarkEnd w:id="74"/>
      <w:bookmarkEnd w:id="7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区政府应当制定本辖区的辐射事故应急预案，并报济南市生态环境部门备案；根据实际需要和情势变化，适时修订和完善应急预案，修订后的应急预案应重新备案。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宋体"/>
          <w:b/>
          <w:kern w:val="0"/>
          <w:sz w:val="32"/>
          <w:szCs w:val="32"/>
        </w:rPr>
      </w:pPr>
      <w:bookmarkStart w:id="76" w:name="_Toc2156"/>
      <w:bookmarkStart w:id="77" w:name="_Toc16936_WPSOffice_Level2"/>
      <w:r>
        <w:rPr>
          <w:rFonts w:hint="eastAsia" w:ascii="仿宋" w:hAnsi="仿宋" w:eastAsia="仿宋" w:cs="宋体"/>
          <w:b/>
          <w:kern w:val="0"/>
          <w:sz w:val="32"/>
          <w:szCs w:val="32"/>
        </w:rPr>
        <w:t>6.2 培训和演练</w:t>
      </w:r>
      <w:bookmarkEnd w:id="76"/>
      <w:bookmarkEnd w:id="7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 xml:space="preserve">区政府有关部门要加强辐射事故应急人员日常培训，按照应急预案定期组织不同类型的应急实战演练，提高防范和处置辐射事故技能，增强实战能力。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宋体"/>
          <w:b/>
          <w:kern w:val="0"/>
          <w:sz w:val="32"/>
          <w:szCs w:val="32"/>
        </w:rPr>
      </w:pPr>
      <w:bookmarkStart w:id="78" w:name="_Toc14617_WPSOffice_Level2"/>
      <w:bookmarkStart w:id="79" w:name="_Toc26875"/>
      <w:r>
        <w:rPr>
          <w:rFonts w:hint="eastAsia" w:ascii="仿宋" w:hAnsi="仿宋" w:eastAsia="仿宋" w:cs="宋体"/>
          <w:b/>
          <w:kern w:val="0"/>
          <w:sz w:val="32"/>
          <w:szCs w:val="32"/>
        </w:rPr>
        <w:t>6.3 应急保障</w:t>
      </w:r>
      <w:bookmarkEnd w:id="78"/>
      <w:bookmarkEnd w:id="7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各级财政负责落实应由同级政府承担的辐射事故应急响应工作经费。各相关部门应根据担负的辐射事故应急响应工作任务，配备相应的仪器设备和装备物资，保障辐射事故应急指挥、应急救援与处置、应急监测等公务用车，并加强日常维护和保养，保证能够随时应对可能发生的辐射事故。</w:t>
      </w:r>
    </w:p>
    <w:p>
      <w:pPr>
        <w:ind w:firstLine="643" w:firstLineChars="200"/>
        <w:rPr>
          <w:rFonts w:hint="eastAsia" w:ascii="仿宋" w:hAnsi="仿宋" w:eastAsia="仿宋" w:cs="宋体"/>
          <w:b/>
          <w:kern w:val="0"/>
          <w:sz w:val="32"/>
          <w:szCs w:val="32"/>
        </w:rPr>
      </w:pPr>
      <w:bookmarkStart w:id="80" w:name="_Toc30472"/>
      <w:bookmarkStart w:id="81" w:name="_Toc4164_WPSOffice_Level2"/>
      <w:r>
        <w:rPr>
          <w:rFonts w:hint="eastAsia" w:ascii="仿宋" w:hAnsi="仿宋" w:eastAsia="仿宋" w:cs="宋体"/>
          <w:b/>
          <w:kern w:val="0"/>
          <w:sz w:val="32"/>
          <w:szCs w:val="32"/>
        </w:rPr>
        <w:t>6.4 值班制度</w:t>
      </w:r>
      <w:bookmarkEnd w:id="80"/>
      <w:bookmarkEnd w:id="81"/>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区辐射事故应急工作专项小组办公室和各相关单位实行24小时电话值班；各应急响应人员通讯设备随时保持畅通。辐射事故应急响应期间，辐射事故应急指挥机构相关单 位实行 24 小时在岗值班。</w:t>
      </w:r>
    </w:p>
    <w:p>
      <w:pPr>
        <w:ind w:firstLine="643" w:firstLineChars="200"/>
        <w:outlineLvl w:val="0"/>
        <w:rPr>
          <w:rFonts w:hint="eastAsia" w:ascii="黑体" w:hAnsi="黑体" w:eastAsia="黑体" w:cs="黑体"/>
          <w:kern w:val="0"/>
          <w:sz w:val="32"/>
          <w:szCs w:val="32"/>
          <w:lang w:bidi="ar"/>
        </w:rPr>
      </w:pPr>
      <w:bookmarkStart w:id="82" w:name="_Toc21499_WPSOffice_Level1"/>
      <w:r>
        <w:rPr>
          <w:rFonts w:hint="eastAsia" w:ascii="黑体" w:hAnsi="黑体" w:eastAsia="黑体" w:cs="黑体"/>
          <w:b/>
          <w:bCs/>
          <w:kern w:val="0"/>
          <w:sz w:val="32"/>
          <w:szCs w:val="32"/>
          <w:lang w:bidi="ar"/>
        </w:rPr>
        <w:t>7  附  则</w:t>
      </w:r>
    </w:p>
    <w:p>
      <w:pPr>
        <w:ind w:firstLine="643" w:firstLineChars="200"/>
        <w:rPr>
          <w:rFonts w:hint="eastAsia" w:ascii="仿宋" w:hAnsi="仿宋" w:eastAsia="仿宋" w:cs="宋体"/>
          <w:b/>
          <w:bCs/>
          <w:kern w:val="0"/>
          <w:sz w:val="32"/>
          <w:szCs w:val="32"/>
        </w:rPr>
      </w:pPr>
      <w:r>
        <w:rPr>
          <w:rFonts w:hint="eastAsia" w:ascii="仿宋" w:hAnsi="仿宋" w:eastAsia="仿宋" w:cs="宋体"/>
          <w:b/>
          <w:bCs/>
          <w:kern w:val="0"/>
          <w:sz w:val="32"/>
          <w:szCs w:val="32"/>
        </w:rPr>
        <w:t>7.1  本预案自发布之日起施行。</w:t>
      </w:r>
    </w:p>
    <w:p>
      <w:pPr>
        <w:ind w:firstLine="643" w:firstLineChars="200"/>
        <w:rPr>
          <w:rFonts w:hint="eastAsia" w:ascii="仿宋" w:hAnsi="仿宋" w:eastAsia="仿宋" w:cs="宋体"/>
          <w:b/>
          <w:bCs/>
          <w:kern w:val="0"/>
          <w:sz w:val="32"/>
          <w:szCs w:val="32"/>
        </w:rPr>
      </w:pPr>
      <w:r>
        <w:rPr>
          <w:rFonts w:hint="eastAsia" w:ascii="仿宋" w:hAnsi="仿宋" w:eastAsia="仿宋" w:cs="宋体"/>
          <w:b/>
          <w:bCs/>
          <w:kern w:val="0"/>
          <w:sz w:val="32"/>
          <w:szCs w:val="32"/>
        </w:rPr>
        <w:t>7.2  本预案中下列用语的含义：</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7.2.1  核技术利用，是指密封放射源、非密封放射源和射线装置在医疗、工业、农业、地质调查、科学研究和教学等领域中的使用。</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7.2.2  放射源，是指除研究堆和动力堆核燃料循环范畴的材料以外，永久密封在容器中或者有严密包层并呈固态的放射性材料。</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7.2.3  射线装置，是指X射线机、加速器、中子发生器以及含放射源的装置。</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7.2.4  放射性废物，是指含有放射性核素或者被放射性核素污染，其浓度或者比活度大于国家确定的清洁解控水平，预期不再使用的废弃物。</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7.2.5  伴生放射性矿，是指含有较高水平天然放射性核素浓度的非铀矿（如稀土矿和磷酸盐矿等）。</w:t>
      </w:r>
    </w:p>
    <w:p>
      <w:pPr>
        <w:ind w:firstLine="640" w:firstLineChars="200"/>
        <w:rPr>
          <w:rFonts w:hint="eastAsia" w:ascii="仿宋" w:hAnsi="仿宋" w:eastAsia="仿宋" w:cs="宋体"/>
          <w:kern w:val="0"/>
          <w:sz w:val="32"/>
          <w:szCs w:val="32"/>
        </w:rPr>
      </w:pPr>
      <w:bookmarkStart w:id="83" w:name="_Toc22817_WPSOffice_Level1"/>
      <w:bookmarkStart w:id="84" w:name="_Toc8090_WPSOffice_Level1"/>
      <w:bookmarkStart w:id="85" w:name="_Toc8727_WPSOffice_Level1"/>
      <w:bookmarkStart w:id="86" w:name="_Toc30209_WPSOffice_Level1"/>
      <w:bookmarkStart w:id="87" w:name="_Toc26039_WPSOffice_Level1"/>
      <w:bookmarkStart w:id="88" w:name="_Toc26133_WPSOffice_Level1"/>
      <w:bookmarkStart w:id="89" w:name="_Toc20516"/>
      <w:r>
        <w:rPr>
          <w:rFonts w:hint="eastAsia" w:ascii="仿宋" w:hAnsi="仿宋" w:eastAsia="仿宋" w:cs="宋体"/>
          <w:kern w:val="0"/>
          <w:sz w:val="32"/>
          <w:szCs w:val="32"/>
        </w:rPr>
        <w:t>附件：1.</w:t>
      </w:r>
      <w:bookmarkEnd w:id="82"/>
      <w:bookmarkEnd w:id="83"/>
      <w:bookmarkEnd w:id="84"/>
      <w:r>
        <w:rPr>
          <w:rFonts w:hint="eastAsia" w:ascii="仿宋" w:hAnsi="仿宋" w:eastAsia="仿宋" w:cs="宋体"/>
          <w:kern w:val="0"/>
          <w:sz w:val="32"/>
          <w:szCs w:val="32"/>
        </w:rPr>
        <w:t>辐射事故量化指标</w:t>
      </w:r>
      <w:bookmarkEnd w:id="85"/>
      <w:bookmarkEnd w:id="86"/>
      <w:bookmarkEnd w:id="87"/>
      <w:bookmarkEnd w:id="88"/>
      <w:bookmarkEnd w:id="89"/>
    </w:p>
    <w:p>
      <w:pPr>
        <w:ind w:firstLine="1600" w:firstLineChars="500"/>
        <w:rPr>
          <w:rFonts w:hint="eastAsia" w:ascii="仿宋" w:hAnsi="仿宋" w:eastAsia="仿宋" w:cs="宋体"/>
          <w:kern w:val="0"/>
          <w:sz w:val="32"/>
          <w:szCs w:val="32"/>
        </w:rPr>
      </w:pPr>
      <w:bookmarkStart w:id="90" w:name="_Toc30112_WPSOffice_Level1"/>
      <w:bookmarkStart w:id="91" w:name="_Toc8052_WPSOffice_Level1"/>
      <w:bookmarkStart w:id="92" w:name="_Toc6406_WPSOffice_Level1"/>
      <w:bookmarkStart w:id="93" w:name="_Toc31703_WPSOffice_Level1"/>
      <w:bookmarkStart w:id="94" w:name="_Toc14746_WPSOffice_Level1"/>
      <w:bookmarkStart w:id="95" w:name="_Toc2297_WPSOffice_Level1"/>
      <w:bookmarkStart w:id="96" w:name="_Toc8736_WPSOffice_Level1"/>
      <w:r>
        <w:rPr>
          <w:rFonts w:hint="eastAsia" w:ascii="仿宋" w:hAnsi="仿宋" w:eastAsia="仿宋" w:cs="宋体"/>
          <w:kern w:val="0"/>
          <w:sz w:val="32"/>
          <w:szCs w:val="32"/>
        </w:rPr>
        <w:t>2.</w:t>
      </w:r>
      <w:bookmarkEnd w:id="90"/>
      <w:bookmarkEnd w:id="91"/>
      <w:bookmarkEnd w:id="92"/>
      <w:r>
        <w:rPr>
          <w:rFonts w:hint="eastAsia" w:ascii="仿宋" w:hAnsi="仿宋" w:eastAsia="仿宋" w:cs="宋体"/>
          <w:kern w:val="0"/>
          <w:sz w:val="32"/>
          <w:szCs w:val="32"/>
        </w:rPr>
        <w:t>辐射事故初始报告表</w:t>
      </w:r>
      <w:bookmarkEnd w:id="93"/>
      <w:bookmarkEnd w:id="94"/>
      <w:bookmarkEnd w:id="95"/>
      <w:bookmarkEnd w:id="96"/>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 xml:space="preserve">    </w:t>
      </w:r>
      <w:bookmarkStart w:id="97" w:name="_Toc12547_WPSOffice_Level1"/>
      <w:bookmarkStart w:id="98" w:name="_Toc29446_WPSOffice_Level1"/>
      <w:bookmarkStart w:id="99" w:name="_Toc773_WPSOffice_Level1"/>
      <w:r>
        <w:rPr>
          <w:rFonts w:hint="eastAsia" w:ascii="仿宋" w:hAnsi="仿宋" w:eastAsia="仿宋" w:cs="宋体"/>
          <w:kern w:val="0"/>
          <w:sz w:val="32"/>
          <w:szCs w:val="32"/>
        </w:rPr>
        <w:t xml:space="preserve">  </w:t>
      </w:r>
      <w:bookmarkStart w:id="100" w:name="_Toc19384_WPSOffice_Level1"/>
      <w:bookmarkStart w:id="101" w:name="_Toc8866_WPSOffice_Level1"/>
      <w:bookmarkStart w:id="102" w:name="_Toc23045_WPSOffice_Level1"/>
      <w:bookmarkStart w:id="103" w:name="_Toc20131_WPSOffice_Level1"/>
      <w:r>
        <w:rPr>
          <w:rFonts w:hint="eastAsia" w:ascii="仿宋" w:hAnsi="仿宋" w:eastAsia="仿宋" w:cs="宋体"/>
          <w:kern w:val="0"/>
          <w:sz w:val="32"/>
          <w:szCs w:val="32"/>
        </w:rPr>
        <w:t>3.</w:t>
      </w:r>
      <w:bookmarkEnd w:id="97"/>
      <w:bookmarkEnd w:id="98"/>
      <w:bookmarkEnd w:id="99"/>
      <w:r>
        <w:rPr>
          <w:rFonts w:hint="eastAsia" w:ascii="仿宋" w:hAnsi="仿宋" w:eastAsia="仿宋" w:cs="宋体"/>
          <w:kern w:val="0"/>
          <w:sz w:val="32"/>
          <w:szCs w:val="32"/>
        </w:rPr>
        <w:t>辐射事故后续报告表</w:t>
      </w:r>
      <w:bookmarkEnd w:id="100"/>
      <w:bookmarkEnd w:id="101"/>
      <w:bookmarkEnd w:id="102"/>
      <w:bookmarkEnd w:id="103"/>
    </w:p>
    <w:p>
      <w:pPr>
        <w:spacing w:before="156" w:beforeLines="50" w:line="360" w:lineRule="auto"/>
        <w:rPr>
          <w:rFonts w:hint="eastAsia" w:ascii="黑体" w:hAnsi="黑体" w:eastAsia="黑体"/>
          <w:b/>
          <w:sz w:val="32"/>
          <w:szCs w:val="32"/>
        </w:rPr>
        <w:sectPr>
          <w:footerReference r:id="rId3" w:type="default"/>
          <w:pgSz w:w="11906" w:h="16838"/>
          <w:pgMar w:top="1417" w:right="1474" w:bottom="1417" w:left="1474" w:header="850" w:footer="1020" w:gutter="0"/>
          <w:pgNumType w:fmt="numberInDash"/>
          <w:cols w:space="720" w:num="1"/>
          <w:docGrid w:type="lines" w:linePitch="312" w:charSpace="0"/>
        </w:sectPr>
      </w:pPr>
    </w:p>
    <w:p>
      <w:pPr>
        <w:spacing w:before="156" w:beforeLines="50" w:after="312" w:afterLines="100" w:line="360" w:lineRule="auto"/>
        <w:outlineLvl w:val="0"/>
        <w:rPr>
          <w:rFonts w:hint="eastAsia" w:ascii="文星标宋" w:hAnsi="文星标宋" w:eastAsia="文星标宋"/>
          <w:b/>
          <w:bCs/>
          <w:sz w:val="44"/>
          <w:szCs w:val="44"/>
        </w:rPr>
      </w:pPr>
      <w:bookmarkStart w:id="104" w:name="_Toc291"/>
      <w:r>
        <w:rPr>
          <w:rFonts w:hint="eastAsia" w:ascii="黑体" w:hAnsi="黑体" w:eastAsia="黑体" w:cs="黑体"/>
          <w:b/>
          <w:sz w:val="32"/>
          <w:szCs w:val="32"/>
        </w:rPr>
        <w:t xml:space="preserve">附件1 </w:t>
      </w:r>
      <w:bookmarkStart w:id="105" w:name="_Toc28989_WPSOffice_Level1"/>
      <w:bookmarkStart w:id="106" w:name="_Toc25846_WPSOffice_Level1"/>
      <w:bookmarkStart w:id="107" w:name="_Toc25041_WPSOffice_Level1"/>
      <w:r>
        <w:rPr>
          <w:rFonts w:hint="eastAsia" w:ascii="黑体" w:hAnsi="黑体" w:eastAsia="黑体" w:cs="黑体"/>
          <w:b/>
          <w:sz w:val="32"/>
          <w:szCs w:val="32"/>
        </w:rPr>
        <w:t>辐射事故量化指标</w:t>
      </w:r>
      <w:bookmarkEnd w:id="104"/>
      <w:bookmarkEnd w:id="105"/>
      <w:bookmarkEnd w:id="106"/>
      <w:bookmarkEnd w:id="107"/>
    </w:p>
    <w:p>
      <w:pPr>
        <w:adjustRightInd w:val="0"/>
        <w:snapToGrid w:val="0"/>
        <w:spacing w:line="360" w:lineRule="auto"/>
        <w:ind w:firstLine="643" w:firstLineChars="200"/>
        <w:rPr>
          <w:rFonts w:ascii="仿宋" w:hAnsi="仿宋" w:eastAsia="仿宋"/>
          <w:b/>
          <w:sz w:val="32"/>
          <w:szCs w:val="32"/>
        </w:rPr>
      </w:pPr>
      <w:bookmarkStart w:id="108" w:name="_Toc2336_WPSOffice_Level1"/>
      <w:bookmarkStart w:id="109" w:name="_Toc32021_WPSOffice_Level1"/>
      <w:bookmarkStart w:id="110" w:name="_Toc10417_WPSOffice_Level1"/>
      <w:bookmarkStart w:id="111" w:name="_Toc30468_WPSOffice_Level1"/>
      <w:bookmarkStart w:id="112" w:name="_Toc30492_WPSOffice_Level1"/>
      <w:bookmarkStart w:id="113" w:name="_Toc13313_WPSOffice_Level1"/>
      <w:bookmarkStart w:id="114" w:name="_Toc14901_WPSOffice_Level1"/>
      <w:bookmarkStart w:id="115" w:name="_Toc1748_WPSOffice_Level1"/>
      <w:bookmarkStart w:id="116" w:name="_Toc27658_WPSOffice_Level1"/>
      <w:r>
        <w:rPr>
          <w:rFonts w:ascii="仿宋" w:hAnsi="仿宋" w:eastAsia="仿宋"/>
          <w:b/>
          <w:sz w:val="32"/>
          <w:szCs w:val="32"/>
        </w:rPr>
        <w:t>一、特别重大辐射事故</w:t>
      </w:r>
      <w:bookmarkEnd w:id="108"/>
      <w:bookmarkEnd w:id="109"/>
      <w:bookmarkEnd w:id="110"/>
      <w:bookmarkEnd w:id="111"/>
      <w:bookmarkEnd w:id="112"/>
      <w:bookmarkEnd w:id="113"/>
      <w:bookmarkEnd w:id="114"/>
      <w:bookmarkEnd w:id="115"/>
      <w:bookmarkEnd w:id="116"/>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一 ）事故造成气态放射性物质的释放量大于等于5.0E+15Bq的I-131当量，或者事故造成大于等于3km</w:t>
      </w:r>
      <w:r>
        <w:rPr>
          <w:rFonts w:ascii="仿宋" w:hAnsi="仿宋" w:eastAsia="仿宋"/>
          <w:sz w:val="32"/>
          <w:szCs w:val="32"/>
          <w:vertAlign w:val="superscript"/>
        </w:rPr>
        <w:t>2</w:t>
      </w:r>
      <w:r>
        <w:rPr>
          <w:rFonts w:ascii="仿宋" w:hAnsi="仿宋" w:eastAsia="仿宋"/>
          <w:sz w:val="32"/>
          <w:szCs w:val="32"/>
        </w:rPr>
        <w:t>范围的环境剂量率达到或超过 0.1mSv/h，或者β/γ沉积水平达到或超过1000Bq/cm</w:t>
      </w:r>
      <w:r>
        <w:rPr>
          <w:rFonts w:ascii="仿宋" w:hAnsi="仿宋" w:eastAsia="仿宋"/>
          <w:sz w:val="32"/>
          <w:szCs w:val="32"/>
          <w:vertAlign w:val="superscript"/>
        </w:rPr>
        <w:t>2</w:t>
      </w:r>
      <w:r>
        <w:rPr>
          <w:rFonts w:ascii="仿宋" w:hAnsi="仿宋" w:eastAsia="仿宋"/>
          <w:sz w:val="32"/>
          <w:szCs w:val="32"/>
        </w:rPr>
        <w:t>，或者α沉积活度达到或超过 100Bq/cm</w:t>
      </w:r>
      <w:r>
        <w:rPr>
          <w:rFonts w:ascii="仿宋" w:hAnsi="仿宋" w:eastAsia="仿宋"/>
          <w:sz w:val="32"/>
          <w:szCs w:val="32"/>
          <w:vertAlign w:val="superscript"/>
        </w:rPr>
        <w:t>2</w:t>
      </w:r>
      <w:r>
        <w:rPr>
          <w:rFonts w:ascii="仿宋" w:hAnsi="仿宋" w:eastAsia="仿宋"/>
          <w:sz w:val="32"/>
          <w:szCs w:val="32"/>
        </w:rPr>
        <w:t xml:space="preserve"> ；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xml:space="preserve">（二）事故造成水环境污染时液态放射性物质的释放量大于等于1.0E+13Bq的Sr-90当量；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xml:space="preserve">（三）事故造成地表、土壤污染（未造成地下水污染）时液态放射性物质的释放量大于等于 1.0E+14Bq 的 Sr-90 当量；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（四）在放射性物质运输过程中，发生事故造成大于等于25000D</w:t>
      </w:r>
      <w:r>
        <w:rPr>
          <w:rFonts w:ascii="仿宋" w:hAnsi="仿宋" w:eastAsia="仿宋"/>
          <w:sz w:val="32"/>
          <w:szCs w:val="32"/>
          <w:vertAlign w:val="subscript"/>
        </w:rPr>
        <w:t>2</w:t>
      </w:r>
      <w:r>
        <w:rPr>
          <w:rFonts w:ascii="仿宋" w:hAnsi="仿宋" w:eastAsia="仿宋"/>
          <w:sz w:val="32"/>
          <w:szCs w:val="32"/>
        </w:rPr>
        <w:t>的放射性同位素释放。</w:t>
      </w:r>
    </w:p>
    <w:p>
      <w:pPr>
        <w:adjustRightInd w:val="0"/>
        <w:snapToGrid w:val="0"/>
        <w:spacing w:line="360" w:lineRule="auto"/>
        <w:ind w:firstLine="643" w:firstLineChars="200"/>
        <w:rPr>
          <w:rFonts w:ascii="仿宋" w:hAnsi="仿宋" w:eastAsia="仿宋"/>
          <w:b/>
          <w:sz w:val="32"/>
          <w:szCs w:val="32"/>
        </w:rPr>
      </w:pPr>
      <w:bookmarkStart w:id="117" w:name="_Toc15166_WPSOffice_Level1"/>
      <w:bookmarkStart w:id="118" w:name="_Toc12274_WPSOffice_Level1"/>
      <w:bookmarkStart w:id="119" w:name="_Toc16842_WPSOffice_Level1"/>
      <w:bookmarkStart w:id="120" w:name="_Toc26117_WPSOffice_Level1"/>
      <w:bookmarkStart w:id="121" w:name="_Toc18308_WPSOffice_Level1"/>
      <w:bookmarkStart w:id="122" w:name="_Toc10140_WPSOffice_Level1"/>
      <w:bookmarkStart w:id="123" w:name="_Toc24555_WPSOffice_Level1"/>
      <w:bookmarkStart w:id="124" w:name="_Toc18047_WPSOffice_Level1"/>
      <w:bookmarkStart w:id="125" w:name="_Toc27855_WPSOffice_Level1"/>
      <w:r>
        <w:rPr>
          <w:rFonts w:ascii="仿宋" w:hAnsi="仿宋" w:eastAsia="仿宋"/>
          <w:b/>
          <w:sz w:val="32"/>
          <w:szCs w:val="32"/>
        </w:rPr>
        <w:t>二、重大辐射事故</w:t>
      </w:r>
      <w:bookmarkEnd w:id="117"/>
      <w:bookmarkEnd w:id="118"/>
      <w:bookmarkEnd w:id="119"/>
      <w:bookmarkEnd w:id="120"/>
      <w:bookmarkEnd w:id="121"/>
      <w:bookmarkEnd w:id="122"/>
      <w:bookmarkEnd w:id="123"/>
      <w:bookmarkEnd w:id="124"/>
      <w:bookmarkEnd w:id="125"/>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（一）事故造成气态放射性物质的释放量大于或等于 5.0E+14Bq，且小于5.0E+15Bq的I-131当量，或者事故造成大于等于0.5km</w:t>
      </w:r>
      <w:r>
        <w:rPr>
          <w:rFonts w:ascii="仿宋" w:hAnsi="仿宋" w:eastAsia="仿宋"/>
          <w:sz w:val="32"/>
          <w:szCs w:val="32"/>
          <w:vertAlign w:val="superscript"/>
        </w:rPr>
        <w:t>2</w:t>
      </w:r>
      <w:r>
        <w:rPr>
          <w:rFonts w:ascii="仿宋" w:hAnsi="仿宋" w:eastAsia="仿宋"/>
          <w:sz w:val="32"/>
          <w:szCs w:val="32"/>
        </w:rPr>
        <w:t>，且小于3km</w:t>
      </w:r>
      <w:r>
        <w:rPr>
          <w:rFonts w:ascii="仿宋" w:hAnsi="仿宋" w:eastAsia="仿宋"/>
          <w:sz w:val="32"/>
          <w:szCs w:val="32"/>
          <w:vertAlign w:val="superscript"/>
        </w:rPr>
        <w:t>2</w:t>
      </w:r>
      <w:r>
        <w:rPr>
          <w:rFonts w:ascii="仿宋" w:hAnsi="仿宋" w:eastAsia="仿宋"/>
          <w:sz w:val="32"/>
          <w:szCs w:val="32"/>
        </w:rPr>
        <w:t>范围的环境剂量率达到或超过0.1mSv/h</w:t>
      </w:r>
      <w:r>
        <w:rPr>
          <w:rFonts w:hint="eastAsia" w:ascii="仿宋" w:hAnsi="仿宋" w:eastAsia="仿宋"/>
          <w:sz w:val="32"/>
          <w:szCs w:val="32"/>
        </w:rPr>
        <w:t>，</w:t>
      </w:r>
      <w:r>
        <w:rPr>
          <w:rFonts w:ascii="仿宋" w:hAnsi="仿宋" w:eastAsia="仿宋"/>
          <w:sz w:val="32"/>
          <w:szCs w:val="32"/>
        </w:rPr>
        <w:t>或者β/γ沉积水平达到或超过 1000Bq/cm</w:t>
      </w:r>
      <w:r>
        <w:rPr>
          <w:rFonts w:ascii="仿宋" w:hAnsi="仿宋" w:eastAsia="仿宋"/>
          <w:sz w:val="32"/>
          <w:szCs w:val="32"/>
          <w:vertAlign w:val="superscript"/>
        </w:rPr>
        <w:t>2</w:t>
      </w:r>
      <w:r>
        <w:rPr>
          <w:rFonts w:ascii="仿宋" w:hAnsi="仿宋" w:eastAsia="仿宋"/>
          <w:sz w:val="32"/>
          <w:szCs w:val="32"/>
        </w:rPr>
        <w:t>，或者α沉积活度达到或超过 100Bq/cm</w:t>
      </w:r>
      <w:r>
        <w:rPr>
          <w:rFonts w:ascii="仿宋" w:hAnsi="仿宋" w:eastAsia="仿宋"/>
          <w:sz w:val="32"/>
          <w:szCs w:val="32"/>
          <w:vertAlign w:val="superscript"/>
        </w:rPr>
        <w:t>2</w:t>
      </w:r>
      <w:r>
        <w:rPr>
          <w:rFonts w:ascii="仿宋" w:hAnsi="仿宋" w:eastAsia="仿宋"/>
          <w:sz w:val="32"/>
          <w:szCs w:val="32"/>
        </w:rPr>
        <w:t xml:space="preserve"> ；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xml:space="preserve">（二）事故造成水环境污染时液态放射性物质的释放量大于等于1.0E+12Bq，且小于 1.0E+13Bq 的Sr-90当量；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xml:space="preserve">（三）事故造成地表、土壤污染（未造成地下水污染）时液态放射性物质的释放量大于等于 1.0E+13Bq，且小于 1.0E+14Bq的 Sr-90当量；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（四）在放射性物质运输过程中，发生事故造成大于等于2500D</w:t>
      </w:r>
      <w:r>
        <w:rPr>
          <w:rFonts w:ascii="仿宋" w:hAnsi="仿宋" w:eastAsia="仿宋"/>
          <w:sz w:val="32"/>
          <w:szCs w:val="32"/>
          <w:vertAlign w:val="subscript"/>
        </w:rPr>
        <w:t>2</w:t>
      </w:r>
      <w:r>
        <w:rPr>
          <w:rFonts w:ascii="仿宋" w:hAnsi="仿宋" w:eastAsia="仿宋"/>
          <w:sz w:val="32"/>
          <w:szCs w:val="32"/>
        </w:rPr>
        <w:t>，且小于 25000D</w:t>
      </w:r>
      <w:r>
        <w:rPr>
          <w:rFonts w:ascii="仿宋" w:hAnsi="仿宋" w:eastAsia="仿宋"/>
          <w:sz w:val="32"/>
          <w:szCs w:val="32"/>
          <w:vertAlign w:val="subscript"/>
        </w:rPr>
        <w:t>2</w:t>
      </w:r>
      <w:r>
        <w:rPr>
          <w:rFonts w:ascii="仿宋" w:hAnsi="仿宋" w:eastAsia="仿宋"/>
          <w:sz w:val="32"/>
          <w:szCs w:val="32"/>
        </w:rPr>
        <w:t xml:space="preserve">的放射性同位素释放。 </w:t>
      </w:r>
    </w:p>
    <w:p>
      <w:pPr>
        <w:adjustRightInd w:val="0"/>
        <w:snapToGrid w:val="0"/>
        <w:spacing w:line="360" w:lineRule="auto"/>
        <w:ind w:firstLine="643" w:firstLineChars="200"/>
        <w:rPr>
          <w:rFonts w:ascii="仿宋" w:hAnsi="仿宋" w:eastAsia="仿宋"/>
          <w:b/>
          <w:sz w:val="32"/>
          <w:szCs w:val="32"/>
        </w:rPr>
      </w:pPr>
      <w:bookmarkStart w:id="126" w:name="_Toc1206_WPSOffice_Level1"/>
      <w:bookmarkStart w:id="127" w:name="_Toc20392_WPSOffice_Level1"/>
      <w:bookmarkStart w:id="128" w:name="_Toc25510_WPSOffice_Level1"/>
      <w:bookmarkStart w:id="129" w:name="_Toc16031_WPSOffice_Level1"/>
      <w:bookmarkStart w:id="130" w:name="_Toc24017_WPSOffice_Level1"/>
      <w:bookmarkStart w:id="131" w:name="_Toc14741_WPSOffice_Level1"/>
      <w:bookmarkStart w:id="132" w:name="_Toc20837_WPSOffice_Level1"/>
      <w:bookmarkStart w:id="133" w:name="_Toc3835_WPSOffice_Level1"/>
      <w:bookmarkStart w:id="134" w:name="_Toc20697_WPSOffice_Level1"/>
      <w:r>
        <w:rPr>
          <w:rFonts w:ascii="仿宋" w:hAnsi="仿宋" w:eastAsia="仿宋"/>
          <w:b/>
          <w:sz w:val="32"/>
          <w:szCs w:val="32"/>
        </w:rPr>
        <w:t>三、较大辐射事故</w:t>
      </w:r>
      <w:bookmarkEnd w:id="126"/>
      <w:bookmarkEnd w:id="127"/>
      <w:bookmarkEnd w:id="128"/>
      <w:bookmarkEnd w:id="129"/>
      <w:bookmarkEnd w:id="130"/>
      <w:bookmarkEnd w:id="131"/>
      <w:bookmarkEnd w:id="132"/>
      <w:bookmarkEnd w:id="133"/>
      <w:bookmarkEnd w:id="134"/>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一 ）事故造成气态放射性物质的释放量大于等于5.0E+11Bq</w:t>
      </w:r>
      <w:r>
        <w:rPr>
          <w:rFonts w:hint="eastAsia" w:ascii="仿宋" w:hAnsi="仿宋" w:eastAsia="仿宋"/>
          <w:sz w:val="32"/>
          <w:szCs w:val="32"/>
        </w:rPr>
        <w:t>，</w:t>
      </w:r>
      <w:r>
        <w:rPr>
          <w:rFonts w:ascii="仿宋" w:hAnsi="仿宋" w:eastAsia="仿宋"/>
          <w:sz w:val="32"/>
          <w:szCs w:val="32"/>
        </w:rPr>
        <w:t>且小于5.0E+14Bq的I-131当量，或者事故造成大于等于500m</w:t>
      </w:r>
      <w:r>
        <w:rPr>
          <w:rFonts w:ascii="仿宋" w:hAnsi="仿宋" w:eastAsia="仿宋"/>
          <w:sz w:val="32"/>
          <w:szCs w:val="32"/>
          <w:vertAlign w:val="superscript"/>
        </w:rPr>
        <w:t>2</w:t>
      </w:r>
      <w:r>
        <w:rPr>
          <w:rFonts w:hint="eastAsia" w:ascii="仿宋" w:hAnsi="仿宋" w:eastAsia="仿宋"/>
          <w:sz w:val="32"/>
          <w:szCs w:val="32"/>
        </w:rPr>
        <w:t>，</w:t>
      </w:r>
      <w:r>
        <w:rPr>
          <w:rFonts w:ascii="仿宋" w:hAnsi="仿宋" w:eastAsia="仿宋"/>
          <w:sz w:val="32"/>
          <w:szCs w:val="32"/>
        </w:rPr>
        <w:t>且小于0.5km</w:t>
      </w:r>
      <w:r>
        <w:rPr>
          <w:rFonts w:ascii="仿宋" w:hAnsi="仿宋" w:eastAsia="仿宋"/>
          <w:sz w:val="32"/>
          <w:szCs w:val="32"/>
          <w:vertAlign w:val="superscript"/>
        </w:rPr>
        <w:t>2</w:t>
      </w:r>
      <w:r>
        <w:rPr>
          <w:rFonts w:ascii="仿宋" w:hAnsi="仿宋" w:eastAsia="仿宋"/>
          <w:sz w:val="32"/>
          <w:szCs w:val="32"/>
        </w:rPr>
        <w:t>范围的环境剂量率达到或超过0.1mSv/h</w:t>
      </w:r>
      <w:r>
        <w:rPr>
          <w:rFonts w:hint="eastAsia" w:ascii="仿宋" w:hAnsi="仿宋" w:eastAsia="仿宋"/>
          <w:sz w:val="32"/>
          <w:szCs w:val="32"/>
        </w:rPr>
        <w:t>，</w:t>
      </w:r>
      <w:r>
        <w:rPr>
          <w:rFonts w:ascii="仿宋" w:hAnsi="仿宋" w:eastAsia="仿宋"/>
          <w:sz w:val="32"/>
          <w:szCs w:val="32"/>
        </w:rPr>
        <w:t>或者β/γ沉积水平达到或超过 1000Bq/cm</w:t>
      </w:r>
      <w:r>
        <w:rPr>
          <w:rFonts w:ascii="仿宋" w:hAnsi="仿宋" w:eastAsia="仿宋"/>
          <w:sz w:val="32"/>
          <w:szCs w:val="32"/>
          <w:vertAlign w:val="superscript"/>
        </w:rPr>
        <w:t>2</w:t>
      </w:r>
      <w:r>
        <w:rPr>
          <w:rFonts w:ascii="仿宋" w:hAnsi="仿宋" w:eastAsia="仿宋"/>
          <w:sz w:val="32"/>
          <w:szCs w:val="32"/>
        </w:rPr>
        <w:t>，或者α沉积活度达到或超过 100Bq/cm</w:t>
      </w:r>
      <w:r>
        <w:rPr>
          <w:rFonts w:ascii="仿宋" w:hAnsi="仿宋" w:eastAsia="仿宋"/>
          <w:sz w:val="32"/>
          <w:szCs w:val="32"/>
          <w:vertAlign w:val="superscript"/>
        </w:rPr>
        <w:t>2</w:t>
      </w:r>
      <w:r>
        <w:rPr>
          <w:rFonts w:ascii="仿宋" w:hAnsi="仿宋" w:eastAsia="仿宋"/>
          <w:sz w:val="32"/>
          <w:szCs w:val="32"/>
        </w:rPr>
        <w:t xml:space="preserve"> ；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xml:space="preserve">（二）事故造成水环境污染时液态放射性物质的释放量大于等于 1.0E+11Bq，且小于 1.0E+12Bq 的 Sr-90 当量；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xml:space="preserve">（三）事故造成地表、土壤污染（未造成地下水污染）时液态放射性物质的释放量大于等于 1.0E+12Bq，且小于 1.0E+13Bq的 Sr-90 当量；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（四）在放射性物质运输过程中，发生事故造成大于等于2.5D</w:t>
      </w:r>
      <w:r>
        <w:rPr>
          <w:rFonts w:ascii="仿宋" w:hAnsi="仿宋" w:eastAsia="仿宋"/>
          <w:sz w:val="32"/>
          <w:szCs w:val="32"/>
          <w:vertAlign w:val="subscript"/>
        </w:rPr>
        <w:t>2</w:t>
      </w:r>
      <w:r>
        <w:rPr>
          <w:rFonts w:ascii="仿宋" w:hAnsi="仿宋" w:eastAsia="仿宋"/>
          <w:sz w:val="32"/>
          <w:szCs w:val="32"/>
        </w:rPr>
        <w:t>，且小于2500D</w:t>
      </w:r>
      <w:r>
        <w:rPr>
          <w:rFonts w:ascii="仿宋" w:hAnsi="仿宋" w:eastAsia="仿宋"/>
          <w:sz w:val="32"/>
          <w:szCs w:val="32"/>
          <w:vertAlign w:val="subscript"/>
        </w:rPr>
        <w:t>2</w:t>
      </w:r>
      <w:r>
        <w:rPr>
          <w:rFonts w:ascii="仿宋" w:hAnsi="仿宋" w:eastAsia="仿宋"/>
          <w:sz w:val="32"/>
          <w:szCs w:val="32"/>
        </w:rPr>
        <w:t>的放射性同位素释放。</w:t>
      </w:r>
    </w:p>
    <w:p>
      <w:pPr>
        <w:adjustRightInd w:val="0"/>
        <w:snapToGrid w:val="0"/>
        <w:spacing w:line="360" w:lineRule="auto"/>
        <w:ind w:firstLine="643" w:firstLineChars="200"/>
        <w:rPr>
          <w:rFonts w:ascii="仿宋" w:hAnsi="仿宋" w:eastAsia="仿宋"/>
          <w:b/>
          <w:bCs/>
          <w:sz w:val="32"/>
          <w:szCs w:val="32"/>
        </w:rPr>
      </w:pPr>
      <w:bookmarkStart w:id="135" w:name="_Toc11486_WPSOffice_Level1"/>
      <w:bookmarkStart w:id="136" w:name="_Toc25984_WPSOffice_Level1"/>
      <w:bookmarkStart w:id="137" w:name="_Toc4705_WPSOffice_Level1"/>
      <w:bookmarkStart w:id="138" w:name="_Toc23186_WPSOffice_Level1"/>
      <w:bookmarkStart w:id="139" w:name="_Toc19716_WPSOffice_Level1"/>
      <w:bookmarkStart w:id="140" w:name="_Toc9549_WPSOffice_Level1"/>
      <w:bookmarkStart w:id="141" w:name="_Toc20240_WPSOffice_Level1"/>
      <w:bookmarkStart w:id="142" w:name="_Toc12254_WPSOffice_Level1"/>
      <w:bookmarkStart w:id="143" w:name="_Toc8686_WPSOffice_Level1"/>
      <w:r>
        <w:rPr>
          <w:rFonts w:ascii="仿宋" w:hAnsi="仿宋" w:eastAsia="仿宋"/>
          <w:b/>
          <w:bCs/>
          <w:sz w:val="32"/>
          <w:szCs w:val="32"/>
        </w:rPr>
        <w:t>四、一般辐射事故</w:t>
      </w:r>
      <w:bookmarkEnd w:id="135"/>
      <w:bookmarkEnd w:id="136"/>
      <w:bookmarkEnd w:id="137"/>
      <w:bookmarkEnd w:id="138"/>
      <w:bookmarkEnd w:id="139"/>
      <w:bookmarkEnd w:id="140"/>
      <w:bookmarkEnd w:id="141"/>
      <w:bookmarkEnd w:id="142"/>
      <w:bookmarkEnd w:id="143"/>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（一）事故造成气态放射性物质的释放量小于 5.0E+11Bq的I-131当量，或者事故造成小于 500m</w:t>
      </w:r>
      <w:r>
        <w:rPr>
          <w:rFonts w:ascii="仿宋" w:hAnsi="仿宋" w:eastAsia="仿宋"/>
          <w:sz w:val="32"/>
          <w:szCs w:val="32"/>
          <w:vertAlign w:val="superscript"/>
        </w:rPr>
        <w:t>2</w:t>
      </w:r>
      <w:r>
        <w:rPr>
          <w:rFonts w:ascii="仿宋" w:hAnsi="仿宋" w:eastAsia="仿宋"/>
          <w:sz w:val="32"/>
          <w:szCs w:val="32"/>
        </w:rPr>
        <w:t>范围的环境剂量率达到或超过0.1mSv/h，或者β/γ沉积水平达到或超过1000Bq/cm</w:t>
      </w:r>
      <w:r>
        <w:rPr>
          <w:rFonts w:ascii="仿宋" w:hAnsi="仿宋" w:eastAsia="仿宋"/>
          <w:sz w:val="32"/>
          <w:szCs w:val="32"/>
          <w:vertAlign w:val="superscript"/>
        </w:rPr>
        <w:t>2</w:t>
      </w:r>
      <w:r>
        <w:rPr>
          <w:rFonts w:ascii="仿宋" w:hAnsi="仿宋" w:eastAsia="仿宋"/>
          <w:sz w:val="32"/>
          <w:szCs w:val="32"/>
        </w:rPr>
        <w:t>，或者α沉积活度达到或超过 100Bq/cm</w:t>
      </w:r>
      <w:r>
        <w:rPr>
          <w:rFonts w:ascii="仿宋" w:hAnsi="仿宋" w:eastAsia="仿宋"/>
          <w:sz w:val="32"/>
          <w:szCs w:val="32"/>
          <w:vertAlign w:val="superscript"/>
        </w:rPr>
        <w:t>2</w:t>
      </w:r>
      <w:r>
        <w:rPr>
          <w:rFonts w:ascii="仿宋" w:hAnsi="仿宋" w:eastAsia="仿宋"/>
          <w:sz w:val="32"/>
          <w:szCs w:val="32"/>
        </w:rPr>
        <w:t xml:space="preserve"> ；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 xml:space="preserve">（二）事故造成水环境污染时液态放射性物质的释放量小于1.0E+11Bq 的Sr-90当量；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 xml:space="preserve">（三）事故造成地表、土壤污染（未造成地下水污染）时液态放射性物质的释放量小于 1.0E+12Bq 的 Sr-90 当量；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（四）在放射性物质运输过程中，发生事故造成小于 2.5D</w:t>
      </w:r>
      <w:r>
        <w:rPr>
          <w:rFonts w:ascii="仿宋" w:hAnsi="仿宋" w:eastAsia="仿宋"/>
          <w:sz w:val="32"/>
          <w:szCs w:val="32"/>
          <w:vertAlign w:val="subscript"/>
        </w:rPr>
        <w:t>2</w:t>
      </w:r>
      <w:r>
        <w:rPr>
          <w:rFonts w:ascii="仿宋" w:hAnsi="仿宋" w:eastAsia="仿宋"/>
          <w:sz w:val="32"/>
          <w:szCs w:val="32"/>
        </w:rPr>
        <w:t xml:space="preserve">的放射性同位素释放。 </w:t>
      </w:r>
    </w:p>
    <w:p>
      <w:pPr>
        <w:tabs>
          <w:tab w:val="left" w:pos="0"/>
          <w:tab w:val="left" w:pos="1064"/>
        </w:tabs>
        <w:jc w:val="center"/>
        <w:rPr>
          <w:rFonts w:eastAsia="黑体"/>
          <w:sz w:val="24"/>
        </w:rPr>
      </w:pPr>
    </w:p>
    <w:p>
      <w:pPr>
        <w:tabs>
          <w:tab w:val="left" w:pos="0"/>
          <w:tab w:val="left" w:pos="1064"/>
        </w:tabs>
        <w:jc w:val="center"/>
        <w:rPr>
          <w:rFonts w:eastAsia="黑体"/>
          <w:sz w:val="24"/>
        </w:rPr>
        <w:sectPr>
          <w:pgSz w:w="11906" w:h="16838"/>
          <w:pgMar w:top="1440" w:right="1800" w:bottom="1440" w:left="1800" w:header="851" w:footer="992" w:gutter="0"/>
          <w:pgNumType w:fmt="numberInDash"/>
          <w:cols w:space="720" w:num="1"/>
          <w:docGrid w:type="lines" w:linePitch="312" w:charSpace="0"/>
        </w:sectPr>
      </w:pPr>
      <w:bookmarkStart w:id="144" w:name="_Toc12243_WPSOffice_Level1"/>
      <w:bookmarkStart w:id="145" w:name="_Toc9172_WPSOffice_Level1"/>
      <w:bookmarkStart w:id="146" w:name="_Toc13691_WPSOffice_Level1"/>
      <w:bookmarkStart w:id="147" w:name="_Toc21542_WPSOffice_Level1"/>
      <w:bookmarkStart w:id="148" w:name="_Toc19608_WPSOffice_Level1"/>
      <w:bookmarkStart w:id="149" w:name="_Toc3901_WPSOffice_Level1"/>
      <w:bookmarkStart w:id="150" w:name="_Toc30592_WPSOffice_Level1"/>
      <w:bookmarkStart w:id="151" w:name="_Toc24218_WPSOffice_Level1"/>
    </w:p>
    <w:p>
      <w:pPr>
        <w:tabs>
          <w:tab w:val="left" w:pos="0"/>
          <w:tab w:val="left" w:pos="1064"/>
        </w:tabs>
        <w:jc w:val="center"/>
        <w:rPr>
          <w:rFonts w:eastAsia="黑体"/>
          <w:sz w:val="24"/>
        </w:rPr>
      </w:pPr>
      <w:r>
        <w:rPr>
          <w:rFonts w:hint="eastAsia" w:ascii="黑体" w:hAnsi="黑体" w:eastAsia="黑体" w:cs="黑体"/>
          <w:sz w:val="32"/>
          <w:szCs w:val="32"/>
        </w:rPr>
        <w:t>表1 释放到大气中的同位素相对于I-131的放射性当量</w:t>
      </w:r>
      <w:bookmarkEnd w:id="144"/>
      <w:bookmarkEnd w:id="145"/>
      <w:bookmarkEnd w:id="146"/>
      <w:bookmarkEnd w:id="147"/>
      <w:bookmarkEnd w:id="148"/>
      <w:bookmarkEnd w:id="149"/>
      <w:bookmarkEnd w:id="150"/>
      <w:bookmarkEnd w:id="151"/>
    </w:p>
    <w:tbl>
      <w:tblPr>
        <w:tblStyle w:val="9"/>
        <w:tblW w:w="445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491"/>
        <w:gridCol w:w="4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bottom w:val="single" w:color="000000" w:sz="4" w:space="0"/>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同位素</w:t>
            </w:r>
          </w:p>
        </w:tc>
        <w:tc>
          <w:tcPr>
            <w:tcW w:w="2701" w:type="pct"/>
            <w:tcBorders>
              <w:left w:val="single" w:color="000000" w:sz="4" w:space="0"/>
              <w:bottom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乘数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top w:val="single" w:color="000000" w:sz="4" w:space="0"/>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Am-241</w:t>
            </w:r>
          </w:p>
        </w:tc>
        <w:tc>
          <w:tcPr>
            <w:tcW w:w="2701" w:type="pct"/>
            <w:tcBorders>
              <w:top w:val="single" w:color="000000" w:sz="4" w:space="0"/>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Co-60</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Cs-134</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Cs-137</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H-3</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I-131</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Ir-192</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Mn-54</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Mo-99</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P-32</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Pu-239</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10000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Ru-106</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Sr-90</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Te-132</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U-235(S)</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U-235(M)</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U-235(F)</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U-238(S)</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900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U-238(M)</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U-238(F)</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天然铀</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惰性气体</w:t>
            </w:r>
          </w:p>
        </w:tc>
        <w:tc>
          <w:tcPr>
            <w:tcW w:w="2701" w:type="pct"/>
            <w:tcBorders>
              <w:lef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可忽略不计(实际为零)</w:t>
            </w:r>
          </w:p>
        </w:tc>
      </w:tr>
    </w:tbl>
    <w:p>
      <w:pPr>
        <w:tabs>
          <w:tab w:val="left" w:pos="0"/>
          <w:tab w:val="left" w:pos="1064"/>
        </w:tabs>
        <w:spacing w:line="320" w:lineRule="exact"/>
        <w:ind w:firstLine="420" w:firstLineChars="200"/>
        <w:rPr>
          <w:rFonts w:eastAsia="黑体"/>
          <w:szCs w:val="21"/>
        </w:rPr>
      </w:pPr>
      <w:r>
        <w:rPr>
          <w:rFonts w:eastAsia="黑体"/>
          <w:szCs w:val="21"/>
        </w:rPr>
        <w:t>注：肺吸收类型：S-慢；M-中等；F-快。如果不确定，使用最保守值</w:t>
      </w:r>
    </w:p>
    <w:p>
      <w:pPr>
        <w:tabs>
          <w:tab w:val="left" w:pos="0"/>
          <w:tab w:val="left" w:pos="1064"/>
        </w:tabs>
        <w:jc w:val="center"/>
        <w:rPr>
          <w:rFonts w:eastAsia="黑体"/>
          <w:sz w:val="24"/>
        </w:rPr>
      </w:pPr>
    </w:p>
    <w:p>
      <w:pPr>
        <w:tabs>
          <w:tab w:val="left" w:pos="0"/>
          <w:tab w:val="left" w:pos="1064"/>
        </w:tabs>
        <w:spacing w:line="560" w:lineRule="exact"/>
        <w:jc w:val="center"/>
        <w:rPr>
          <w:rFonts w:eastAsia="黑体"/>
          <w:sz w:val="24"/>
        </w:rPr>
      </w:pPr>
    </w:p>
    <w:p>
      <w:pPr>
        <w:tabs>
          <w:tab w:val="left" w:pos="0"/>
          <w:tab w:val="left" w:pos="1064"/>
        </w:tabs>
        <w:spacing w:line="560" w:lineRule="exact"/>
        <w:jc w:val="center"/>
        <w:rPr>
          <w:rFonts w:eastAsia="黑体"/>
          <w:sz w:val="24"/>
        </w:rPr>
      </w:pPr>
    </w:p>
    <w:p>
      <w:pPr>
        <w:tabs>
          <w:tab w:val="left" w:pos="0"/>
          <w:tab w:val="left" w:pos="1064"/>
        </w:tabs>
        <w:spacing w:line="560" w:lineRule="exact"/>
        <w:jc w:val="center"/>
        <w:rPr>
          <w:rFonts w:eastAsia="黑体"/>
          <w:sz w:val="24"/>
        </w:rPr>
        <w:sectPr>
          <w:pgSz w:w="11906" w:h="16838"/>
          <w:pgMar w:top="1440" w:right="1800" w:bottom="1440" w:left="1800" w:header="851" w:footer="992" w:gutter="0"/>
          <w:pgNumType w:fmt="numberInDash"/>
          <w:cols w:space="720" w:num="1"/>
          <w:docGrid w:type="lines" w:linePitch="312" w:charSpace="0"/>
        </w:sectPr>
      </w:pPr>
      <w:bookmarkStart w:id="152" w:name="_Toc24596_WPSOffice_Level1"/>
      <w:bookmarkStart w:id="153" w:name="_Toc25177_WPSOffice_Level1"/>
      <w:bookmarkStart w:id="154" w:name="_Toc13335_WPSOffice_Level1"/>
      <w:bookmarkStart w:id="155" w:name="_Toc10710_WPSOffice_Level1"/>
      <w:bookmarkStart w:id="156" w:name="_Toc2078_WPSOffice_Level1"/>
      <w:bookmarkStart w:id="157" w:name="_Toc15920_WPSOffice_Level1"/>
      <w:bookmarkStart w:id="158" w:name="_Toc11176_WPSOffice_Level1"/>
      <w:bookmarkStart w:id="159" w:name="_Toc22440_WPSOffice_Level1"/>
    </w:p>
    <w:p>
      <w:pPr>
        <w:tabs>
          <w:tab w:val="left" w:pos="0"/>
          <w:tab w:val="left" w:pos="1064"/>
        </w:tabs>
        <w:spacing w:line="560" w:lineRule="exact"/>
        <w:jc w:val="center"/>
        <w:rPr>
          <w:rFonts w:hint="eastAsia" w:ascii="黑体" w:hAnsi="黑体" w:eastAsia="黑体" w:cs="黑体"/>
          <w:sz w:val="32"/>
          <w:szCs w:val="32"/>
        </w:rPr>
      </w:pPr>
      <w:r>
        <w:rPr>
          <w:rFonts w:hint="eastAsia" w:ascii="黑体" w:hAnsi="黑体" w:eastAsia="黑体" w:cs="黑体"/>
          <w:sz w:val="32"/>
          <w:szCs w:val="32"/>
        </w:rPr>
        <w:t>表2 各种同位素的D</w:t>
      </w:r>
      <w:r>
        <w:rPr>
          <w:rFonts w:hint="eastAsia" w:ascii="黑体" w:hAnsi="黑体" w:eastAsia="黑体" w:cs="黑体"/>
          <w:sz w:val="32"/>
          <w:szCs w:val="32"/>
          <w:vertAlign w:val="subscript"/>
        </w:rPr>
        <w:t>2</w:t>
      </w:r>
      <w:r>
        <w:rPr>
          <w:rFonts w:hint="eastAsia" w:ascii="黑体" w:hAnsi="黑体" w:eastAsia="黑体" w:cs="黑体"/>
          <w:sz w:val="32"/>
          <w:szCs w:val="32"/>
        </w:rPr>
        <w:t>值</w:t>
      </w:r>
      <w:bookmarkEnd w:id="152"/>
      <w:bookmarkEnd w:id="153"/>
      <w:bookmarkEnd w:id="154"/>
      <w:bookmarkEnd w:id="155"/>
      <w:bookmarkEnd w:id="156"/>
      <w:bookmarkEnd w:id="157"/>
      <w:bookmarkEnd w:id="158"/>
      <w:bookmarkEnd w:id="159"/>
    </w:p>
    <w:tbl>
      <w:tblPr>
        <w:tblStyle w:val="9"/>
        <w:tblW w:w="445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491"/>
        <w:gridCol w:w="4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bottom w:val="single" w:color="000000" w:sz="4" w:space="0"/>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核素</w:t>
            </w:r>
          </w:p>
        </w:tc>
        <w:tc>
          <w:tcPr>
            <w:tcW w:w="4104" w:type="dxa"/>
            <w:tcBorders>
              <w:left w:val="single" w:color="000000" w:sz="4" w:space="0"/>
              <w:bottom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pacing w:val="-20"/>
                <w:szCs w:val="21"/>
              </w:rPr>
              <w:t>D</w:t>
            </w:r>
            <w:r>
              <w:rPr>
                <w:rFonts w:eastAsia="黑体"/>
                <w:spacing w:val="-20"/>
                <w:szCs w:val="21"/>
                <w:vertAlign w:val="subscript"/>
              </w:rPr>
              <w:t>2</w:t>
            </w:r>
            <w:r>
              <w:rPr>
                <w:rFonts w:eastAsia="黑体"/>
                <w:spacing w:val="-20"/>
                <w:szCs w:val="21"/>
              </w:rPr>
              <w:t>值(TBq)</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2298" w:type="pct"/>
            <w:tcBorders>
              <w:top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Am-241</w:t>
            </w:r>
          </w:p>
        </w:tc>
        <w:tc>
          <w:tcPr>
            <w:tcW w:w="2701"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Am-241/Be</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Au-198</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Cd-109</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Cf-252</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Cm-244</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Co-57</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Co-60</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Cs-137</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Fe-55</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Gd-153</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Ge-68</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H-3</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I-125</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I-131</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Ir-192</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Kr-85</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Mo-99</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Ni-63</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P-32</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Pd-103</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Pm-147</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Po-210</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Pu-238</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Pu-239/Be</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Ra-226</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Ru-106(Rh-106)</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Se-75</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Sr-90(Y-90)</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Tc-99m</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Tl-204</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Tm-170</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8" w:type="pc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Yb-169</w:t>
            </w:r>
          </w:p>
        </w:tc>
        <w:tc>
          <w:tcPr>
            <w:tcW w:w="2701" w:type="pc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Cs w:val="21"/>
              </w:rPr>
            </w:pPr>
            <w:r>
              <w:rPr>
                <w:rFonts w:eastAsia="黑体"/>
                <w:szCs w:val="21"/>
              </w:rPr>
              <w:t>30</w:t>
            </w:r>
          </w:p>
        </w:tc>
      </w:tr>
    </w:tbl>
    <w:p>
      <w:pPr>
        <w:tabs>
          <w:tab w:val="left" w:pos="0"/>
          <w:tab w:val="left" w:pos="1064"/>
        </w:tabs>
        <w:spacing w:line="560" w:lineRule="exact"/>
        <w:jc w:val="center"/>
        <w:rPr>
          <w:rFonts w:eastAsia="黑体"/>
          <w:sz w:val="24"/>
        </w:rPr>
      </w:pPr>
      <w:bookmarkStart w:id="160" w:name="_Toc2647_WPSOffice_Level1"/>
      <w:bookmarkStart w:id="161" w:name="_Toc19992_WPSOffice_Level1"/>
      <w:bookmarkStart w:id="162" w:name="_Toc29248_WPSOffice_Level1"/>
      <w:bookmarkStart w:id="163" w:name="_Toc20244_WPSOffice_Level1"/>
      <w:bookmarkStart w:id="164" w:name="_Toc9090_WPSOffice_Level1"/>
      <w:bookmarkStart w:id="165" w:name="_Toc27001_WPSOffice_Level1"/>
      <w:bookmarkStart w:id="166" w:name="_Toc1601_WPSOffice_Level1"/>
      <w:bookmarkStart w:id="167" w:name="_Toc12421_WPSOffice_Level1"/>
    </w:p>
    <w:p>
      <w:pPr>
        <w:tabs>
          <w:tab w:val="left" w:pos="0"/>
          <w:tab w:val="left" w:pos="1064"/>
        </w:tabs>
        <w:spacing w:line="560" w:lineRule="exact"/>
        <w:jc w:val="center"/>
        <w:rPr>
          <w:rFonts w:hint="eastAsia" w:ascii="黑体" w:hAnsi="黑体" w:eastAsia="黑体" w:cs="黑体"/>
          <w:sz w:val="32"/>
          <w:szCs w:val="32"/>
        </w:rPr>
      </w:pPr>
      <w:r>
        <w:rPr>
          <w:rFonts w:hint="eastAsia" w:ascii="黑体" w:hAnsi="黑体" w:eastAsia="黑体" w:cs="黑体"/>
          <w:sz w:val="32"/>
          <w:szCs w:val="32"/>
        </w:rPr>
        <w:t>表3 各个核素的Sr-90当量计算因子</w:t>
      </w:r>
      <w:bookmarkEnd w:id="160"/>
      <w:bookmarkEnd w:id="161"/>
      <w:bookmarkEnd w:id="162"/>
      <w:bookmarkEnd w:id="163"/>
      <w:bookmarkEnd w:id="164"/>
      <w:bookmarkEnd w:id="165"/>
      <w:bookmarkEnd w:id="166"/>
      <w:bookmarkEnd w:id="167"/>
    </w:p>
    <w:tbl>
      <w:tblPr>
        <w:tblStyle w:val="9"/>
        <w:tblW w:w="445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491"/>
        <w:gridCol w:w="4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bottom w:val="single" w:color="000000" w:sz="4" w:space="0"/>
              <w:right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同位素</w:t>
            </w:r>
          </w:p>
        </w:tc>
        <w:tc>
          <w:tcPr>
            <w:tcW w:w="4104" w:type="dxa"/>
            <w:tcBorders>
              <w:left w:val="single" w:color="000000" w:sz="4" w:space="0"/>
              <w:bottom w:val="single" w:color="000000" w:sz="4" w:space="0"/>
            </w:tcBorders>
            <w:noWrap w:val="0"/>
            <w:vAlign w:val="center"/>
          </w:tcPr>
          <w:p>
            <w:pPr>
              <w:tabs>
                <w:tab w:val="left" w:pos="0"/>
                <w:tab w:val="left" w:pos="1064"/>
              </w:tabs>
              <w:spacing w:line="400" w:lineRule="exact"/>
              <w:jc w:val="center"/>
              <w:rPr>
                <w:rFonts w:eastAsia="黑体"/>
                <w:szCs w:val="21"/>
              </w:rPr>
            </w:pPr>
            <w:r>
              <w:rPr>
                <w:rFonts w:eastAsia="黑体"/>
                <w:szCs w:val="21"/>
              </w:rPr>
              <w:t>乘数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top w:val="single" w:color="000000" w:sz="4" w:space="0"/>
              <w:right w:val="single" w:color="000000" w:sz="4" w:space="0"/>
            </w:tcBorders>
            <w:noWrap w:val="0"/>
            <w:vAlign w:val="center"/>
          </w:tcPr>
          <w:p>
            <w:pPr>
              <w:spacing w:line="400" w:lineRule="exact"/>
              <w:jc w:val="center"/>
              <w:rPr>
                <w:rFonts w:eastAsia="黑体"/>
                <w:szCs w:val="21"/>
              </w:rPr>
            </w:pPr>
            <w:r>
              <w:rPr>
                <w:rFonts w:eastAsia="黑体"/>
                <w:szCs w:val="21"/>
              </w:rPr>
              <w:t>氚化水</w:t>
            </w:r>
          </w:p>
        </w:tc>
        <w:tc>
          <w:tcPr>
            <w:tcW w:w="4104" w:type="dxa"/>
            <w:tcBorders>
              <w:top w:val="single" w:color="000000" w:sz="4" w:space="0"/>
              <w:left w:val="single" w:color="000000" w:sz="4" w:space="0"/>
            </w:tcBorders>
            <w:noWrap w:val="0"/>
            <w:vAlign w:val="center"/>
          </w:tcPr>
          <w:p>
            <w:pPr>
              <w:spacing w:line="400" w:lineRule="exact"/>
              <w:jc w:val="center"/>
              <w:rPr>
                <w:rFonts w:eastAsia="黑体"/>
                <w:szCs w:val="21"/>
              </w:rPr>
            </w:pPr>
            <w:r>
              <w:rPr>
                <w:rFonts w:eastAsia="黑体"/>
                <w:szCs w:val="21"/>
              </w:rPr>
              <w:t>0.0006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OBT(有机束缚氚)</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P-32</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Mn-54</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Fe-55</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Co-57</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Co-60</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Ni-63</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Ge-68</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Se-75</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Sr-89</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Sr-90</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Y-90</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Mo-99</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Tc-99m</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Ru-103</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Ru-106</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Pd-103</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Cd-109</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Ag-110m</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Te-132</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I-125</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I-131</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Cs-134</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Cs-137</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Pm-147</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Eu-152</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Gd-153</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Tm-170</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Yb-169</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Ir-192</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Au-198</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Tl-204</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Po-210</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Ra-226</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U-235</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U-238</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Pu-238</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Pu-239</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Am-241</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Cm-244</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91" w:type="dxa"/>
            <w:tcBorders>
              <w:right w:val="single" w:color="000000" w:sz="4" w:space="0"/>
            </w:tcBorders>
            <w:noWrap w:val="0"/>
            <w:vAlign w:val="center"/>
          </w:tcPr>
          <w:p>
            <w:pPr>
              <w:spacing w:line="400" w:lineRule="exact"/>
              <w:jc w:val="center"/>
              <w:rPr>
                <w:rFonts w:eastAsia="黑体"/>
                <w:szCs w:val="21"/>
              </w:rPr>
            </w:pPr>
            <w:r>
              <w:rPr>
                <w:rFonts w:eastAsia="黑体"/>
                <w:szCs w:val="21"/>
              </w:rPr>
              <w:t>Cf-252</w:t>
            </w:r>
          </w:p>
        </w:tc>
        <w:tc>
          <w:tcPr>
            <w:tcW w:w="4104" w:type="dxa"/>
            <w:tcBorders>
              <w:left w:val="single" w:color="000000" w:sz="4" w:space="0"/>
            </w:tcBorders>
            <w:noWrap w:val="0"/>
            <w:vAlign w:val="center"/>
          </w:tcPr>
          <w:p>
            <w:pPr>
              <w:spacing w:line="400" w:lineRule="exact"/>
              <w:jc w:val="center"/>
              <w:rPr>
                <w:rFonts w:eastAsia="黑体"/>
                <w:szCs w:val="21"/>
              </w:rPr>
            </w:pPr>
            <w:r>
              <w:rPr>
                <w:rFonts w:eastAsia="黑体"/>
                <w:szCs w:val="21"/>
              </w:rPr>
              <w:t>3</w:t>
            </w:r>
          </w:p>
        </w:tc>
      </w:tr>
    </w:tbl>
    <w:p>
      <w:pPr>
        <w:spacing w:before="156" w:beforeLines="50" w:line="360" w:lineRule="auto"/>
        <w:rPr>
          <w:rFonts w:eastAsia="黑体"/>
          <w:b/>
          <w:sz w:val="32"/>
          <w:szCs w:val="32"/>
        </w:rPr>
        <w:sectPr>
          <w:pgSz w:w="11906" w:h="16838"/>
          <w:pgMar w:top="1440" w:right="1800" w:bottom="1440" w:left="1800" w:header="851" w:footer="992" w:gutter="0"/>
          <w:pgNumType w:fmt="numberInDash"/>
          <w:cols w:space="720" w:num="1"/>
          <w:docGrid w:type="lines" w:linePitch="312" w:charSpace="0"/>
        </w:sectPr>
      </w:pPr>
    </w:p>
    <w:p>
      <w:pPr>
        <w:spacing w:before="156" w:beforeLines="50" w:line="360" w:lineRule="auto"/>
        <w:outlineLvl w:val="0"/>
        <w:rPr>
          <w:rFonts w:eastAsia="方正小标宋简体"/>
          <w:b/>
          <w:sz w:val="44"/>
          <w:szCs w:val="44"/>
        </w:rPr>
      </w:pPr>
      <w:bookmarkStart w:id="168" w:name="_Toc15293"/>
      <w:r>
        <w:rPr>
          <w:rFonts w:eastAsia="黑体"/>
          <w:b/>
          <w:sz w:val="32"/>
          <w:szCs w:val="32"/>
        </w:rPr>
        <w:t xml:space="preserve">附件2 </w:t>
      </w:r>
      <w:bookmarkStart w:id="169" w:name="_Toc29334_WPSOffice_Level1"/>
      <w:bookmarkStart w:id="170" w:name="_Toc1159_WPSOffice_Level1"/>
      <w:bookmarkStart w:id="171" w:name="_Toc2290_WPSOffice_Level1"/>
      <w:r>
        <w:rPr>
          <w:rFonts w:eastAsia="黑体"/>
          <w:b/>
          <w:sz w:val="32"/>
          <w:szCs w:val="32"/>
        </w:rPr>
        <w:t>辐射事故初始报告表</w:t>
      </w:r>
      <w:bookmarkEnd w:id="168"/>
      <w:bookmarkEnd w:id="169"/>
      <w:bookmarkEnd w:id="170"/>
      <w:bookmarkEnd w:id="171"/>
    </w:p>
    <w:p>
      <w:pPr>
        <w:adjustRightInd w:val="0"/>
        <w:snapToGrid w:val="0"/>
        <w:rPr>
          <w:rFonts w:eastAsia="黑体"/>
          <w:b/>
          <w:sz w:val="30"/>
          <w:szCs w:val="20"/>
        </w:rPr>
      </w:pP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01"/>
        <w:gridCol w:w="1031"/>
        <w:gridCol w:w="787"/>
        <w:gridCol w:w="181"/>
        <w:gridCol w:w="800"/>
        <w:gridCol w:w="283"/>
        <w:gridCol w:w="699"/>
        <w:gridCol w:w="99"/>
        <w:gridCol w:w="553"/>
        <w:gridCol w:w="988"/>
        <w:gridCol w:w="985"/>
        <w:gridCol w:w="86"/>
        <w:gridCol w:w="634"/>
        <w:gridCol w:w="1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4" w:hRule="atLeast"/>
          <w:jc w:val="center"/>
        </w:trPr>
        <w:tc>
          <w:tcPr>
            <w:tcW w:w="1432" w:type="dxa"/>
            <w:gridSpan w:val="2"/>
            <w:tcBorders>
              <w:top w:val="single" w:color="auto" w:sz="8"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事故单位</w:t>
            </w:r>
          </w:p>
          <w:p>
            <w:pPr>
              <w:adjustRightInd w:val="0"/>
              <w:snapToGrid w:val="0"/>
              <w:jc w:val="center"/>
              <w:rPr>
                <w:rFonts w:eastAsia="黑体"/>
                <w:szCs w:val="20"/>
              </w:rPr>
            </w:pPr>
            <w:r>
              <w:rPr>
                <w:rFonts w:eastAsia="黑体"/>
                <w:szCs w:val="20"/>
              </w:rPr>
              <w:t>名    称</w:t>
            </w:r>
          </w:p>
        </w:tc>
        <w:tc>
          <w:tcPr>
            <w:tcW w:w="7439" w:type="dxa"/>
            <w:gridSpan w:val="12"/>
            <w:tcBorders>
              <w:top w:val="single" w:color="auto" w:sz="8" w:space="0"/>
              <w:left w:val="single" w:color="auto" w:sz="4" w:space="0"/>
              <w:bottom w:val="single" w:color="auto" w:sz="4" w:space="0"/>
              <w:right w:val="single" w:color="auto" w:sz="8" w:space="0"/>
            </w:tcBorders>
            <w:noWrap w:val="0"/>
            <w:vAlign w:val="center"/>
          </w:tcPr>
          <w:p>
            <w:pPr>
              <w:adjustRightInd w:val="0"/>
              <w:snapToGrid w:val="0"/>
              <w:jc w:val="center"/>
              <w:rPr>
                <w:rFonts w:eastAsia="黑体"/>
                <w:szCs w:val="20"/>
              </w:rPr>
            </w:pPr>
            <w:r>
              <w:rPr>
                <w:rFonts w:eastAsia="黑体"/>
                <w:szCs w:val="20"/>
              </w:rPr>
              <w:t xml:space="preserve">                                                    (公章)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80" w:hRule="atLeast"/>
          <w:jc w:val="center"/>
        </w:trPr>
        <w:tc>
          <w:tcPr>
            <w:tcW w:w="1432"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法定代表人</w:t>
            </w:r>
          </w:p>
        </w:tc>
        <w:tc>
          <w:tcPr>
            <w:tcW w:w="78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98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地 址</w:t>
            </w:r>
          </w:p>
        </w:tc>
        <w:tc>
          <w:tcPr>
            <w:tcW w:w="3607"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邮 编</w:t>
            </w:r>
          </w:p>
        </w:tc>
        <w:tc>
          <w:tcPr>
            <w:tcW w:w="1344"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jc w:val="center"/>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80" w:hRule="atLeast"/>
          <w:jc w:val="center"/>
        </w:trPr>
        <w:tc>
          <w:tcPr>
            <w:tcW w:w="1432"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电  话</w:t>
            </w:r>
          </w:p>
        </w:tc>
        <w:tc>
          <w:tcPr>
            <w:tcW w:w="176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108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传  真</w:t>
            </w:r>
          </w:p>
        </w:tc>
        <w:tc>
          <w:tcPr>
            <w:tcW w:w="154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联系人</w:t>
            </w:r>
          </w:p>
        </w:tc>
        <w:tc>
          <w:tcPr>
            <w:tcW w:w="2064" w:type="dxa"/>
            <w:gridSpan w:val="3"/>
            <w:tcBorders>
              <w:top w:val="single" w:color="auto" w:sz="4" w:space="0"/>
              <w:left w:val="single" w:color="auto" w:sz="4" w:space="0"/>
              <w:bottom w:val="single" w:color="auto" w:sz="4" w:space="0"/>
              <w:right w:val="single" w:color="auto" w:sz="8" w:space="0"/>
            </w:tcBorders>
            <w:noWrap w:val="0"/>
            <w:vAlign w:val="center"/>
          </w:tcPr>
          <w:p>
            <w:pPr>
              <w:adjustRightInd w:val="0"/>
              <w:snapToGrid w:val="0"/>
              <w:jc w:val="center"/>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80" w:hRule="atLeast"/>
          <w:jc w:val="center"/>
        </w:trPr>
        <w:tc>
          <w:tcPr>
            <w:tcW w:w="1432"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许可证号</w:t>
            </w:r>
          </w:p>
        </w:tc>
        <w:tc>
          <w:tcPr>
            <w:tcW w:w="1768"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63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许可证审批机关</w:t>
            </w:r>
          </w:p>
        </w:tc>
        <w:tc>
          <w:tcPr>
            <w:tcW w:w="4037" w:type="dxa"/>
            <w:gridSpan w:val="5"/>
            <w:tcBorders>
              <w:top w:val="single" w:color="auto" w:sz="4" w:space="0"/>
              <w:left w:val="single" w:color="auto" w:sz="4" w:space="0"/>
              <w:bottom w:val="single" w:color="auto" w:sz="4" w:space="0"/>
              <w:right w:val="single" w:color="auto" w:sz="8" w:space="0"/>
            </w:tcBorders>
            <w:noWrap w:val="0"/>
            <w:vAlign w:val="center"/>
          </w:tcPr>
          <w:p>
            <w:pPr>
              <w:adjustRightInd w:val="0"/>
              <w:snapToGrid w:val="0"/>
              <w:jc w:val="center"/>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9" w:hRule="atLeast"/>
          <w:jc w:val="center"/>
        </w:trPr>
        <w:tc>
          <w:tcPr>
            <w:tcW w:w="1432"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事    故</w:t>
            </w:r>
          </w:p>
          <w:p>
            <w:pPr>
              <w:adjustRightInd w:val="0"/>
              <w:snapToGrid w:val="0"/>
              <w:jc w:val="center"/>
              <w:rPr>
                <w:rFonts w:eastAsia="黑体"/>
                <w:szCs w:val="20"/>
              </w:rPr>
            </w:pPr>
            <w:r>
              <w:rPr>
                <w:rFonts w:eastAsia="黑体"/>
                <w:szCs w:val="20"/>
              </w:rPr>
              <w:t>发生时间</w:t>
            </w:r>
          </w:p>
        </w:tc>
        <w:tc>
          <w:tcPr>
            <w:tcW w:w="176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163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事故发生地点</w:t>
            </w:r>
          </w:p>
        </w:tc>
        <w:tc>
          <w:tcPr>
            <w:tcW w:w="4037" w:type="dxa"/>
            <w:gridSpan w:val="5"/>
            <w:tcBorders>
              <w:top w:val="single" w:color="auto" w:sz="4" w:space="0"/>
              <w:left w:val="single" w:color="auto" w:sz="4" w:space="0"/>
              <w:bottom w:val="single" w:color="auto" w:sz="4" w:space="0"/>
              <w:right w:val="single" w:color="auto" w:sz="8" w:space="0"/>
            </w:tcBorders>
            <w:noWrap w:val="0"/>
            <w:vAlign w:val="center"/>
          </w:tcPr>
          <w:p>
            <w:pPr>
              <w:adjustRightInd w:val="0"/>
              <w:snapToGrid w:val="0"/>
              <w:jc w:val="center"/>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80" w:hRule="atLeast"/>
          <w:jc w:val="center"/>
        </w:trPr>
        <w:tc>
          <w:tcPr>
            <w:tcW w:w="1432" w:type="dxa"/>
            <w:gridSpan w:val="2"/>
            <w:vMerge w:val="restart"/>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事   故</w:t>
            </w:r>
          </w:p>
          <w:p>
            <w:pPr>
              <w:adjustRightInd w:val="0"/>
              <w:snapToGrid w:val="0"/>
              <w:jc w:val="center"/>
              <w:rPr>
                <w:rFonts w:eastAsia="黑体"/>
                <w:szCs w:val="20"/>
              </w:rPr>
            </w:pPr>
            <w:r>
              <w:rPr>
                <w:rFonts w:eastAsia="黑体"/>
                <w:szCs w:val="20"/>
              </w:rPr>
              <w:t>类   型</w:t>
            </w:r>
          </w:p>
        </w:tc>
        <w:tc>
          <w:tcPr>
            <w:tcW w:w="275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黑体"/>
                <w:szCs w:val="20"/>
              </w:rPr>
            </w:pPr>
            <w:r>
              <w:rPr>
                <w:rFonts w:eastAsia="黑体"/>
                <w:szCs w:val="20"/>
              </w:rPr>
              <w:t>□人员受照   □人员污染</w:t>
            </w:r>
          </w:p>
        </w:tc>
        <w:tc>
          <w:tcPr>
            <w:tcW w:w="4689" w:type="dxa"/>
            <w:gridSpan w:val="7"/>
            <w:tcBorders>
              <w:top w:val="single" w:color="auto" w:sz="4" w:space="0"/>
              <w:left w:val="single" w:color="auto" w:sz="4" w:space="0"/>
              <w:bottom w:val="single" w:color="auto" w:sz="4" w:space="0"/>
              <w:right w:val="single" w:color="auto" w:sz="8" w:space="0"/>
            </w:tcBorders>
            <w:noWrap w:val="0"/>
            <w:vAlign w:val="center"/>
          </w:tcPr>
          <w:p>
            <w:pPr>
              <w:adjustRightInd w:val="0"/>
              <w:snapToGrid w:val="0"/>
              <w:ind w:firstLine="105" w:firstLineChars="50"/>
              <w:rPr>
                <w:rFonts w:eastAsia="黑体"/>
                <w:szCs w:val="20"/>
              </w:rPr>
            </w:pPr>
            <w:r>
              <w:rPr>
                <w:rFonts w:eastAsia="黑体"/>
                <w:szCs w:val="20"/>
              </w:rPr>
              <w:t>受照人数 ：           受污染人数：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32"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黑体"/>
                <w:szCs w:val="20"/>
              </w:rPr>
            </w:pPr>
          </w:p>
        </w:tc>
        <w:tc>
          <w:tcPr>
            <w:tcW w:w="275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黑体"/>
                <w:szCs w:val="20"/>
              </w:rPr>
            </w:pPr>
            <w:r>
              <w:rPr>
                <w:rFonts w:eastAsia="黑体"/>
                <w:szCs w:val="20"/>
              </w:rPr>
              <w:t>□丢失   □被盗   □失控</w:t>
            </w:r>
          </w:p>
        </w:tc>
        <w:tc>
          <w:tcPr>
            <w:tcW w:w="4689" w:type="dxa"/>
            <w:gridSpan w:val="7"/>
            <w:tcBorders>
              <w:top w:val="single" w:color="auto" w:sz="4" w:space="0"/>
              <w:left w:val="single" w:color="auto" w:sz="4" w:space="0"/>
              <w:bottom w:val="single" w:color="auto" w:sz="4" w:space="0"/>
              <w:right w:val="single" w:color="auto" w:sz="8" w:space="0"/>
            </w:tcBorders>
            <w:noWrap w:val="0"/>
            <w:vAlign w:val="center"/>
          </w:tcPr>
          <w:p>
            <w:pPr>
              <w:adjustRightInd w:val="0"/>
              <w:snapToGrid w:val="0"/>
              <w:ind w:firstLine="105" w:firstLineChars="50"/>
              <w:jc w:val="left"/>
              <w:rPr>
                <w:rFonts w:eastAsia="黑体"/>
                <w:szCs w:val="20"/>
              </w:rPr>
            </w:pPr>
            <w:r>
              <w:rPr>
                <w:rFonts w:eastAsia="黑体"/>
                <w:szCs w:val="20"/>
              </w:rPr>
              <w:t>事故源数量：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32"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黑体"/>
                <w:szCs w:val="20"/>
              </w:rPr>
            </w:pPr>
          </w:p>
        </w:tc>
        <w:tc>
          <w:tcPr>
            <w:tcW w:w="275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黑体"/>
                <w:szCs w:val="20"/>
              </w:rPr>
            </w:pPr>
            <w:r>
              <w:rPr>
                <w:rFonts w:eastAsia="黑体"/>
                <w:szCs w:val="20"/>
              </w:rPr>
              <w:t>□放射性污染</w:t>
            </w:r>
          </w:p>
        </w:tc>
        <w:tc>
          <w:tcPr>
            <w:tcW w:w="4689" w:type="dxa"/>
            <w:gridSpan w:val="7"/>
            <w:tcBorders>
              <w:top w:val="single" w:color="auto" w:sz="4" w:space="0"/>
              <w:left w:val="single" w:color="auto" w:sz="4" w:space="0"/>
              <w:bottom w:val="single" w:color="auto" w:sz="4" w:space="0"/>
              <w:right w:val="single" w:color="auto" w:sz="8" w:space="0"/>
            </w:tcBorders>
            <w:noWrap w:val="0"/>
            <w:vAlign w:val="center"/>
          </w:tcPr>
          <w:p>
            <w:pPr>
              <w:adjustRightInd w:val="0"/>
              <w:snapToGrid w:val="0"/>
              <w:ind w:firstLine="105" w:firstLineChars="50"/>
              <w:rPr>
                <w:rFonts w:eastAsia="黑体"/>
                <w:szCs w:val="20"/>
              </w:rPr>
            </w:pPr>
            <w:r>
              <w:rPr>
                <w:rFonts w:eastAsia="黑体"/>
                <w:szCs w:val="20"/>
              </w:rPr>
              <w:t>污染面积(m</w:t>
            </w:r>
            <w:r>
              <w:rPr>
                <w:rFonts w:eastAsia="黑体"/>
                <w:szCs w:val="20"/>
                <w:vertAlign w:val="superscript"/>
              </w:rPr>
              <w:t>2</w:t>
            </w:r>
            <w:r>
              <w:rPr>
                <w:rFonts w:eastAsia="黑体"/>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4" w:hRule="atLeast"/>
          <w:jc w:val="center"/>
        </w:trPr>
        <w:tc>
          <w:tcPr>
            <w:tcW w:w="401"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序号</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事故源核素名称</w:t>
            </w:r>
          </w:p>
        </w:tc>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出厂</w:t>
            </w:r>
          </w:p>
          <w:p>
            <w:pPr>
              <w:adjustRightInd w:val="0"/>
              <w:snapToGrid w:val="0"/>
              <w:jc w:val="center"/>
              <w:rPr>
                <w:rFonts w:eastAsia="黑体"/>
                <w:szCs w:val="20"/>
              </w:rPr>
            </w:pPr>
            <w:r>
              <w:rPr>
                <w:rFonts w:eastAsia="黑体"/>
                <w:szCs w:val="20"/>
              </w:rPr>
              <w:t>活度(Bq)</w:t>
            </w: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出厂日期</w:t>
            </w:r>
          </w:p>
        </w:tc>
        <w:tc>
          <w:tcPr>
            <w:tcW w:w="233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放射源编码</w:t>
            </w:r>
          </w:p>
        </w:tc>
        <w:tc>
          <w:tcPr>
            <w:tcW w:w="107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事故时活度(Bq)</w:t>
            </w:r>
          </w:p>
        </w:tc>
        <w:tc>
          <w:tcPr>
            <w:tcW w:w="1978" w:type="dxa"/>
            <w:gridSpan w:val="2"/>
            <w:tcBorders>
              <w:top w:val="single" w:color="auto" w:sz="4" w:space="0"/>
              <w:left w:val="single" w:color="auto" w:sz="4" w:space="0"/>
              <w:bottom w:val="single" w:color="auto" w:sz="4" w:space="0"/>
              <w:right w:val="single" w:color="auto" w:sz="8" w:space="0"/>
            </w:tcBorders>
            <w:noWrap w:val="0"/>
            <w:vAlign w:val="center"/>
          </w:tcPr>
          <w:p>
            <w:pPr>
              <w:adjustRightInd w:val="0"/>
              <w:snapToGrid w:val="0"/>
              <w:jc w:val="center"/>
              <w:rPr>
                <w:rFonts w:eastAsia="黑体"/>
                <w:szCs w:val="20"/>
              </w:rPr>
            </w:pPr>
            <w:r>
              <w:rPr>
                <w:rFonts w:eastAsia="黑体"/>
                <w:szCs w:val="20"/>
              </w:rPr>
              <w:t>非密封放射性物质</w:t>
            </w:r>
          </w:p>
          <w:p>
            <w:pPr>
              <w:adjustRightInd w:val="0"/>
              <w:snapToGrid w:val="0"/>
              <w:jc w:val="center"/>
              <w:rPr>
                <w:rFonts w:eastAsia="黑体"/>
                <w:szCs w:val="20"/>
              </w:rPr>
            </w:pPr>
            <w:r>
              <w:rPr>
                <w:rFonts w:eastAsia="黑体"/>
                <w:szCs w:val="20"/>
              </w:rPr>
              <w:t>状态(固/液态)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401"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103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96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08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2339"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07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978" w:type="dxa"/>
            <w:gridSpan w:val="2"/>
            <w:tcBorders>
              <w:top w:val="single" w:color="auto" w:sz="4" w:space="0"/>
              <w:left w:val="single" w:color="auto" w:sz="4" w:space="0"/>
              <w:bottom w:val="single" w:color="auto" w:sz="4" w:space="0"/>
              <w:right w:val="single" w:color="auto" w:sz="8" w:space="0"/>
            </w:tcBorders>
            <w:noWrap w:val="0"/>
            <w:vAlign w:val="top"/>
          </w:tcPr>
          <w:p>
            <w:pPr>
              <w:adjustRightInd w:val="0"/>
              <w:snapToGrid w:val="0"/>
              <w:jc w:val="center"/>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401"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96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08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2339"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07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978" w:type="dxa"/>
            <w:gridSpan w:val="2"/>
            <w:tcBorders>
              <w:top w:val="single" w:color="auto" w:sz="4" w:space="0"/>
              <w:left w:val="single" w:color="auto" w:sz="4" w:space="0"/>
              <w:bottom w:val="single" w:color="auto" w:sz="4" w:space="0"/>
              <w:right w:val="single" w:color="auto" w:sz="8" w:space="0"/>
            </w:tcBorders>
            <w:noWrap w:val="0"/>
            <w:vAlign w:val="top"/>
          </w:tcPr>
          <w:p>
            <w:pPr>
              <w:adjustRightInd w:val="0"/>
              <w:snapToGrid w:val="0"/>
              <w:jc w:val="center"/>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401"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序号</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射线装置</w:t>
            </w:r>
          </w:p>
          <w:p>
            <w:pPr>
              <w:adjustRightInd w:val="0"/>
              <w:snapToGrid w:val="0"/>
              <w:jc w:val="center"/>
              <w:rPr>
                <w:rFonts w:eastAsia="黑体"/>
                <w:szCs w:val="20"/>
              </w:rPr>
            </w:pPr>
            <w:r>
              <w:rPr>
                <w:rFonts w:eastAsia="黑体"/>
                <w:szCs w:val="20"/>
              </w:rPr>
              <w:t>名称</w:t>
            </w:r>
          </w:p>
        </w:tc>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型  号</w:t>
            </w: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生产厂家</w:t>
            </w:r>
          </w:p>
        </w:tc>
        <w:tc>
          <w:tcPr>
            <w:tcW w:w="233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设备编号</w:t>
            </w:r>
          </w:p>
        </w:tc>
        <w:tc>
          <w:tcPr>
            <w:tcW w:w="107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所在场所</w:t>
            </w:r>
          </w:p>
        </w:tc>
        <w:tc>
          <w:tcPr>
            <w:tcW w:w="1978" w:type="dxa"/>
            <w:gridSpan w:val="2"/>
            <w:tcBorders>
              <w:top w:val="single" w:color="auto" w:sz="4" w:space="0"/>
              <w:left w:val="single" w:color="auto" w:sz="4" w:space="0"/>
              <w:bottom w:val="single" w:color="auto" w:sz="4" w:space="0"/>
              <w:right w:val="single" w:color="auto" w:sz="8" w:space="0"/>
            </w:tcBorders>
            <w:noWrap w:val="0"/>
            <w:vAlign w:val="center"/>
          </w:tcPr>
          <w:p>
            <w:pPr>
              <w:adjustRightInd w:val="0"/>
              <w:snapToGrid w:val="0"/>
              <w:jc w:val="center"/>
              <w:rPr>
                <w:rFonts w:eastAsia="黑体"/>
                <w:szCs w:val="20"/>
              </w:rPr>
            </w:pPr>
            <w:r>
              <w:rPr>
                <w:rFonts w:eastAsia="黑体"/>
                <w:szCs w:val="20"/>
              </w:rPr>
              <w:t>主要参数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401"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96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08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2339"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07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978" w:type="dxa"/>
            <w:gridSpan w:val="2"/>
            <w:tcBorders>
              <w:top w:val="single" w:color="auto" w:sz="4" w:space="0"/>
              <w:left w:val="single" w:color="auto" w:sz="4" w:space="0"/>
              <w:bottom w:val="single" w:color="auto" w:sz="4" w:space="0"/>
              <w:right w:val="single" w:color="auto" w:sz="8" w:space="0"/>
            </w:tcBorders>
            <w:noWrap w:val="0"/>
            <w:vAlign w:val="top"/>
          </w:tcPr>
          <w:p>
            <w:pPr>
              <w:adjustRightInd w:val="0"/>
              <w:snapToGrid w:val="0"/>
              <w:jc w:val="center"/>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8" w:hRule="atLeast"/>
          <w:jc w:val="center"/>
        </w:trPr>
        <w:tc>
          <w:tcPr>
            <w:tcW w:w="401"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96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08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2339"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07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978" w:type="dxa"/>
            <w:gridSpan w:val="2"/>
            <w:tcBorders>
              <w:top w:val="single" w:color="auto" w:sz="4" w:space="0"/>
              <w:left w:val="single" w:color="auto" w:sz="4" w:space="0"/>
              <w:bottom w:val="single" w:color="auto" w:sz="4" w:space="0"/>
              <w:right w:val="single" w:color="auto" w:sz="8" w:space="0"/>
            </w:tcBorders>
            <w:noWrap w:val="0"/>
            <w:vAlign w:val="top"/>
          </w:tcPr>
          <w:p>
            <w:pPr>
              <w:adjustRightInd w:val="0"/>
              <w:snapToGrid w:val="0"/>
              <w:jc w:val="center"/>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1432"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事故经过</w:t>
            </w:r>
          </w:p>
          <w:p>
            <w:pPr>
              <w:adjustRightInd w:val="0"/>
              <w:snapToGrid w:val="0"/>
              <w:jc w:val="center"/>
              <w:rPr>
                <w:rFonts w:eastAsia="黑体"/>
                <w:szCs w:val="20"/>
              </w:rPr>
            </w:pPr>
            <w:r>
              <w:rPr>
                <w:rFonts w:eastAsia="黑体"/>
                <w:szCs w:val="20"/>
              </w:rPr>
              <w:t>情</w:t>
            </w:r>
            <w:r>
              <w:rPr>
                <w:rFonts w:hint="eastAsia" w:eastAsia="黑体"/>
                <w:szCs w:val="20"/>
              </w:rPr>
              <w:t xml:space="preserve">  </w:t>
            </w:r>
            <w:r>
              <w:rPr>
                <w:rFonts w:eastAsia="黑体"/>
                <w:szCs w:val="20"/>
              </w:rPr>
              <w:t>况</w:t>
            </w:r>
          </w:p>
        </w:tc>
        <w:tc>
          <w:tcPr>
            <w:tcW w:w="7439" w:type="dxa"/>
            <w:gridSpan w:val="12"/>
            <w:tcBorders>
              <w:top w:val="single" w:color="auto" w:sz="4" w:space="0"/>
              <w:left w:val="single" w:color="auto" w:sz="4" w:space="0"/>
              <w:bottom w:val="single" w:color="auto" w:sz="4" w:space="0"/>
              <w:right w:val="single" w:color="auto" w:sz="8" w:space="0"/>
            </w:tcBorders>
            <w:noWrap w:val="0"/>
            <w:vAlign w:val="top"/>
          </w:tcPr>
          <w:p>
            <w:pPr>
              <w:adjustRightInd w:val="0"/>
              <w:snapToGrid w:val="0"/>
              <w:jc w:val="center"/>
              <w:rPr>
                <w:rFonts w:eastAsia="黑体"/>
                <w:szCs w:val="20"/>
              </w:rPr>
            </w:pPr>
          </w:p>
          <w:p>
            <w:pPr>
              <w:adjustRightInd w:val="0"/>
              <w:snapToGrid w:val="0"/>
              <w:jc w:val="center"/>
              <w:rPr>
                <w:rFonts w:eastAsia="黑体"/>
                <w:szCs w:val="20"/>
              </w:rPr>
            </w:pPr>
          </w:p>
          <w:p>
            <w:pPr>
              <w:adjustRightInd w:val="0"/>
              <w:snapToGrid w:val="0"/>
              <w:jc w:val="center"/>
              <w:rPr>
                <w:rFonts w:eastAsia="黑体"/>
                <w:szCs w:val="20"/>
              </w:rPr>
            </w:pPr>
          </w:p>
          <w:p>
            <w:pPr>
              <w:adjustRightInd w:val="0"/>
              <w:snapToGrid w:val="0"/>
              <w:jc w:val="center"/>
              <w:rPr>
                <w:rFonts w:eastAsia="黑体"/>
                <w:szCs w:val="20"/>
              </w:rPr>
            </w:pPr>
          </w:p>
          <w:p>
            <w:pPr>
              <w:adjustRightInd w:val="0"/>
              <w:snapToGrid w:val="0"/>
              <w:jc w:val="center"/>
              <w:rPr>
                <w:rFonts w:eastAsia="黑体"/>
                <w:szCs w:val="20"/>
              </w:rPr>
            </w:pPr>
          </w:p>
          <w:p>
            <w:pPr>
              <w:adjustRightInd w:val="0"/>
              <w:snapToGrid w:val="0"/>
              <w:jc w:val="center"/>
              <w:rPr>
                <w:rFonts w:eastAsia="黑体"/>
                <w:szCs w:val="20"/>
              </w:rPr>
            </w:pPr>
          </w:p>
          <w:p>
            <w:pPr>
              <w:adjustRightInd w:val="0"/>
              <w:snapToGrid w:val="0"/>
              <w:jc w:val="center"/>
              <w:rPr>
                <w:rFonts w:eastAsia="黑体"/>
                <w:szCs w:val="20"/>
              </w:rPr>
            </w:pPr>
          </w:p>
          <w:p>
            <w:pPr>
              <w:adjustRightInd w:val="0"/>
              <w:snapToGrid w:val="0"/>
              <w:jc w:val="center"/>
              <w:rPr>
                <w:rFonts w:eastAsia="黑体"/>
                <w:szCs w:val="20"/>
              </w:rPr>
            </w:pPr>
          </w:p>
          <w:p>
            <w:pPr>
              <w:adjustRightInd w:val="0"/>
              <w:snapToGrid w:val="0"/>
              <w:rPr>
                <w:rFonts w:eastAsia="黑体"/>
                <w:szCs w:val="20"/>
              </w:rPr>
            </w:pPr>
          </w:p>
          <w:p>
            <w:pPr>
              <w:adjustRightInd w:val="0"/>
              <w:snapToGrid w:val="0"/>
              <w:jc w:val="center"/>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0" w:hRule="atLeast"/>
          <w:jc w:val="center"/>
        </w:trPr>
        <w:tc>
          <w:tcPr>
            <w:tcW w:w="1432" w:type="dxa"/>
            <w:gridSpan w:val="2"/>
            <w:tcBorders>
              <w:top w:val="single" w:color="auto" w:sz="4" w:space="0"/>
              <w:left w:val="single" w:color="auto" w:sz="8" w:space="0"/>
              <w:bottom w:val="single" w:color="auto" w:sz="8" w:space="0"/>
              <w:right w:val="single" w:color="auto" w:sz="4" w:space="0"/>
            </w:tcBorders>
            <w:noWrap w:val="0"/>
            <w:vAlign w:val="center"/>
          </w:tcPr>
          <w:p>
            <w:pPr>
              <w:adjustRightInd w:val="0"/>
              <w:snapToGrid w:val="0"/>
              <w:jc w:val="center"/>
              <w:rPr>
                <w:rFonts w:eastAsia="黑体"/>
                <w:szCs w:val="20"/>
              </w:rPr>
            </w:pPr>
            <w:r>
              <w:rPr>
                <w:rFonts w:eastAsia="黑体"/>
                <w:szCs w:val="20"/>
              </w:rPr>
              <w:t>报告人签字</w:t>
            </w:r>
          </w:p>
        </w:tc>
        <w:tc>
          <w:tcPr>
            <w:tcW w:w="787"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jc w:val="center"/>
              <w:rPr>
                <w:rFonts w:eastAsia="黑体"/>
                <w:szCs w:val="20"/>
              </w:rPr>
            </w:pPr>
          </w:p>
        </w:tc>
        <w:tc>
          <w:tcPr>
            <w:tcW w:w="1264" w:type="dxa"/>
            <w:gridSpan w:val="3"/>
            <w:tcBorders>
              <w:top w:val="single" w:color="auto" w:sz="4" w:space="0"/>
              <w:left w:val="single" w:color="auto" w:sz="4" w:space="0"/>
              <w:bottom w:val="single" w:color="auto" w:sz="8" w:space="0"/>
              <w:right w:val="single" w:color="auto" w:sz="4" w:space="0"/>
            </w:tcBorders>
            <w:noWrap w:val="0"/>
            <w:vAlign w:val="center"/>
          </w:tcPr>
          <w:p>
            <w:pPr>
              <w:adjustRightInd w:val="0"/>
              <w:snapToGrid w:val="0"/>
              <w:jc w:val="center"/>
              <w:rPr>
                <w:rFonts w:eastAsia="黑体"/>
                <w:szCs w:val="20"/>
              </w:rPr>
            </w:pPr>
            <w:r>
              <w:rPr>
                <w:rFonts w:eastAsia="黑体"/>
                <w:szCs w:val="20"/>
              </w:rPr>
              <w:t>报告时间</w:t>
            </w:r>
          </w:p>
        </w:tc>
        <w:tc>
          <w:tcPr>
            <w:tcW w:w="5388" w:type="dxa"/>
            <w:gridSpan w:val="8"/>
            <w:tcBorders>
              <w:top w:val="single" w:color="auto" w:sz="4" w:space="0"/>
              <w:left w:val="single" w:color="auto" w:sz="4" w:space="0"/>
              <w:bottom w:val="single" w:color="auto" w:sz="8" w:space="0"/>
              <w:right w:val="single" w:color="auto" w:sz="8" w:space="0"/>
            </w:tcBorders>
            <w:noWrap w:val="0"/>
            <w:vAlign w:val="center"/>
          </w:tcPr>
          <w:p>
            <w:pPr>
              <w:adjustRightInd w:val="0"/>
              <w:snapToGrid w:val="0"/>
              <w:jc w:val="center"/>
              <w:rPr>
                <w:rFonts w:eastAsia="黑体"/>
                <w:szCs w:val="20"/>
              </w:rPr>
            </w:pPr>
            <w:r>
              <w:rPr>
                <w:rFonts w:eastAsia="黑体"/>
                <w:szCs w:val="20"/>
              </w:rPr>
              <w:t>年　　月　　日　　时　　分</w:t>
            </w:r>
          </w:p>
        </w:tc>
      </w:tr>
    </w:tbl>
    <w:p>
      <w:pPr>
        <w:adjustRightInd w:val="0"/>
        <w:snapToGrid w:val="0"/>
        <w:spacing w:before="93" w:beforeLines="30"/>
        <w:ind w:left="420" w:hanging="420" w:hangingChars="200"/>
        <w:rPr>
          <w:szCs w:val="20"/>
        </w:rPr>
      </w:pPr>
      <w:r>
        <w:rPr>
          <w:rFonts w:eastAsia="黑体"/>
          <w:szCs w:val="20"/>
        </w:rPr>
        <w:t>注：射线装置的“主要参数”是指X射线机的电流(mA)和电压(kV)、加速器线束能量等主要性能参</w:t>
      </w:r>
      <w:r>
        <w:rPr>
          <w:szCs w:val="20"/>
        </w:rPr>
        <w:t>数。</w:t>
      </w:r>
    </w:p>
    <w:p>
      <w:pPr>
        <w:rPr>
          <w:rFonts w:eastAsia="黑体"/>
        </w:rPr>
        <w:sectPr>
          <w:pgSz w:w="11906" w:h="16838"/>
          <w:pgMar w:top="1440" w:right="1800" w:bottom="1440" w:left="1800" w:header="851" w:footer="992" w:gutter="0"/>
          <w:pgNumType w:fmt="numberInDash"/>
          <w:cols w:space="720" w:num="1"/>
          <w:docGrid w:type="lines" w:linePitch="312" w:charSpace="0"/>
        </w:sectPr>
      </w:pPr>
    </w:p>
    <w:p>
      <w:pPr>
        <w:spacing w:before="120" w:beforeLines="50" w:line="360" w:lineRule="auto"/>
        <w:outlineLvl w:val="0"/>
        <w:rPr>
          <w:rFonts w:eastAsia="方正小标宋简体"/>
          <w:b/>
          <w:sz w:val="44"/>
          <w:szCs w:val="44"/>
        </w:rPr>
      </w:pPr>
      <w:bookmarkStart w:id="172" w:name="_Toc24605"/>
      <w:r>
        <w:rPr>
          <w:rFonts w:eastAsia="黑体"/>
          <w:b/>
          <w:sz w:val="32"/>
          <w:szCs w:val="32"/>
        </w:rPr>
        <w:t xml:space="preserve">附件3 </w:t>
      </w:r>
      <w:bookmarkStart w:id="173" w:name="_Toc20591_WPSOffice_Level1"/>
      <w:bookmarkStart w:id="174" w:name="_Toc9686_WPSOffice_Level1"/>
      <w:bookmarkStart w:id="175" w:name="_Toc19483"/>
      <w:bookmarkStart w:id="176" w:name="_Toc24148_WPSOffice_Level1"/>
      <w:r>
        <w:rPr>
          <w:rFonts w:eastAsia="黑体"/>
          <w:b/>
          <w:sz w:val="32"/>
          <w:szCs w:val="32"/>
        </w:rPr>
        <w:t>辐射事故后续报告表</w:t>
      </w:r>
      <w:bookmarkEnd w:id="172"/>
      <w:bookmarkEnd w:id="173"/>
      <w:bookmarkEnd w:id="174"/>
      <w:bookmarkEnd w:id="175"/>
      <w:bookmarkEnd w:id="176"/>
    </w:p>
    <w:p>
      <w:pPr>
        <w:autoSpaceDE w:val="0"/>
        <w:autoSpaceDN w:val="0"/>
        <w:adjustRightInd w:val="0"/>
        <w:snapToGrid w:val="0"/>
        <w:ind w:firstLine="1200"/>
        <w:rPr>
          <w:rFonts w:eastAsia="方正仿宋_GBK"/>
          <w:snapToGrid w:val="0"/>
          <w:kern w:val="0"/>
          <w:sz w:val="30"/>
          <w:szCs w:val="20"/>
        </w:rPr>
      </w:pPr>
    </w:p>
    <w:tbl>
      <w:tblPr>
        <w:tblStyle w:val="9"/>
        <w:tblW w:w="88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01"/>
        <w:gridCol w:w="1236"/>
        <w:gridCol w:w="916"/>
        <w:gridCol w:w="207"/>
        <w:gridCol w:w="308"/>
        <w:gridCol w:w="592"/>
        <w:gridCol w:w="698"/>
        <w:gridCol w:w="101"/>
        <w:gridCol w:w="1009"/>
        <w:gridCol w:w="507"/>
        <w:gridCol w:w="58"/>
        <w:gridCol w:w="665"/>
        <w:gridCol w:w="269"/>
        <w:gridCol w:w="971"/>
        <w:gridCol w:w="9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1637" w:type="dxa"/>
            <w:gridSpan w:val="2"/>
            <w:vMerge w:val="restart"/>
            <w:tcBorders>
              <w:top w:val="single" w:color="auto" w:sz="8"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事故单位</w:t>
            </w:r>
          </w:p>
        </w:tc>
        <w:tc>
          <w:tcPr>
            <w:tcW w:w="916" w:type="dxa"/>
            <w:tcBorders>
              <w:top w:val="single" w:color="auto" w:sz="8" w:space="0"/>
              <w:left w:val="single" w:color="auto" w:sz="4" w:space="0"/>
              <w:bottom w:val="single" w:color="auto" w:sz="4" w:space="0"/>
              <w:right w:val="single" w:color="000000" w:sz="4" w:space="0"/>
            </w:tcBorders>
            <w:noWrap w:val="0"/>
            <w:vAlign w:val="center"/>
          </w:tcPr>
          <w:p>
            <w:pPr>
              <w:adjustRightInd w:val="0"/>
              <w:snapToGrid w:val="0"/>
              <w:rPr>
                <w:rFonts w:eastAsia="黑体"/>
                <w:szCs w:val="20"/>
              </w:rPr>
            </w:pPr>
            <w:r>
              <w:rPr>
                <w:rFonts w:eastAsia="黑体"/>
                <w:szCs w:val="20"/>
              </w:rPr>
              <w:t xml:space="preserve">名 称                 </w:t>
            </w:r>
          </w:p>
        </w:tc>
        <w:tc>
          <w:tcPr>
            <w:tcW w:w="1906" w:type="dxa"/>
            <w:gridSpan w:val="5"/>
            <w:tcBorders>
              <w:top w:val="single" w:color="auto" w:sz="8" w:space="0"/>
              <w:left w:val="single" w:color="000000" w:sz="4" w:space="0"/>
              <w:bottom w:val="single" w:color="auto" w:sz="4" w:space="0"/>
              <w:right w:val="single" w:color="auto" w:sz="4" w:space="0"/>
            </w:tcBorders>
            <w:noWrap w:val="0"/>
            <w:vAlign w:val="center"/>
          </w:tcPr>
          <w:p>
            <w:pPr>
              <w:adjustRightInd w:val="0"/>
              <w:snapToGrid w:val="0"/>
              <w:rPr>
                <w:rFonts w:eastAsia="黑体"/>
                <w:szCs w:val="20"/>
              </w:rPr>
            </w:pPr>
          </w:p>
        </w:tc>
        <w:tc>
          <w:tcPr>
            <w:tcW w:w="1574" w:type="dxa"/>
            <w:gridSpan w:val="3"/>
            <w:tcBorders>
              <w:top w:val="single" w:color="auto" w:sz="8" w:space="0"/>
              <w:left w:val="single" w:color="auto" w:sz="4" w:space="0"/>
              <w:bottom w:val="single" w:color="auto" w:sz="4" w:space="0"/>
              <w:right w:val="single" w:color="000000" w:sz="4" w:space="0"/>
            </w:tcBorders>
            <w:noWrap w:val="0"/>
            <w:vAlign w:val="center"/>
          </w:tcPr>
          <w:p>
            <w:pPr>
              <w:adjustRightInd w:val="0"/>
              <w:snapToGrid w:val="0"/>
              <w:rPr>
                <w:rFonts w:eastAsia="黑体"/>
                <w:szCs w:val="20"/>
              </w:rPr>
            </w:pPr>
            <w:r>
              <w:rPr>
                <w:rFonts w:eastAsia="黑体"/>
                <w:szCs w:val="20"/>
              </w:rPr>
              <w:t>地 址</w:t>
            </w:r>
          </w:p>
        </w:tc>
        <w:tc>
          <w:tcPr>
            <w:tcW w:w="2852" w:type="dxa"/>
            <w:gridSpan w:val="4"/>
            <w:tcBorders>
              <w:top w:val="single" w:color="auto" w:sz="8" w:space="0"/>
              <w:left w:val="single" w:color="000000" w:sz="4" w:space="0"/>
              <w:bottom w:val="single" w:color="auto" w:sz="4" w:space="0"/>
              <w:right w:val="single" w:color="auto" w:sz="8" w:space="0"/>
            </w:tcBorders>
            <w:noWrap w:val="0"/>
            <w:vAlign w:val="center"/>
          </w:tcPr>
          <w:p>
            <w:pPr>
              <w:adjustRightInd w:val="0"/>
              <w:snapToGrid w:val="0"/>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1637" w:type="dxa"/>
            <w:gridSpan w:val="2"/>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eastAsia="黑体"/>
                <w:szCs w:val="20"/>
              </w:rPr>
            </w:pPr>
          </w:p>
        </w:tc>
        <w:tc>
          <w:tcPr>
            <w:tcW w:w="916"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eastAsia="黑体"/>
                <w:szCs w:val="20"/>
              </w:rPr>
            </w:pPr>
            <w:r>
              <w:rPr>
                <w:rFonts w:eastAsia="黑体"/>
                <w:szCs w:val="20"/>
              </w:rPr>
              <w:t>许可证号</w:t>
            </w:r>
          </w:p>
        </w:tc>
        <w:tc>
          <w:tcPr>
            <w:tcW w:w="1906" w:type="dxa"/>
            <w:gridSpan w:val="5"/>
            <w:tcBorders>
              <w:top w:val="single" w:color="auto" w:sz="4" w:space="0"/>
              <w:left w:val="single" w:color="000000" w:sz="4" w:space="0"/>
              <w:bottom w:val="single" w:color="auto" w:sz="4" w:space="0"/>
              <w:right w:val="single" w:color="auto" w:sz="4" w:space="0"/>
            </w:tcBorders>
            <w:noWrap w:val="0"/>
            <w:vAlign w:val="center"/>
          </w:tcPr>
          <w:p>
            <w:pPr>
              <w:adjustRightInd w:val="0"/>
              <w:snapToGrid w:val="0"/>
              <w:rPr>
                <w:rFonts w:eastAsia="黑体"/>
                <w:szCs w:val="20"/>
              </w:rPr>
            </w:pPr>
          </w:p>
        </w:tc>
        <w:tc>
          <w:tcPr>
            <w:tcW w:w="1574" w:type="dxa"/>
            <w:gridSpan w:val="3"/>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eastAsia="黑体"/>
                <w:szCs w:val="20"/>
              </w:rPr>
            </w:pPr>
            <w:r>
              <w:rPr>
                <w:rFonts w:eastAsia="黑体"/>
                <w:szCs w:val="20"/>
              </w:rPr>
              <w:t>许可证审批机关</w:t>
            </w:r>
          </w:p>
        </w:tc>
        <w:tc>
          <w:tcPr>
            <w:tcW w:w="2852" w:type="dxa"/>
            <w:gridSpan w:val="4"/>
            <w:tcBorders>
              <w:top w:val="single" w:color="auto" w:sz="4" w:space="0"/>
              <w:left w:val="single" w:color="000000" w:sz="4" w:space="0"/>
              <w:bottom w:val="single" w:color="auto" w:sz="4" w:space="0"/>
              <w:right w:val="single" w:color="auto" w:sz="8" w:space="0"/>
            </w:tcBorders>
            <w:noWrap w:val="0"/>
            <w:vAlign w:val="center"/>
          </w:tcPr>
          <w:p>
            <w:pPr>
              <w:adjustRightInd w:val="0"/>
              <w:snapToGrid w:val="0"/>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1637"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事故发生时间</w:t>
            </w:r>
          </w:p>
        </w:tc>
        <w:tc>
          <w:tcPr>
            <w:tcW w:w="282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15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黑体"/>
                <w:szCs w:val="20"/>
              </w:rPr>
            </w:pPr>
            <w:r>
              <w:rPr>
                <w:rFonts w:eastAsia="黑体"/>
                <w:szCs w:val="20"/>
              </w:rPr>
              <w:t>事故报告时间</w:t>
            </w:r>
          </w:p>
        </w:tc>
        <w:tc>
          <w:tcPr>
            <w:tcW w:w="2852" w:type="dxa"/>
            <w:gridSpan w:val="4"/>
            <w:tcBorders>
              <w:top w:val="single" w:color="auto" w:sz="4" w:space="0"/>
              <w:left w:val="single" w:color="auto" w:sz="4" w:space="0"/>
              <w:bottom w:val="single" w:color="auto" w:sz="4" w:space="0"/>
              <w:right w:val="single" w:color="auto" w:sz="8" w:space="0"/>
            </w:tcBorders>
            <w:noWrap w:val="0"/>
            <w:vAlign w:val="center"/>
          </w:tcPr>
          <w:p>
            <w:pPr>
              <w:adjustRightInd w:val="0"/>
              <w:snapToGrid w:val="0"/>
              <w:jc w:val="center"/>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1637"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事故发生地点</w:t>
            </w:r>
          </w:p>
        </w:tc>
        <w:tc>
          <w:tcPr>
            <w:tcW w:w="7248" w:type="dxa"/>
            <w:gridSpan w:val="13"/>
            <w:tcBorders>
              <w:top w:val="single" w:color="auto" w:sz="4" w:space="0"/>
              <w:left w:val="single" w:color="auto" w:sz="4" w:space="0"/>
              <w:bottom w:val="single" w:color="auto" w:sz="4" w:space="0"/>
              <w:right w:val="single" w:color="auto" w:sz="8" w:space="0"/>
            </w:tcBorders>
            <w:noWrap w:val="0"/>
            <w:vAlign w:val="center"/>
          </w:tcPr>
          <w:p>
            <w:pPr>
              <w:adjustRightInd w:val="0"/>
              <w:snapToGrid w:val="0"/>
              <w:jc w:val="center"/>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1637" w:type="dxa"/>
            <w:gridSpan w:val="2"/>
            <w:vMerge w:val="restart"/>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事故类型</w:t>
            </w:r>
          </w:p>
        </w:tc>
        <w:tc>
          <w:tcPr>
            <w:tcW w:w="1431" w:type="dxa"/>
            <w:gridSpan w:val="3"/>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eastAsia="黑体"/>
                <w:szCs w:val="20"/>
              </w:rPr>
            </w:pPr>
            <w:r>
              <w:rPr>
                <w:rFonts w:eastAsia="黑体"/>
                <w:szCs w:val="20"/>
              </w:rPr>
              <w:t xml:space="preserve">□人员受照   </w:t>
            </w:r>
          </w:p>
        </w:tc>
        <w:tc>
          <w:tcPr>
            <w:tcW w:w="1290"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rPr>
                <w:rFonts w:eastAsia="黑体"/>
                <w:szCs w:val="20"/>
              </w:rPr>
            </w:pPr>
            <w:r>
              <w:rPr>
                <w:rFonts w:eastAsia="黑体"/>
                <w:szCs w:val="20"/>
              </w:rPr>
              <w:t>受照人数</w:t>
            </w:r>
          </w:p>
        </w:tc>
        <w:tc>
          <w:tcPr>
            <w:tcW w:w="1110"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rPr>
                <w:rFonts w:eastAsia="黑体"/>
                <w:szCs w:val="20"/>
              </w:rPr>
            </w:pPr>
            <w:r>
              <w:rPr>
                <w:rFonts w:eastAsia="黑体"/>
                <w:szCs w:val="20"/>
              </w:rPr>
              <w:t xml:space="preserve">          </w:t>
            </w:r>
          </w:p>
        </w:tc>
        <w:tc>
          <w:tcPr>
            <w:tcW w:w="123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rPr>
                <w:rFonts w:eastAsia="黑体"/>
                <w:szCs w:val="20"/>
              </w:rPr>
            </w:pPr>
            <w:r>
              <w:rPr>
                <w:rFonts w:eastAsia="黑体"/>
                <w:szCs w:val="20"/>
              </w:rPr>
              <w:sym w:font="Wingdings 2" w:char="00A3"/>
            </w:r>
            <w:r>
              <w:rPr>
                <w:rFonts w:eastAsia="黑体"/>
                <w:szCs w:val="20"/>
              </w:rPr>
              <w:t>人员污染</w:t>
            </w:r>
          </w:p>
        </w:tc>
        <w:tc>
          <w:tcPr>
            <w:tcW w:w="1240"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ind w:firstLine="105" w:firstLineChars="50"/>
              <w:rPr>
                <w:rFonts w:eastAsia="黑体"/>
                <w:szCs w:val="20"/>
              </w:rPr>
            </w:pPr>
            <w:r>
              <w:rPr>
                <w:rFonts w:eastAsia="黑体"/>
                <w:szCs w:val="20"/>
              </w:rPr>
              <w:t>受污染人数</w:t>
            </w:r>
          </w:p>
        </w:tc>
        <w:tc>
          <w:tcPr>
            <w:tcW w:w="947" w:type="dxa"/>
            <w:tcBorders>
              <w:top w:val="single" w:color="auto" w:sz="4" w:space="0"/>
              <w:left w:val="single" w:color="000000" w:sz="4" w:space="0"/>
              <w:bottom w:val="single" w:color="auto" w:sz="4" w:space="0"/>
              <w:right w:val="single" w:color="auto" w:sz="8" w:space="0"/>
            </w:tcBorders>
            <w:noWrap w:val="0"/>
            <w:vAlign w:val="center"/>
          </w:tcPr>
          <w:p>
            <w:pPr>
              <w:adjustRightInd w:val="0"/>
              <w:snapToGrid w:val="0"/>
              <w:ind w:firstLine="105" w:firstLineChars="50"/>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1637"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黑体"/>
                <w:szCs w:val="20"/>
              </w:rPr>
            </w:pPr>
          </w:p>
        </w:tc>
        <w:tc>
          <w:tcPr>
            <w:tcW w:w="2721" w:type="dxa"/>
            <w:gridSpan w:val="5"/>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eastAsia="黑体"/>
                <w:szCs w:val="20"/>
              </w:rPr>
            </w:pPr>
            <w:r>
              <w:rPr>
                <w:rFonts w:eastAsia="黑体"/>
                <w:szCs w:val="20"/>
              </w:rPr>
              <w:t>□丢失   □被盗   □失控</w:t>
            </w:r>
          </w:p>
        </w:tc>
        <w:tc>
          <w:tcPr>
            <w:tcW w:w="4527" w:type="dxa"/>
            <w:gridSpan w:val="8"/>
            <w:tcBorders>
              <w:top w:val="single" w:color="auto" w:sz="4" w:space="0"/>
              <w:left w:val="single" w:color="000000" w:sz="4" w:space="0"/>
              <w:bottom w:val="single" w:color="auto" w:sz="4" w:space="0"/>
              <w:right w:val="single" w:color="auto" w:sz="8" w:space="0"/>
            </w:tcBorders>
            <w:noWrap w:val="0"/>
            <w:vAlign w:val="center"/>
          </w:tcPr>
          <w:p>
            <w:pPr>
              <w:adjustRightInd w:val="0"/>
              <w:snapToGrid w:val="0"/>
              <w:ind w:firstLine="105" w:firstLineChars="50"/>
              <w:rPr>
                <w:rFonts w:eastAsia="黑体"/>
                <w:szCs w:val="20"/>
              </w:rPr>
            </w:pPr>
            <w:r>
              <w:rPr>
                <w:rFonts w:eastAsia="黑体"/>
                <w:szCs w:val="20"/>
              </w:rPr>
              <w:t>事故源数量：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1637"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黑体"/>
                <w:szCs w:val="20"/>
              </w:rPr>
            </w:pPr>
          </w:p>
        </w:tc>
        <w:tc>
          <w:tcPr>
            <w:tcW w:w="2721" w:type="dxa"/>
            <w:gridSpan w:val="5"/>
            <w:tcBorders>
              <w:top w:val="single" w:color="auto" w:sz="4" w:space="0"/>
              <w:left w:val="single" w:color="auto" w:sz="4" w:space="0"/>
              <w:bottom w:val="single" w:color="auto" w:sz="4" w:space="0"/>
              <w:right w:val="single" w:color="000000" w:sz="4" w:space="0"/>
            </w:tcBorders>
            <w:noWrap w:val="0"/>
            <w:vAlign w:val="center"/>
          </w:tcPr>
          <w:p>
            <w:pPr>
              <w:adjustRightInd w:val="0"/>
              <w:snapToGrid w:val="0"/>
              <w:jc w:val="center"/>
              <w:rPr>
                <w:rFonts w:eastAsia="黑体"/>
                <w:szCs w:val="20"/>
              </w:rPr>
            </w:pPr>
            <w:r>
              <w:rPr>
                <w:rFonts w:eastAsia="黑体"/>
                <w:szCs w:val="20"/>
              </w:rPr>
              <w:t>□放射性污染</w:t>
            </w:r>
          </w:p>
        </w:tc>
        <w:tc>
          <w:tcPr>
            <w:tcW w:w="4527" w:type="dxa"/>
            <w:gridSpan w:val="8"/>
            <w:tcBorders>
              <w:top w:val="single" w:color="auto" w:sz="4" w:space="0"/>
              <w:left w:val="single" w:color="000000" w:sz="4" w:space="0"/>
              <w:bottom w:val="single" w:color="auto" w:sz="4" w:space="0"/>
              <w:right w:val="single" w:color="auto" w:sz="8" w:space="0"/>
            </w:tcBorders>
            <w:noWrap w:val="0"/>
            <w:vAlign w:val="center"/>
          </w:tcPr>
          <w:p>
            <w:pPr>
              <w:adjustRightInd w:val="0"/>
              <w:snapToGrid w:val="0"/>
              <w:ind w:firstLine="105" w:firstLineChars="50"/>
              <w:rPr>
                <w:rFonts w:eastAsia="黑体"/>
                <w:szCs w:val="20"/>
              </w:rPr>
            </w:pPr>
            <w:r>
              <w:rPr>
                <w:rFonts w:eastAsia="黑体"/>
                <w:szCs w:val="20"/>
              </w:rPr>
              <w:t>污染面积(m</w:t>
            </w:r>
            <w:r>
              <w:rPr>
                <w:rFonts w:eastAsia="黑体"/>
                <w:szCs w:val="20"/>
                <w:vertAlign w:val="superscript"/>
              </w:rPr>
              <w:t>2</w:t>
            </w:r>
            <w:r>
              <w:rPr>
                <w:rFonts w:eastAsia="黑体"/>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4" w:hRule="atLeast"/>
          <w:jc w:val="center"/>
        </w:trPr>
        <w:tc>
          <w:tcPr>
            <w:tcW w:w="401"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序号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事故源</w:t>
            </w:r>
          </w:p>
          <w:p>
            <w:pPr>
              <w:adjustRightInd w:val="0"/>
              <w:snapToGrid w:val="0"/>
              <w:jc w:val="center"/>
              <w:rPr>
                <w:rFonts w:eastAsia="黑体"/>
                <w:szCs w:val="20"/>
              </w:rPr>
            </w:pPr>
            <w:r>
              <w:rPr>
                <w:rFonts w:eastAsia="黑体"/>
                <w:szCs w:val="20"/>
              </w:rPr>
              <w:t>核素名称</w:t>
            </w: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出厂</w:t>
            </w:r>
          </w:p>
          <w:p>
            <w:pPr>
              <w:adjustRightInd w:val="0"/>
              <w:snapToGrid w:val="0"/>
              <w:jc w:val="center"/>
              <w:rPr>
                <w:rFonts w:eastAsia="黑体"/>
                <w:szCs w:val="20"/>
              </w:rPr>
            </w:pPr>
            <w:r>
              <w:rPr>
                <w:rFonts w:eastAsia="黑体"/>
                <w:szCs w:val="20"/>
              </w:rPr>
              <w:t>活度(Bq)</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出厂</w:t>
            </w:r>
          </w:p>
          <w:p>
            <w:pPr>
              <w:adjustRightInd w:val="0"/>
              <w:snapToGrid w:val="0"/>
              <w:jc w:val="center"/>
              <w:rPr>
                <w:rFonts w:eastAsia="黑体"/>
                <w:szCs w:val="20"/>
              </w:rPr>
            </w:pPr>
            <w:r>
              <w:rPr>
                <w:rFonts w:eastAsia="黑体"/>
                <w:szCs w:val="20"/>
              </w:rPr>
              <w:t>日期</w:t>
            </w:r>
          </w:p>
        </w:tc>
        <w:tc>
          <w:tcPr>
            <w:tcW w:w="231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放射源编码</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事故时活度(Bq)</w:t>
            </w:r>
          </w:p>
        </w:tc>
        <w:tc>
          <w:tcPr>
            <w:tcW w:w="1918" w:type="dxa"/>
            <w:gridSpan w:val="2"/>
            <w:tcBorders>
              <w:top w:val="single" w:color="auto" w:sz="4" w:space="0"/>
              <w:left w:val="single" w:color="auto" w:sz="4" w:space="0"/>
              <w:bottom w:val="single" w:color="auto" w:sz="4" w:space="0"/>
              <w:right w:val="single" w:color="auto" w:sz="8" w:space="0"/>
            </w:tcBorders>
            <w:noWrap w:val="0"/>
            <w:vAlign w:val="center"/>
          </w:tcPr>
          <w:p>
            <w:pPr>
              <w:adjustRightInd w:val="0"/>
              <w:snapToGrid w:val="0"/>
              <w:jc w:val="center"/>
              <w:rPr>
                <w:rFonts w:eastAsia="黑体"/>
                <w:szCs w:val="20"/>
              </w:rPr>
            </w:pPr>
            <w:r>
              <w:rPr>
                <w:rFonts w:eastAsia="黑体"/>
                <w:szCs w:val="20"/>
              </w:rPr>
              <w:t>非密封放射性物质</w:t>
            </w:r>
          </w:p>
          <w:p>
            <w:pPr>
              <w:adjustRightInd w:val="0"/>
              <w:snapToGrid w:val="0"/>
              <w:jc w:val="center"/>
              <w:rPr>
                <w:rFonts w:eastAsia="黑体"/>
                <w:szCs w:val="20"/>
              </w:rPr>
            </w:pPr>
            <w:r>
              <w:rPr>
                <w:rFonts w:eastAsia="黑体"/>
                <w:szCs w:val="20"/>
              </w:rPr>
              <w:t>状态(固/液态)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401"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12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2315"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992"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918" w:type="dxa"/>
            <w:gridSpan w:val="2"/>
            <w:tcBorders>
              <w:top w:val="single" w:color="auto" w:sz="4" w:space="0"/>
              <w:left w:val="single" w:color="auto" w:sz="4" w:space="0"/>
              <w:bottom w:val="single" w:color="auto" w:sz="4" w:space="0"/>
              <w:right w:val="single" w:color="auto" w:sz="8" w:space="0"/>
            </w:tcBorders>
            <w:noWrap w:val="0"/>
            <w:vAlign w:val="top"/>
          </w:tcPr>
          <w:p>
            <w:pPr>
              <w:adjustRightInd w:val="0"/>
              <w:snapToGrid w:val="0"/>
              <w:jc w:val="center"/>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401"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112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2315"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992"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918" w:type="dxa"/>
            <w:gridSpan w:val="2"/>
            <w:tcBorders>
              <w:top w:val="single" w:color="auto" w:sz="4" w:space="0"/>
              <w:left w:val="single" w:color="auto" w:sz="4" w:space="0"/>
              <w:bottom w:val="single" w:color="auto" w:sz="4" w:space="0"/>
              <w:right w:val="single" w:color="auto" w:sz="8" w:space="0"/>
            </w:tcBorders>
            <w:noWrap w:val="0"/>
            <w:vAlign w:val="top"/>
          </w:tcPr>
          <w:p>
            <w:pPr>
              <w:adjustRightInd w:val="0"/>
              <w:snapToGrid w:val="0"/>
              <w:jc w:val="center"/>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401"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序号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射线装置</w:t>
            </w:r>
          </w:p>
          <w:p>
            <w:pPr>
              <w:adjustRightInd w:val="0"/>
              <w:snapToGrid w:val="0"/>
              <w:jc w:val="center"/>
              <w:rPr>
                <w:rFonts w:eastAsia="黑体"/>
                <w:szCs w:val="20"/>
              </w:rPr>
            </w:pPr>
            <w:r>
              <w:rPr>
                <w:rFonts w:eastAsia="黑体"/>
                <w:szCs w:val="20"/>
              </w:rPr>
              <w:t>名称</w:t>
            </w: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型  号</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生产厂家</w:t>
            </w:r>
          </w:p>
        </w:tc>
        <w:tc>
          <w:tcPr>
            <w:tcW w:w="231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设备编号</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所在场所</w:t>
            </w:r>
          </w:p>
        </w:tc>
        <w:tc>
          <w:tcPr>
            <w:tcW w:w="1918" w:type="dxa"/>
            <w:gridSpan w:val="2"/>
            <w:tcBorders>
              <w:top w:val="single" w:color="auto" w:sz="4" w:space="0"/>
              <w:left w:val="single" w:color="auto" w:sz="4" w:space="0"/>
              <w:bottom w:val="single" w:color="auto" w:sz="4" w:space="0"/>
              <w:right w:val="single" w:color="auto" w:sz="8" w:space="0"/>
            </w:tcBorders>
            <w:noWrap w:val="0"/>
            <w:vAlign w:val="center"/>
          </w:tcPr>
          <w:p>
            <w:pPr>
              <w:adjustRightInd w:val="0"/>
              <w:snapToGrid w:val="0"/>
              <w:jc w:val="center"/>
              <w:rPr>
                <w:rFonts w:eastAsia="黑体"/>
                <w:szCs w:val="20"/>
              </w:rPr>
            </w:pPr>
            <w:r>
              <w:rPr>
                <w:rFonts w:eastAsia="黑体"/>
                <w:szCs w:val="20"/>
              </w:rPr>
              <w:t>主要参数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401"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112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2315"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992"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918" w:type="dxa"/>
            <w:gridSpan w:val="2"/>
            <w:tcBorders>
              <w:top w:val="single" w:color="auto" w:sz="4" w:space="0"/>
              <w:left w:val="single" w:color="auto" w:sz="4" w:space="0"/>
              <w:bottom w:val="single" w:color="auto" w:sz="4" w:space="0"/>
              <w:right w:val="single" w:color="auto" w:sz="8" w:space="0"/>
            </w:tcBorders>
            <w:noWrap w:val="0"/>
            <w:vAlign w:val="top"/>
          </w:tcPr>
          <w:p>
            <w:pPr>
              <w:adjustRightInd w:val="0"/>
              <w:snapToGrid w:val="0"/>
              <w:jc w:val="center"/>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401"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0"/>
              </w:rPr>
            </w:pPr>
          </w:p>
        </w:tc>
        <w:tc>
          <w:tcPr>
            <w:tcW w:w="112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2315"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992"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eastAsia="黑体"/>
                <w:szCs w:val="20"/>
              </w:rPr>
            </w:pPr>
          </w:p>
        </w:tc>
        <w:tc>
          <w:tcPr>
            <w:tcW w:w="1918" w:type="dxa"/>
            <w:gridSpan w:val="2"/>
            <w:tcBorders>
              <w:top w:val="single" w:color="auto" w:sz="4" w:space="0"/>
              <w:left w:val="single" w:color="auto" w:sz="4" w:space="0"/>
              <w:bottom w:val="single" w:color="auto" w:sz="4" w:space="0"/>
              <w:right w:val="single" w:color="auto" w:sz="8" w:space="0"/>
            </w:tcBorders>
            <w:noWrap w:val="0"/>
            <w:vAlign w:val="top"/>
          </w:tcPr>
          <w:p>
            <w:pPr>
              <w:adjustRightInd w:val="0"/>
              <w:snapToGrid w:val="0"/>
              <w:jc w:val="center"/>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0" w:hRule="atLeast"/>
          <w:jc w:val="center"/>
        </w:trPr>
        <w:tc>
          <w:tcPr>
            <w:tcW w:w="1637"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事 故 级 别</w:t>
            </w:r>
          </w:p>
        </w:tc>
        <w:tc>
          <w:tcPr>
            <w:tcW w:w="7248" w:type="dxa"/>
            <w:gridSpan w:val="13"/>
            <w:tcBorders>
              <w:top w:val="single" w:color="auto" w:sz="4" w:space="0"/>
              <w:left w:val="single" w:color="auto" w:sz="4" w:space="0"/>
              <w:bottom w:val="single" w:color="auto" w:sz="4" w:space="0"/>
              <w:right w:val="single" w:color="auto" w:sz="8" w:space="0"/>
            </w:tcBorders>
            <w:noWrap w:val="0"/>
            <w:vAlign w:val="center"/>
          </w:tcPr>
          <w:p>
            <w:pPr>
              <w:adjustRightInd w:val="0"/>
              <w:snapToGrid w:val="0"/>
              <w:jc w:val="center"/>
              <w:rPr>
                <w:rFonts w:eastAsia="黑体"/>
                <w:szCs w:val="20"/>
              </w:rPr>
            </w:pPr>
            <w:r>
              <w:rPr>
                <w:rFonts w:eastAsia="黑体"/>
                <w:szCs w:val="20"/>
              </w:rPr>
              <w:t>□一般辐射事故 □较大辐射事故 □重大辐射事故  □特别重大辐射事故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21" w:hRule="atLeast"/>
          <w:jc w:val="center"/>
        </w:trPr>
        <w:tc>
          <w:tcPr>
            <w:tcW w:w="1637"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eastAsia="黑体"/>
                <w:szCs w:val="20"/>
              </w:rPr>
            </w:pPr>
            <w:r>
              <w:rPr>
                <w:rFonts w:eastAsia="黑体"/>
                <w:szCs w:val="20"/>
              </w:rPr>
              <w:t>事故经过</w:t>
            </w:r>
          </w:p>
          <w:p>
            <w:pPr>
              <w:adjustRightInd w:val="0"/>
              <w:snapToGrid w:val="0"/>
              <w:jc w:val="center"/>
              <w:rPr>
                <w:rFonts w:eastAsia="黑体"/>
                <w:szCs w:val="20"/>
              </w:rPr>
            </w:pPr>
            <w:r>
              <w:rPr>
                <w:rFonts w:eastAsia="黑体"/>
                <w:szCs w:val="20"/>
              </w:rPr>
              <w:t>和处理情况</w:t>
            </w:r>
          </w:p>
        </w:tc>
        <w:tc>
          <w:tcPr>
            <w:tcW w:w="7248" w:type="dxa"/>
            <w:gridSpan w:val="13"/>
            <w:tcBorders>
              <w:top w:val="single" w:color="auto" w:sz="4" w:space="0"/>
              <w:left w:val="single" w:color="auto" w:sz="4" w:space="0"/>
              <w:bottom w:val="single" w:color="auto" w:sz="4" w:space="0"/>
              <w:right w:val="single" w:color="auto" w:sz="8" w:space="0"/>
            </w:tcBorders>
            <w:noWrap w:val="0"/>
            <w:vAlign w:val="top"/>
          </w:tcPr>
          <w:p>
            <w:pPr>
              <w:adjustRightInd w:val="0"/>
              <w:snapToGrid w:val="0"/>
              <w:jc w:val="center"/>
              <w:rPr>
                <w:rFonts w:eastAsia="黑体"/>
                <w:szCs w:val="20"/>
              </w:rPr>
            </w:pPr>
          </w:p>
          <w:p>
            <w:pPr>
              <w:adjustRightInd w:val="0"/>
              <w:snapToGrid w:val="0"/>
              <w:jc w:val="center"/>
              <w:rPr>
                <w:rFonts w:eastAsia="黑体"/>
                <w:szCs w:val="20"/>
              </w:rPr>
            </w:pPr>
          </w:p>
          <w:p>
            <w:pPr>
              <w:adjustRightInd w:val="0"/>
              <w:snapToGrid w:val="0"/>
              <w:jc w:val="center"/>
              <w:rPr>
                <w:rFonts w:eastAsia="黑体"/>
                <w:szCs w:val="20"/>
              </w:rPr>
            </w:pPr>
          </w:p>
          <w:p>
            <w:pPr>
              <w:adjustRightInd w:val="0"/>
              <w:snapToGrid w:val="0"/>
              <w:jc w:val="center"/>
              <w:rPr>
                <w:rFonts w:eastAsia="黑体"/>
                <w:szCs w:val="20"/>
              </w:rPr>
            </w:pPr>
          </w:p>
          <w:p>
            <w:pPr>
              <w:adjustRightInd w:val="0"/>
              <w:snapToGrid w:val="0"/>
              <w:jc w:val="center"/>
              <w:rPr>
                <w:rFonts w:eastAsia="黑体"/>
                <w:szCs w:val="20"/>
              </w:rPr>
            </w:pPr>
          </w:p>
          <w:p>
            <w:pPr>
              <w:adjustRightInd w:val="0"/>
              <w:snapToGrid w:val="0"/>
              <w:jc w:val="center"/>
              <w:rPr>
                <w:rFonts w:eastAsia="黑体"/>
                <w:szCs w:val="20"/>
              </w:rPr>
            </w:pPr>
          </w:p>
          <w:p>
            <w:pPr>
              <w:adjustRightInd w:val="0"/>
              <w:snapToGrid w:val="0"/>
              <w:jc w:val="center"/>
              <w:rPr>
                <w:rFonts w:eastAsia="黑体"/>
                <w:szCs w:val="20"/>
              </w:rPr>
            </w:pPr>
          </w:p>
          <w:p>
            <w:pPr>
              <w:adjustRightInd w:val="0"/>
              <w:snapToGrid w:val="0"/>
              <w:jc w:val="center"/>
              <w:rPr>
                <w:rFonts w:eastAsia="黑体"/>
                <w:szCs w:val="20"/>
              </w:rPr>
            </w:pPr>
          </w:p>
          <w:p>
            <w:pPr>
              <w:adjustRightInd w:val="0"/>
              <w:snapToGrid w:val="0"/>
              <w:jc w:val="center"/>
              <w:rPr>
                <w:rFonts w:eastAsia="黑体"/>
                <w:szCs w:val="20"/>
              </w:rPr>
            </w:pPr>
          </w:p>
          <w:p>
            <w:pPr>
              <w:adjustRightInd w:val="0"/>
              <w:snapToGrid w:val="0"/>
              <w:rPr>
                <w:rFonts w:eastAsia="黑体"/>
                <w:szCs w:val="20"/>
              </w:rPr>
            </w:pPr>
          </w:p>
          <w:p>
            <w:pPr>
              <w:adjustRightInd w:val="0"/>
              <w:snapToGrid w:val="0"/>
              <w:rPr>
                <w:rFonts w:eastAsia="黑体"/>
                <w:szCs w:val="20"/>
              </w:rPr>
            </w:pPr>
          </w:p>
          <w:p>
            <w:pPr>
              <w:adjustRightInd w:val="0"/>
              <w:snapToGrid w:val="0"/>
              <w:jc w:val="center"/>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1637" w:type="dxa"/>
            <w:gridSpan w:val="2"/>
            <w:vMerge w:val="restart"/>
            <w:tcBorders>
              <w:top w:val="single" w:color="auto" w:sz="4" w:space="0"/>
              <w:left w:val="single" w:color="auto" w:sz="8" w:space="0"/>
              <w:bottom w:val="single" w:color="auto" w:sz="8" w:space="0"/>
              <w:right w:val="single" w:color="auto" w:sz="4" w:space="0"/>
            </w:tcBorders>
            <w:noWrap w:val="0"/>
            <w:vAlign w:val="center"/>
          </w:tcPr>
          <w:p>
            <w:pPr>
              <w:adjustRightInd w:val="0"/>
              <w:snapToGrid w:val="0"/>
              <w:jc w:val="center"/>
              <w:rPr>
                <w:rFonts w:eastAsia="黑体"/>
                <w:szCs w:val="20"/>
              </w:rPr>
            </w:pPr>
            <w:r>
              <w:rPr>
                <w:rFonts w:eastAsia="黑体"/>
                <w:szCs w:val="20"/>
              </w:rPr>
              <w:t>事故发生地</w:t>
            </w:r>
          </w:p>
          <w:p>
            <w:pPr>
              <w:adjustRightInd w:val="0"/>
              <w:snapToGrid w:val="0"/>
              <w:jc w:val="center"/>
              <w:rPr>
                <w:rFonts w:eastAsia="黑体"/>
                <w:szCs w:val="20"/>
              </w:rPr>
            </w:pPr>
            <w:r>
              <w:rPr>
                <w:rFonts w:eastAsia="黑体"/>
                <w:szCs w:val="20"/>
              </w:rPr>
              <w:t>生态环境部门</w:t>
            </w:r>
          </w:p>
        </w:tc>
        <w:tc>
          <w:tcPr>
            <w:tcW w:w="282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05" w:firstLineChars="50"/>
              <w:rPr>
                <w:rFonts w:eastAsia="黑体"/>
                <w:szCs w:val="20"/>
              </w:rPr>
            </w:pPr>
            <w:r>
              <w:rPr>
                <w:rFonts w:eastAsia="黑体"/>
                <w:szCs w:val="20"/>
              </w:rPr>
              <w:t xml:space="preserve">联系人：                         </w:t>
            </w:r>
          </w:p>
        </w:tc>
        <w:tc>
          <w:tcPr>
            <w:tcW w:w="4426" w:type="dxa"/>
            <w:gridSpan w:val="7"/>
            <w:vMerge w:val="restart"/>
            <w:tcBorders>
              <w:top w:val="single" w:color="auto" w:sz="4" w:space="0"/>
              <w:left w:val="single" w:color="auto" w:sz="4" w:space="0"/>
              <w:bottom w:val="single" w:color="auto" w:sz="8" w:space="0"/>
              <w:right w:val="single" w:color="auto" w:sz="8" w:space="0"/>
            </w:tcBorders>
            <w:noWrap w:val="0"/>
            <w:vAlign w:val="center"/>
          </w:tcPr>
          <w:p>
            <w:pPr>
              <w:adjustRightInd w:val="0"/>
              <w:snapToGrid w:val="0"/>
              <w:jc w:val="center"/>
              <w:rPr>
                <w:rFonts w:eastAsia="黑体"/>
                <w:szCs w:val="20"/>
              </w:rPr>
            </w:pPr>
            <w:r>
              <w:rPr>
                <w:rFonts w:eastAsia="黑体"/>
                <w:szCs w:val="20"/>
              </w:rPr>
              <w:t>(公章)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1637" w:type="dxa"/>
            <w:gridSpan w:val="2"/>
            <w:vMerge w:val="continue"/>
            <w:tcBorders>
              <w:top w:val="single" w:color="auto" w:sz="4" w:space="0"/>
              <w:left w:val="single" w:color="auto" w:sz="8" w:space="0"/>
              <w:bottom w:val="single" w:color="auto" w:sz="8" w:space="0"/>
              <w:right w:val="single" w:color="auto" w:sz="4" w:space="0"/>
            </w:tcBorders>
            <w:noWrap w:val="0"/>
            <w:vAlign w:val="center"/>
          </w:tcPr>
          <w:p>
            <w:pPr>
              <w:widowControl/>
              <w:jc w:val="left"/>
              <w:rPr>
                <w:rFonts w:eastAsia="黑体"/>
                <w:szCs w:val="20"/>
              </w:rPr>
            </w:pPr>
          </w:p>
        </w:tc>
        <w:tc>
          <w:tcPr>
            <w:tcW w:w="282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05" w:firstLineChars="50"/>
              <w:rPr>
                <w:rFonts w:eastAsia="黑体"/>
                <w:szCs w:val="20"/>
              </w:rPr>
            </w:pPr>
            <w:r>
              <w:rPr>
                <w:rFonts w:eastAsia="黑体"/>
                <w:szCs w:val="20"/>
              </w:rPr>
              <w:t>电  话：</w:t>
            </w:r>
          </w:p>
        </w:tc>
        <w:tc>
          <w:tcPr>
            <w:tcW w:w="4426" w:type="dxa"/>
            <w:gridSpan w:val="7"/>
            <w:vMerge w:val="continue"/>
            <w:tcBorders>
              <w:top w:val="single" w:color="auto" w:sz="4" w:space="0"/>
              <w:left w:val="single" w:color="auto" w:sz="4" w:space="0"/>
              <w:bottom w:val="single" w:color="auto" w:sz="8" w:space="0"/>
              <w:right w:val="single" w:color="auto" w:sz="8" w:space="0"/>
            </w:tcBorders>
            <w:noWrap w:val="0"/>
            <w:vAlign w:val="center"/>
          </w:tcPr>
          <w:p>
            <w:pPr>
              <w:widowControl/>
              <w:jc w:val="left"/>
              <w:rPr>
                <w:rFonts w:eastAsia="黑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1637" w:type="dxa"/>
            <w:gridSpan w:val="2"/>
            <w:vMerge w:val="continue"/>
            <w:tcBorders>
              <w:top w:val="single" w:color="auto" w:sz="4" w:space="0"/>
              <w:left w:val="single" w:color="auto" w:sz="8" w:space="0"/>
              <w:bottom w:val="single" w:color="auto" w:sz="8" w:space="0"/>
              <w:right w:val="single" w:color="auto" w:sz="4" w:space="0"/>
            </w:tcBorders>
            <w:noWrap w:val="0"/>
            <w:vAlign w:val="center"/>
          </w:tcPr>
          <w:p>
            <w:pPr>
              <w:widowControl/>
              <w:jc w:val="left"/>
              <w:rPr>
                <w:rFonts w:eastAsia="黑体"/>
                <w:szCs w:val="20"/>
              </w:rPr>
            </w:pPr>
          </w:p>
        </w:tc>
        <w:tc>
          <w:tcPr>
            <w:tcW w:w="2822" w:type="dxa"/>
            <w:gridSpan w:val="6"/>
            <w:tcBorders>
              <w:top w:val="single" w:color="auto" w:sz="4" w:space="0"/>
              <w:left w:val="single" w:color="auto" w:sz="4" w:space="0"/>
              <w:bottom w:val="single" w:color="auto" w:sz="8" w:space="0"/>
              <w:right w:val="single" w:color="auto" w:sz="4" w:space="0"/>
            </w:tcBorders>
            <w:noWrap w:val="0"/>
            <w:vAlign w:val="center"/>
          </w:tcPr>
          <w:p>
            <w:pPr>
              <w:adjustRightInd w:val="0"/>
              <w:snapToGrid w:val="0"/>
              <w:ind w:firstLine="105" w:firstLineChars="50"/>
              <w:rPr>
                <w:rFonts w:eastAsia="黑体"/>
                <w:szCs w:val="20"/>
              </w:rPr>
            </w:pPr>
            <w:r>
              <w:rPr>
                <w:rFonts w:eastAsia="黑体"/>
                <w:szCs w:val="20"/>
              </w:rPr>
              <w:t>传  真：</w:t>
            </w:r>
          </w:p>
        </w:tc>
        <w:tc>
          <w:tcPr>
            <w:tcW w:w="4426" w:type="dxa"/>
            <w:gridSpan w:val="7"/>
            <w:vMerge w:val="continue"/>
            <w:tcBorders>
              <w:top w:val="single" w:color="auto" w:sz="4" w:space="0"/>
              <w:left w:val="single" w:color="auto" w:sz="4" w:space="0"/>
              <w:bottom w:val="single" w:color="auto" w:sz="8" w:space="0"/>
              <w:right w:val="single" w:color="auto" w:sz="8" w:space="0"/>
            </w:tcBorders>
            <w:noWrap w:val="0"/>
            <w:vAlign w:val="center"/>
          </w:tcPr>
          <w:p>
            <w:pPr>
              <w:widowControl/>
              <w:jc w:val="left"/>
              <w:rPr>
                <w:rFonts w:eastAsia="黑体"/>
                <w:szCs w:val="20"/>
              </w:rPr>
            </w:pPr>
          </w:p>
        </w:tc>
      </w:tr>
    </w:tbl>
    <w:p>
      <w:pPr>
        <w:adjustRightInd w:val="0"/>
        <w:snapToGrid w:val="0"/>
        <w:spacing w:line="360" w:lineRule="auto"/>
        <w:ind w:firstLine="420" w:firstLineChars="200"/>
        <w:rPr>
          <w:rFonts w:eastAsia="黑体"/>
          <w:szCs w:val="20"/>
        </w:rPr>
      </w:pPr>
    </w:p>
    <w:p>
      <w:pPr>
        <w:adjustRightInd w:val="0"/>
        <w:snapToGrid w:val="0"/>
        <w:spacing w:line="360" w:lineRule="auto"/>
        <w:ind w:firstLine="420" w:firstLineChars="200"/>
        <w:rPr>
          <w:rFonts w:hint="eastAsia" w:ascii="楷体_GB2312" w:hAnsi="宋体" w:eastAsia="黑体" w:cs="宋体"/>
          <w:sz w:val="32"/>
          <w:szCs w:val="32"/>
        </w:rPr>
      </w:pPr>
      <w:r>
        <w:rPr>
          <w:rFonts w:eastAsia="黑体"/>
          <w:szCs w:val="20"/>
        </w:rPr>
        <w:t>注：射线装置的“主要参数”是指X射线机的电流(mA)和电压(kV)、加速器线束能量等主要性能参数</w:t>
      </w:r>
      <w:r>
        <w:rPr>
          <w:rFonts w:hint="eastAsia" w:eastAsia="黑体"/>
          <w:szCs w:val="20"/>
        </w:rPr>
        <w:t>。</w:t>
      </w:r>
    </w:p>
    <w:p>
      <w:pPr>
        <w:rPr>
          <w:rFonts w:ascii="文星标宋" w:hAnsi="文星标宋" w:eastAsia="文星标宋"/>
          <w:b/>
          <w:sz w:val="36"/>
          <w:szCs w:val="36"/>
        </w:rPr>
      </w:pPr>
    </w:p>
    <w:p>
      <w:pPr>
        <w:rPr>
          <w:rFonts w:ascii="文星标宋" w:hAnsi="文星标宋" w:eastAsia="文星标宋"/>
          <w:b/>
          <w:sz w:val="36"/>
          <w:szCs w:val="36"/>
        </w:rPr>
      </w:pPr>
    </w:p>
    <w:p>
      <w:pPr>
        <w:spacing w:line="600" w:lineRule="exact"/>
        <w:rPr>
          <w:rFonts w:hint="eastAsia" w:ascii="仿宋_GB2312" w:eastAsia="仿宋_GB2312"/>
          <w:bCs/>
          <w:color w:val="000000"/>
          <w:sz w:val="32"/>
          <w:szCs w:val="32"/>
          <w:lang w:eastAsia="zh-CN"/>
        </w:rPr>
      </w:pPr>
    </w:p>
    <w:p>
      <w:pPr>
        <w:spacing w:line="600" w:lineRule="exact"/>
        <w:rPr>
          <w:rFonts w:hint="eastAsia" w:ascii="仿宋_GB2312" w:eastAsia="仿宋_GB2312"/>
          <w:bCs/>
          <w:color w:val="000000"/>
          <w:sz w:val="32"/>
          <w:szCs w:val="32"/>
          <w:lang w:eastAsia="zh-CN"/>
        </w:rPr>
      </w:pPr>
    </w:p>
    <w:p>
      <w:pPr>
        <w:spacing w:line="600" w:lineRule="exact"/>
        <w:ind w:firstLine="640" w:firstLineChars="200"/>
        <w:rPr>
          <w:rFonts w:hint="eastAsia" w:ascii="仿宋_GB2312" w:eastAsia="仿宋_GB2312"/>
          <w:bCs/>
          <w:color w:val="000000"/>
          <w:sz w:val="32"/>
          <w:szCs w:val="32"/>
          <w:lang w:eastAsia="zh-CN"/>
        </w:rPr>
      </w:pPr>
      <w:r>
        <w:rPr>
          <w:rFonts w:hint="eastAsia" w:ascii="仿宋_GB2312" w:eastAsia="仿宋_GB2312"/>
          <w:bCs/>
          <w:color w:val="000000"/>
          <w:sz w:val="32"/>
          <w:szCs w:val="32"/>
          <w:lang w:eastAsia="zh-CN"/>
        </w:rPr>
        <w:t>（此页无正文）</w:t>
      </w:r>
    </w:p>
    <w:p>
      <w:pPr>
        <w:spacing w:line="600" w:lineRule="exact"/>
        <w:ind w:firstLine="640"/>
        <w:rPr>
          <w:rFonts w:ascii="仿宋_GB2312" w:eastAsia="仿宋_GB2312"/>
          <w:bCs/>
          <w:color w:val="000000"/>
          <w:sz w:val="32"/>
          <w:szCs w:val="32"/>
        </w:rPr>
      </w:pPr>
    </w:p>
    <w:p>
      <w:pPr>
        <w:spacing w:line="600" w:lineRule="exact"/>
        <w:ind w:firstLine="640"/>
        <w:rPr>
          <w:rFonts w:ascii="仿宋_GB2312" w:eastAsia="仿宋_GB2312"/>
          <w:bCs/>
          <w:color w:val="000000"/>
          <w:sz w:val="32"/>
          <w:szCs w:val="32"/>
        </w:rPr>
      </w:pPr>
    </w:p>
    <w:p>
      <w:pPr>
        <w:spacing w:line="600" w:lineRule="exact"/>
        <w:ind w:firstLine="640"/>
        <w:rPr>
          <w:rFonts w:ascii="仿宋_GB2312" w:eastAsia="仿宋_GB2312"/>
          <w:bCs/>
          <w:color w:val="000000"/>
          <w:sz w:val="32"/>
          <w:szCs w:val="32"/>
        </w:rPr>
      </w:pPr>
    </w:p>
    <w:p>
      <w:pPr>
        <w:spacing w:line="600" w:lineRule="exact"/>
        <w:ind w:firstLine="640"/>
        <w:rPr>
          <w:rFonts w:ascii="仿宋_GB2312" w:eastAsia="仿宋_GB2312"/>
          <w:bCs/>
          <w:color w:val="000000"/>
          <w:sz w:val="32"/>
          <w:szCs w:val="32"/>
        </w:rPr>
      </w:pPr>
    </w:p>
    <w:p>
      <w:pPr>
        <w:spacing w:line="600" w:lineRule="exact"/>
        <w:ind w:firstLine="640"/>
        <w:rPr>
          <w:rFonts w:ascii="仿宋_GB2312" w:eastAsia="仿宋_GB2312"/>
          <w:bCs/>
          <w:color w:val="000000"/>
          <w:sz w:val="32"/>
          <w:szCs w:val="32"/>
        </w:rPr>
      </w:pPr>
    </w:p>
    <w:p>
      <w:pPr>
        <w:spacing w:line="600" w:lineRule="exact"/>
        <w:ind w:firstLine="640"/>
        <w:rPr>
          <w:rFonts w:ascii="仿宋_GB2312" w:eastAsia="仿宋_GB2312"/>
          <w:bCs/>
          <w:color w:val="000000"/>
          <w:sz w:val="32"/>
          <w:szCs w:val="32"/>
        </w:rPr>
      </w:pPr>
    </w:p>
    <w:p>
      <w:pPr>
        <w:spacing w:line="600" w:lineRule="exact"/>
        <w:ind w:firstLine="640"/>
        <w:rPr>
          <w:rFonts w:ascii="仿宋_GB2312" w:eastAsia="仿宋_GB2312"/>
          <w:bCs/>
          <w:color w:val="000000"/>
          <w:sz w:val="32"/>
          <w:szCs w:val="32"/>
        </w:rPr>
      </w:pPr>
    </w:p>
    <w:p>
      <w:pPr>
        <w:spacing w:line="600" w:lineRule="exact"/>
        <w:ind w:firstLine="640"/>
        <w:rPr>
          <w:rFonts w:ascii="仿宋_GB2312" w:eastAsia="仿宋_GB2312"/>
          <w:bCs/>
          <w:color w:val="000000"/>
          <w:sz w:val="32"/>
          <w:szCs w:val="32"/>
        </w:rPr>
      </w:pPr>
    </w:p>
    <w:p>
      <w:pPr>
        <w:spacing w:line="600" w:lineRule="exact"/>
        <w:ind w:firstLine="640"/>
        <w:rPr>
          <w:rFonts w:ascii="仿宋_GB2312" w:eastAsia="仿宋_GB2312"/>
          <w:bCs/>
          <w:color w:val="000000"/>
          <w:sz w:val="32"/>
          <w:szCs w:val="32"/>
        </w:rPr>
      </w:pPr>
    </w:p>
    <w:p>
      <w:pPr>
        <w:spacing w:line="600" w:lineRule="exact"/>
        <w:ind w:firstLine="640"/>
        <w:rPr>
          <w:rFonts w:ascii="仿宋_GB2312" w:eastAsia="仿宋_GB2312"/>
          <w:bCs/>
          <w:color w:val="000000"/>
          <w:sz w:val="32"/>
          <w:szCs w:val="32"/>
        </w:rPr>
      </w:pPr>
    </w:p>
    <w:p>
      <w:pPr>
        <w:spacing w:line="600" w:lineRule="exact"/>
        <w:ind w:firstLine="640"/>
        <w:rPr>
          <w:rFonts w:ascii="仿宋_GB2312" w:eastAsia="仿宋_GB2312"/>
          <w:bCs/>
          <w:color w:val="000000"/>
          <w:sz w:val="32"/>
          <w:szCs w:val="32"/>
        </w:rPr>
      </w:pPr>
    </w:p>
    <w:p>
      <w:pPr>
        <w:spacing w:line="600" w:lineRule="exact"/>
        <w:ind w:firstLine="640"/>
        <w:rPr>
          <w:rFonts w:ascii="仿宋_GB2312" w:eastAsia="仿宋_GB2312"/>
          <w:bCs/>
          <w:color w:val="000000"/>
          <w:sz w:val="32"/>
          <w:szCs w:val="32"/>
        </w:rPr>
      </w:pPr>
    </w:p>
    <w:p>
      <w:pPr>
        <w:spacing w:line="600" w:lineRule="exact"/>
        <w:ind w:firstLine="640"/>
        <w:rPr>
          <w:rFonts w:ascii="仿宋_GB2312" w:eastAsia="仿宋_GB2312"/>
          <w:bCs/>
          <w:color w:val="000000"/>
          <w:sz w:val="32"/>
          <w:szCs w:val="32"/>
        </w:rPr>
      </w:pPr>
    </w:p>
    <w:p>
      <w:pPr>
        <w:spacing w:line="600" w:lineRule="exact"/>
        <w:ind w:firstLine="640"/>
        <w:rPr>
          <w:rFonts w:ascii="仿宋_GB2312" w:eastAsia="仿宋_GB2312"/>
          <w:bCs/>
          <w:color w:val="000000"/>
          <w:sz w:val="32"/>
          <w:szCs w:val="32"/>
        </w:rPr>
      </w:pPr>
    </w:p>
    <w:p>
      <w:pPr>
        <w:spacing w:line="600" w:lineRule="exact"/>
        <w:ind w:firstLine="640"/>
        <w:rPr>
          <w:rFonts w:ascii="仿宋_GB2312" w:eastAsia="仿宋_GB2312"/>
          <w:bCs/>
          <w:color w:val="000000"/>
          <w:sz w:val="32"/>
          <w:szCs w:val="32"/>
        </w:rPr>
      </w:pPr>
      <w:bookmarkStart w:id="177" w:name="_GoBack"/>
      <w:bookmarkEnd w:id="177"/>
    </w:p>
    <w:p>
      <w:pPr>
        <w:spacing w:line="600" w:lineRule="exact"/>
        <w:ind w:firstLine="640"/>
        <w:rPr>
          <w:rFonts w:ascii="仿宋_GB2312" w:eastAsia="仿宋_GB2312"/>
          <w:bCs/>
          <w:color w:val="000000"/>
          <w:sz w:val="32"/>
          <w:szCs w:val="32"/>
        </w:rPr>
      </w:pPr>
    </w:p>
    <w:p>
      <w:pPr>
        <w:spacing w:line="600" w:lineRule="exact"/>
        <w:ind w:firstLine="640"/>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仿宋_GB2312" w:eastAsia="仿宋_GB2312"/>
          <w:bCs/>
          <w:color w:val="000000"/>
          <w:sz w:val="32"/>
          <w:szCs w:val="32"/>
        </w:rPr>
      </w:pPr>
      <w:r>
        <w:rPr>
          <w:rFonts w:ascii="Calibri" w:eastAsia="宋体"/>
          <w:szCs w:val="24"/>
        </w:rPr>
        <w:pict>
          <v:line id="直接连接符 3" o:spid="_x0000_s2051" o:spt="20" style="position:absolute;left:0pt;flip:y;margin-top:1.2pt;height:1.4pt;width:460.55pt;mso-position-horizontal:center;z-index:251661312;mso-width-relative:page;mso-height-relative:page;" coordsize="21600,21600">
            <v:path arrowok="t"/>
            <v:fill focussize="0,0"/>
            <v:stroke weight="1.25pt"/>
            <v:imagedata o:title=""/>
            <o:lock v:ext="edit"/>
          </v:line>
        </w:pict>
      </w:r>
      <w:r>
        <w:rPr>
          <w:rFonts w:hint="eastAsia" w:ascii="仿宋_GB2312" w:eastAsia="仿宋_GB2312"/>
          <w:bCs/>
          <w:color w:val="000000"/>
          <w:sz w:val="32"/>
          <w:szCs w:val="32"/>
        </w:rPr>
        <w:t>抄送：区委办公室，区人大常委会办公室，区政协办公室，</w:t>
      </w:r>
    </w:p>
    <w:p>
      <w:pPr>
        <w:spacing w:line="600" w:lineRule="exact"/>
        <w:ind w:firstLine="960" w:firstLineChars="300"/>
        <w:rPr>
          <w:rFonts w:ascii="仿宋_GB2312" w:eastAsia="仿宋_GB2312"/>
          <w:bCs/>
          <w:color w:val="000000"/>
          <w:sz w:val="32"/>
          <w:szCs w:val="32"/>
        </w:rPr>
      </w:pPr>
      <w:r>
        <w:rPr>
          <w:rFonts w:hint="eastAsia" w:ascii="仿宋_GB2312" w:eastAsia="仿宋_GB2312"/>
          <w:bCs/>
          <w:color w:val="000000"/>
          <w:sz w:val="32"/>
          <w:szCs w:val="32"/>
        </w:rPr>
        <w:t>区法院，区检察院，区人武部。</w:t>
      </w:r>
    </w:p>
    <w:p>
      <w:pPr>
        <w:spacing w:line="600" w:lineRule="exact"/>
        <w:rPr>
          <w:rFonts w:ascii="文星标宋" w:hAnsi="文星标宋" w:eastAsia="文星标宋"/>
          <w:b/>
          <w:sz w:val="36"/>
          <w:szCs w:val="36"/>
        </w:rPr>
      </w:pPr>
      <w:r>
        <w:rPr>
          <w:rFonts w:ascii="Calibri" w:hAnsi="Calibri" w:eastAsia="宋体"/>
          <w:szCs w:val="24"/>
        </w:rPr>
        <w:pict>
          <v:line id="直接连接符 2" o:spid="_x0000_s2052" o:spt="20" style="position:absolute;left:0pt;flip:y;margin-top:33.65pt;height:0.3pt;width:459.7pt;mso-position-horizontal:center;z-index:251663360;mso-width-relative:page;mso-height-relative:page;" coordsize="21600,21600">
            <v:path arrowok="t"/>
            <v:fill focussize="0,0"/>
            <v:stroke weight="1.25pt"/>
            <v:imagedata o:title=""/>
            <o:lock v:ext="edit"/>
          </v:line>
        </w:pict>
      </w:r>
      <w:r>
        <w:rPr>
          <w:rFonts w:ascii="Calibri" w:hAnsi="Calibri" w:eastAsia="宋体"/>
          <w:szCs w:val="24"/>
        </w:rPr>
        <w:pict>
          <v:line id="直接连接符 1" o:spid="_x0000_s2053" o:spt="20" style="position:absolute;left:0pt;flip:y;margin-top:3.6pt;height:0pt;width:459.1pt;mso-position-horizontal:center;z-index:251662336;mso-width-relative:page;mso-height-relative:page;" coordsize="21600,21600">
            <v:path arrowok="t"/>
            <v:fill focussize="0,0"/>
            <v:stroke/>
            <v:imagedata o:title=""/>
            <o:lock v:ext="edit"/>
          </v:line>
        </w:pict>
      </w:r>
      <w:r>
        <w:rPr>
          <w:rFonts w:hint="eastAsia" w:ascii="仿宋_GB2312" w:eastAsia="仿宋_GB2312"/>
          <w:sz w:val="32"/>
          <w:szCs w:val="32"/>
        </w:rPr>
        <w:t>济南市章丘区人民政府办公室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日印发</w:t>
      </w:r>
      <w:r>
        <w:rPr>
          <w:sz w:val="32"/>
          <w:szCs w:val="32"/>
        </w:rPr>
        <w:t xml:space="preserve"> </w:t>
      </w:r>
      <w:r>
        <w:rPr>
          <w:sz w:val="32"/>
        </w:rPr>
        <w:pict>
          <v:shape id="_x0000_s2054" o:spid="_x0000_s2054" o:spt="202" type="#_x0000_t202" style="position:absolute;left:0pt;margin-left:-23.15pt;margin-top:628.8pt;height:41.25pt;width:75.75pt;z-index:251664384;mso-width-relative:page;mso-height-relative:page;" fillcolor="#FFFFFF" filled="t" stroked="t" coordsize="21600,21600">
            <v:path/>
            <v:fill on="t" focussize="0,0"/>
            <v:stroke color="#FFFFFF"/>
            <v:imagedata o:title=""/>
            <o:lock v:ext="edit" aspectratio="f"/>
            <v:textbox>
              <w:txbxContent>
                <w:p/>
              </w:txbxContent>
            </v:textbox>
          </v:shape>
        </w:pict>
      </w:r>
    </w:p>
    <w:sectPr>
      <w:footerReference r:id="rId4" w:type="default"/>
      <w:footerReference r:id="rId5" w:type="even"/>
      <w:pgSz w:w="11906" w:h="16838"/>
      <w:pgMar w:top="1417" w:right="1474" w:bottom="141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XBSJ-PK74820000004-Identity-H">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altName w:val="黑体"/>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中國龍新草體">
    <w:panose1 w:val="02010609000101010101"/>
    <w:charset w:val="00"/>
    <w:family w:val="auto"/>
    <w:pitch w:val="default"/>
    <w:sig w:usb0="00000000" w:usb1="00000000" w:usb2="00000000" w:usb3="00000000" w:csb0="00000000" w:csb1="00000000"/>
  </w:font>
  <w:font w:name="中國龍淡古體">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6" o:spid="_x0000_s3076" o:spt="202" type="#_x0000_t202" style="position:absolute;left:0pt;margin-left:417.9pt;margin-top:-4.2pt;height:18.15pt;width:144pt;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500" w:firstLineChars="2500"/>
    </w:pPr>
    <w:r>
      <w:rPr>
        <w:sz w:val="18"/>
      </w:rPr>
      <w:pict>
        <v:shape id="_x0000_s3077" o:spid="_x0000_s307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- 29 -</w:t>
                </w:r>
                <w:r>
                  <w:rPr>
                    <w:rFonts w:hint="eastAsia" w:ascii="仿宋_GB2312" w:hAnsi="仿宋_GB2312" w:eastAsia="仿宋_GB2312" w:cs="仿宋_GB2312"/>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Style w:val="12"/>
        <w:rFonts w:hint="eastAsia"/>
        <w:sz w:val="28"/>
        <w:szCs w:val="28"/>
      </w:rPr>
      <w:t>—</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38</w:t>
    </w:r>
    <w:r>
      <w:rPr>
        <w:rFonts w:ascii="Times New Roman" w:hAnsi="Times New Roman"/>
        <w:sz w:val="28"/>
        <w:szCs w:val="28"/>
      </w:rPr>
      <w:fldChar w:fldCharType="end"/>
    </w:r>
    <w:r>
      <w:rPr>
        <w:rStyle w:val="12"/>
        <w:rFonts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3OTIwNzY4ZTM5MTAxMTFjZmE4YmJhYzViNzExMDQifQ=="/>
  </w:docVars>
  <w:rsids>
    <w:rsidRoot w:val="008855D2"/>
    <w:rsid w:val="000003AF"/>
    <w:rsid w:val="000026D0"/>
    <w:rsid w:val="00012E85"/>
    <w:rsid w:val="0003231F"/>
    <w:rsid w:val="000511D7"/>
    <w:rsid w:val="000528EC"/>
    <w:rsid w:val="00054263"/>
    <w:rsid w:val="00067708"/>
    <w:rsid w:val="000802E3"/>
    <w:rsid w:val="00080465"/>
    <w:rsid w:val="00084B32"/>
    <w:rsid w:val="000905EF"/>
    <w:rsid w:val="00093ACF"/>
    <w:rsid w:val="00097C1E"/>
    <w:rsid w:val="000B1CBA"/>
    <w:rsid w:val="000B6547"/>
    <w:rsid w:val="000C0F2E"/>
    <w:rsid w:val="000D0C37"/>
    <w:rsid w:val="000D377C"/>
    <w:rsid w:val="000D567B"/>
    <w:rsid w:val="000E2DD5"/>
    <w:rsid w:val="000F2ED1"/>
    <w:rsid w:val="000F489D"/>
    <w:rsid w:val="001011B9"/>
    <w:rsid w:val="001050FF"/>
    <w:rsid w:val="00113489"/>
    <w:rsid w:val="0012109B"/>
    <w:rsid w:val="001433AB"/>
    <w:rsid w:val="0015669C"/>
    <w:rsid w:val="00167937"/>
    <w:rsid w:val="00173DD1"/>
    <w:rsid w:val="00174799"/>
    <w:rsid w:val="001949CD"/>
    <w:rsid w:val="001A055B"/>
    <w:rsid w:val="001A21FD"/>
    <w:rsid w:val="001B5CE9"/>
    <w:rsid w:val="001C6D54"/>
    <w:rsid w:val="001D723E"/>
    <w:rsid w:val="001E5E1F"/>
    <w:rsid w:val="001F3635"/>
    <w:rsid w:val="001F3725"/>
    <w:rsid w:val="001F4F36"/>
    <w:rsid w:val="002266D9"/>
    <w:rsid w:val="00236141"/>
    <w:rsid w:val="00243BC2"/>
    <w:rsid w:val="002553D3"/>
    <w:rsid w:val="00257B76"/>
    <w:rsid w:val="00260821"/>
    <w:rsid w:val="00263E01"/>
    <w:rsid w:val="0026619C"/>
    <w:rsid w:val="00276163"/>
    <w:rsid w:val="0027627E"/>
    <w:rsid w:val="0028559B"/>
    <w:rsid w:val="002A4710"/>
    <w:rsid w:val="002B7BD9"/>
    <w:rsid w:val="002C77C3"/>
    <w:rsid w:val="002D310A"/>
    <w:rsid w:val="002E4C49"/>
    <w:rsid w:val="002F23B1"/>
    <w:rsid w:val="002F35F0"/>
    <w:rsid w:val="003019ED"/>
    <w:rsid w:val="00303E2A"/>
    <w:rsid w:val="0031112E"/>
    <w:rsid w:val="0032066B"/>
    <w:rsid w:val="00321EE7"/>
    <w:rsid w:val="0032246E"/>
    <w:rsid w:val="00324ED7"/>
    <w:rsid w:val="00332CDF"/>
    <w:rsid w:val="00333B93"/>
    <w:rsid w:val="003356FC"/>
    <w:rsid w:val="00345D57"/>
    <w:rsid w:val="00372C23"/>
    <w:rsid w:val="00382CDF"/>
    <w:rsid w:val="003835A1"/>
    <w:rsid w:val="0039242A"/>
    <w:rsid w:val="00392E6D"/>
    <w:rsid w:val="003A0675"/>
    <w:rsid w:val="003A6127"/>
    <w:rsid w:val="003C3F48"/>
    <w:rsid w:val="003C57B0"/>
    <w:rsid w:val="003D7D0E"/>
    <w:rsid w:val="003E3BCD"/>
    <w:rsid w:val="00406DD4"/>
    <w:rsid w:val="00415A55"/>
    <w:rsid w:val="004203A9"/>
    <w:rsid w:val="00440504"/>
    <w:rsid w:val="004467A7"/>
    <w:rsid w:val="00447BB6"/>
    <w:rsid w:val="00471B37"/>
    <w:rsid w:val="004815EA"/>
    <w:rsid w:val="004A1E78"/>
    <w:rsid w:val="004A38C9"/>
    <w:rsid w:val="004A5240"/>
    <w:rsid w:val="004D363E"/>
    <w:rsid w:val="004E3155"/>
    <w:rsid w:val="004F391A"/>
    <w:rsid w:val="004F5060"/>
    <w:rsid w:val="004F5477"/>
    <w:rsid w:val="005126C6"/>
    <w:rsid w:val="0052047C"/>
    <w:rsid w:val="00524D6A"/>
    <w:rsid w:val="00535D61"/>
    <w:rsid w:val="0055452D"/>
    <w:rsid w:val="00560279"/>
    <w:rsid w:val="00562541"/>
    <w:rsid w:val="00562F95"/>
    <w:rsid w:val="00566E40"/>
    <w:rsid w:val="00586A63"/>
    <w:rsid w:val="005A0EB0"/>
    <w:rsid w:val="005A1C39"/>
    <w:rsid w:val="005B1582"/>
    <w:rsid w:val="005B67B3"/>
    <w:rsid w:val="005D684B"/>
    <w:rsid w:val="006012BC"/>
    <w:rsid w:val="00610638"/>
    <w:rsid w:val="00624E92"/>
    <w:rsid w:val="006424A3"/>
    <w:rsid w:val="006452FA"/>
    <w:rsid w:val="006479CE"/>
    <w:rsid w:val="00653BC2"/>
    <w:rsid w:val="006549D0"/>
    <w:rsid w:val="0067726E"/>
    <w:rsid w:val="006813A8"/>
    <w:rsid w:val="00684F31"/>
    <w:rsid w:val="00685102"/>
    <w:rsid w:val="00685B11"/>
    <w:rsid w:val="00694372"/>
    <w:rsid w:val="00695CA4"/>
    <w:rsid w:val="006A6AF1"/>
    <w:rsid w:val="006E3B00"/>
    <w:rsid w:val="006F42AF"/>
    <w:rsid w:val="006F49A7"/>
    <w:rsid w:val="00721931"/>
    <w:rsid w:val="00735772"/>
    <w:rsid w:val="0074259C"/>
    <w:rsid w:val="00756520"/>
    <w:rsid w:val="007738F9"/>
    <w:rsid w:val="007A5E7A"/>
    <w:rsid w:val="007A6505"/>
    <w:rsid w:val="007A7395"/>
    <w:rsid w:val="007C4D79"/>
    <w:rsid w:val="007C6360"/>
    <w:rsid w:val="007E78B2"/>
    <w:rsid w:val="007E7AE9"/>
    <w:rsid w:val="007F687F"/>
    <w:rsid w:val="00800408"/>
    <w:rsid w:val="00821ECE"/>
    <w:rsid w:val="008255F6"/>
    <w:rsid w:val="00831068"/>
    <w:rsid w:val="008314D3"/>
    <w:rsid w:val="00851C36"/>
    <w:rsid w:val="00853DFD"/>
    <w:rsid w:val="00857572"/>
    <w:rsid w:val="00857D61"/>
    <w:rsid w:val="0086177B"/>
    <w:rsid w:val="0086191B"/>
    <w:rsid w:val="00862D14"/>
    <w:rsid w:val="00872C34"/>
    <w:rsid w:val="00876A99"/>
    <w:rsid w:val="008810B5"/>
    <w:rsid w:val="008855D2"/>
    <w:rsid w:val="0089463B"/>
    <w:rsid w:val="00895DAF"/>
    <w:rsid w:val="008B43FE"/>
    <w:rsid w:val="008D4587"/>
    <w:rsid w:val="008E1EEA"/>
    <w:rsid w:val="009009F8"/>
    <w:rsid w:val="00901D44"/>
    <w:rsid w:val="00904495"/>
    <w:rsid w:val="009207BB"/>
    <w:rsid w:val="009249C7"/>
    <w:rsid w:val="009250F8"/>
    <w:rsid w:val="0092675E"/>
    <w:rsid w:val="0093210A"/>
    <w:rsid w:val="00940142"/>
    <w:rsid w:val="00950F02"/>
    <w:rsid w:val="0095482D"/>
    <w:rsid w:val="00954FA1"/>
    <w:rsid w:val="00957ECD"/>
    <w:rsid w:val="009845CF"/>
    <w:rsid w:val="00996538"/>
    <w:rsid w:val="00997CA5"/>
    <w:rsid w:val="009A181E"/>
    <w:rsid w:val="009D122B"/>
    <w:rsid w:val="009D25BA"/>
    <w:rsid w:val="009D53CB"/>
    <w:rsid w:val="009F18DB"/>
    <w:rsid w:val="009F337B"/>
    <w:rsid w:val="00A17865"/>
    <w:rsid w:val="00A460DA"/>
    <w:rsid w:val="00A647B2"/>
    <w:rsid w:val="00A65B2A"/>
    <w:rsid w:val="00A75A0A"/>
    <w:rsid w:val="00A81855"/>
    <w:rsid w:val="00A8226B"/>
    <w:rsid w:val="00A853EB"/>
    <w:rsid w:val="00A87368"/>
    <w:rsid w:val="00A903BC"/>
    <w:rsid w:val="00AA2F70"/>
    <w:rsid w:val="00AB0256"/>
    <w:rsid w:val="00AB0FDA"/>
    <w:rsid w:val="00AC4D60"/>
    <w:rsid w:val="00AC5A9F"/>
    <w:rsid w:val="00AD3432"/>
    <w:rsid w:val="00AE370F"/>
    <w:rsid w:val="00B01146"/>
    <w:rsid w:val="00B07E48"/>
    <w:rsid w:val="00B11E9F"/>
    <w:rsid w:val="00B227A3"/>
    <w:rsid w:val="00B26506"/>
    <w:rsid w:val="00B37C0D"/>
    <w:rsid w:val="00B422A2"/>
    <w:rsid w:val="00B43CBA"/>
    <w:rsid w:val="00B45FC0"/>
    <w:rsid w:val="00B52217"/>
    <w:rsid w:val="00B5690C"/>
    <w:rsid w:val="00B64A3D"/>
    <w:rsid w:val="00B73B60"/>
    <w:rsid w:val="00B75FEC"/>
    <w:rsid w:val="00B820C5"/>
    <w:rsid w:val="00B84C23"/>
    <w:rsid w:val="00B929F7"/>
    <w:rsid w:val="00B92CED"/>
    <w:rsid w:val="00B9522B"/>
    <w:rsid w:val="00BB1900"/>
    <w:rsid w:val="00BC7B18"/>
    <w:rsid w:val="00BE7D99"/>
    <w:rsid w:val="00BF52C6"/>
    <w:rsid w:val="00C258A9"/>
    <w:rsid w:val="00C2769D"/>
    <w:rsid w:val="00C30E77"/>
    <w:rsid w:val="00C4491E"/>
    <w:rsid w:val="00C520F4"/>
    <w:rsid w:val="00C658E0"/>
    <w:rsid w:val="00C66C12"/>
    <w:rsid w:val="00C713BB"/>
    <w:rsid w:val="00C8353C"/>
    <w:rsid w:val="00C933A5"/>
    <w:rsid w:val="00CB4044"/>
    <w:rsid w:val="00CC01D3"/>
    <w:rsid w:val="00CC47F2"/>
    <w:rsid w:val="00CD0E81"/>
    <w:rsid w:val="00D01FD2"/>
    <w:rsid w:val="00D028B9"/>
    <w:rsid w:val="00D14592"/>
    <w:rsid w:val="00D154A2"/>
    <w:rsid w:val="00D15BD4"/>
    <w:rsid w:val="00D261F5"/>
    <w:rsid w:val="00D31118"/>
    <w:rsid w:val="00D40B7E"/>
    <w:rsid w:val="00D418D3"/>
    <w:rsid w:val="00D83764"/>
    <w:rsid w:val="00D84F2A"/>
    <w:rsid w:val="00D860E3"/>
    <w:rsid w:val="00D906DB"/>
    <w:rsid w:val="00DA665A"/>
    <w:rsid w:val="00DA7B70"/>
    <w:rsid w:val="00DB20B6"/>
    <w:rsid w:val="00DB7E23"/>
    <w:rsid w:val="00DC188C"/>
    <w:rsid w:val="00DD1530"/>
    <w:rsid w:val="00DD289E"/>
    <w:rsid w:val="00DF6E33"/>
    <w:rsid w:val="00DF7A9A"/>
    <w:rsid w:val="00E04A84"/>
    <w:rsid w:val="00E0691F"/>
    <w:rsid w:val="00E11CCA"/>
    <w:rsid w:val="00E15229"/>
    <w:rsid w:val="00E15367"/>
    <w:rsid w:val="00E16B73"/>
    <w:rsid w:val="00E35E1B"/>
    <w:rsid w:val="00E515F2"/>
    <w:rsid w:val="00E60038"/>
    <w:rsid w:val="00E6363C"/>
    <w:rsid w:val="00E754B3"/>
    <w:rsid w:val="00E779FA"/>
    <w:rsid w:val="00E82082"/>
    <w:rsid w:val="00E82799"/>
    <w:rsid w:val="00E9467C"/>
    <w:rsid w:val="00EA3BFC"/>
    <w:rsid w:val="00EA6910"/>
    <w:rsid w:val="00EB0FB4"/>
    <w:rsid w:val="00EB132C"/>
    <w:rsid w:val="00EB64F9"/>
    <w:rsid w:val="00EB75D2"/>
    <w:rsid w:val="00EC06A4"/>
    <w:rsid w:val="00EC49A6"/>
    <w:rsid w:val="00ED7F60"/>
    <w:rsid w:val="00EF4120"/>
    <w:rsid w:val="00F019D6"/>
    <w:rsid w:val="00F400DD"/>
    <w:rsid w:val="00F40794"/>
    <w:rsid w:val="00F4085D"/>
    <w:rsid w:val="00F52729"/>
    <w:rsid w:val="00F70562"/>
    <w:rsid w:val="00F70A49"/>
    <w:rsid w:val="00F97684"/>
    <w:rsid w:val="00FB4C25"/>
    <w:rsid w:val="00FC1E42"/>
    <w:rsid w:val="00FC3C20"/>
    <w:rsid w:val="00FC4C5C"/>
    <w:rsid w:val="00FC6480"/>
    <w:rsid w:val="00FE5BD5"/>
    <w:rsid w:val="00FF0654"/>
    <w:rsid w:val="15AA6328"/>
    <w:rsid w:val="25276F14"/>
    <w:rsid w:val="51CC3E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ody Text"/>
    <w:basedOn w:val="1"/>
    <w:qFormat/>
    <w:uiPriority w:val="99"/>
    <w:rPr>
      <w:rFonts w:eastAsia="仿宋_GB2312"/>
      <w:sz w:val="32"/>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kern w:val="0"/>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9"/>
    <w:semiHidden/>
    <w:unhideWhenUsed/>
    <w:uiPriority w:val="99"/>
    <w:rPr>
      <w:b/>
      <w:bCs/>
    </w:rPr>
  </w:style>
  <w:style w:type="character" w:styleId="11">
    <w:name w:val="Strong"/>
    <w:qFormat/>
    <w:uiPriority w:val="0"/>
    <w:rPr>
      <w:rFonts w:ascii="Times New Roman" w:hAnsi="Times New Roman" w:eastAsia="宋体" w:cs="Times New Roman"/>
      <w:b/>
    </w:rPr>
  </w:style>
  <w:style w:type="character" w:styleId="12">
    <w:name w:val="page number"/>
    <w:basedOn w:val="10"/>
    <w:uiPriority w:val="0"/>
  </w:style>
  <w:style w:type="character" w:styleId="13">
    <w:name w:val="annotation reference"/>
    <w:semiHidden/>
    <w:unhideWhenUsed/>
    <w:uiPriority w:val="99"/>
    <w:rPr>
      <w:sz w:val="21"/>
      <w:szCs w:val="21"/>
    </w:rPr>
  </w:style>
  <w:style w:type="character" w:customStyle="1" w:styleId="14">
    <w:name w:val="页脚 Char"/>
    <w:basedOn w:val="10"/>
    <w:link w:val="5"/>
    <w:uiPriority w:val="99"/>
    <w:rPr>
      <w:rFonts w:ascii="Calibri" w:hAnsi="Calibri" w:eastAsia="宋体" w:cs="Times New Roman"/>
      <w:kern w:val="0"/>
      <w:sz w:val="18"/>
      <w:szCs w:val="18"/>
    </w:rPr>
  </w:style>
  <w:style w:type="character" w:customStyle="1" w:styleId="15">
    <w:name w:val="批注文字 Char"/>
    <w:basedOn w:val="10"/>
    <w:link w:val="2"/>
    <w:semiHidden/>
    <w:uiPriority w:val="99"/>
    <w:rPr>
      <w:rFonts w:ascii="Calibri" w:hAnsi="Calibri" w:eastAsia="宋体" w:cs="Times New Roman"/>
    </w:rPr>
  </w:style>
  <w:style w:type="character" w:customStyle="1" w:styleId="16">
    <w:name w:val="批注框文本 Char"/>
    <w:basedOn w:val="10"/>
    <w:link w:val="4"/>
    <w:semiHidden/>
    <w:qFormat/>
    <w:uiPriority w:val="99"/>
    <w:rPr>
      <w:rFonts w:ascii="Calibri" w:hAnsi="Calibri" w:eastAsia="宋体" w:cs="Times New Roman"/>
      <w:sz w:val="18"/>
      <w:szCs w:val="18"/>
    </w:rPr>
  </w:style>
  <w:style w:type="character" w:customStyle="1" w:styleId="17">
    <w:name w:val="页眉 Char"/>
    <w:basedOn w:val="10"/>
    <w:link w:val="6"/>
    <w:uiPriority w:val="99"/>
    <w:rPr>
      <w:rFonts w:ascii="Calibri" w:hAnsi="Calibri"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主题 Char"/>
    <w:basedOn w:val="15"/>
    <w:link w:val="8"/>
    <w:semiHidden/>
    <w:uiPriority w:val="99"/>
    <w:rPr>
      <w:rFonts w:ascii="Calibri" w:hAnsi="Calibri" w:eastAsia="宋体" w:cs="Times New Roman"/>
      <w:b/>
      <w:bCs/>
    </w:rPr>
  </w:style>
  <w:style w:type="character" w:customStyle="1" w:styleId="20">
    <w:name w:val="fontstyle01"/>
    <w:qFormat/>
    <w:uiPriority w:val="99"/>
    <w:rPr>
      <w:rFonts w:ascii="XBSJ-PK74820000004-Identity-H" w:hAnsi="XBSJ-PK74820000004-Identity-H"/>
      <w:color w:val="000000"/>
      <w:sz w:val="4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6" textRotate="1"/>
    <customShpInfo spid="_x0000_s3077" textRotate="1"/>
    <customShpInfo spid="_x0000_s2050"/>
    <customShpInfo spid="_x0000_s2051"/>
    <customShpInfo spid="_x0000_s2052"/>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D7477-00C9-4A7A-AC54-D19A1354BAE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185</Words>
  <Characters>202</Characters>
  <Lines>1</Lines>
  <Paragraphs>1</Paragraphs>
  <TotalTime>8</TotalTime>
  <ScaleCrop>false</ScaleCrop>
  <LinksUpToDate>false</LinksUpToDate>
  <CharactersWithSpaces>203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2022-11-25T14:43:00Z</dcterms:created>
  <dc:creator>999</dc:creator>
  <cp:lastModifiedBy>Administrator</cp:lastModifiedBy>
  <cp:lastPrinted>2022-11-25T14:44:00Z</cp:lastPrinted>
  <dcterms:modified xsi:type="dcterms:W3CDTF">2022-12-02T09:03:57Z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9477DF4890974B08BDA6DC83BA02EF3A</vt:lpwstr>
  </property>
</Properties>
</file>