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00" w:lineRule="exact"/>
        <w:ind w:firstLine="1897"/>
        <w:jc w:val="center"/>
        <w:rPr>
          <w:rFonts w:ascii="华文中宋" w:hAnsi="华文中宋" w:eastAsia="华文中宋"/>
          <w:b/>
          <w:color w:val="000000"/>
          <w:spacing w:val="100"/>
          <w:w w:val="65"/>
          <w:sz w:val="115"/>
        </w:rPr>
      </w:pPr>
    </w:p>
    <w:p>
      <w:pPr>
        <w:spacing w:line="200" w:lineRule="exact"/>
        <w:ind w:firstLine="1897"/>
        <w:jc w:val="center"/>
        <w:rPr>
          <w:rFonts w:ascii="华文中宋" w:hAnsi="华文中宋" w:eastAsia="华文中宋"/>
          <w:b/>
          <w:color w:val="FF0000"/>
          <w:spacing w:val="100"/>
          <w:w w:val="65"/>
          <w:sz w:val="115"/>
        </w:rPr>
      </w:pPr>
    </w:p>
    <w:p>
      <w:pPr>
        <w:keepNext w:val="0"/>
        <w:keepLines w:val="0"/>
        <w:pageBreakBefore w:val="0"/>
        <w:widowControl w:val="0"/>
        <w:kinsoku/>
        <w:wordWrap/>
        <w:overflowPunct/>
        <w:topLinePunct w:val="0"/>
        <w:autoSpaceDE/>
        <w:autoSpaceDN/>
        <w:bidi w:val="0"/>
        <w:adjustRightInd/>
        <w:snapToGrid/>
        <w:spacing w:line="500" w:lineRule="exact"/>
        <w:ind w:left="0" w:leftChars="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val="en-US" w:eastAsia="zh-CN"/>
        </w:rPr>
        <w:t>专家解读：</w:t>
      </w:r>
      <w:r>
        <w:rPr>
          <w:rFonts w:hint="eastAsia" w:ascii="方正小标宋简体" w:hAnsi="方正小标宋简体" w:eastAsia="方正小标宋简体" w:cs="方正小标宋简体"/>
          <w:b w:val="0"/>
          <w:bCs w:val="0"/>
          <w:sz w:val="44"/>
          <w:szCs w:val="44"/>
          <w:lang w:eastAsia="zh-CN"/>
        </w:rPr>
        <w:t>《</w:t>
      </w:r>
      <w:r>
        <w:rPr>
          <w:rFonts w:hint="eastAsia" w:ascii="方正小标宋简体" w:hAnsi="方正小标宋简体" w:eastAsia="方正小标宋简体" w:cs="方正小标宋简体"/>
          <w:b w:val="0"/>
          <w:bCs w:val="0"/>
          <w:sz w:val="44"/>
          <w:szCs w:val="44"/>
        </w:rPr>
        <w:t>关于建立</w:t>
      </w:r>
      <w:r>
        <w:rPr>
          <w:rFonts w:hint="eastAsia" w:ascii="方正小标宋简体" w:hAnsi="方正小标宋简体" w:eastAsia="方正小标宋简体" w:cs="方正小标宋简体"/>
          <w:b w:val="0"/>
          <w:bCs w:val="0"/>
          <w:sz w:val="44"/>
          <w:szCs w:val="44"/>
          <w:lang w:eastAsia="zh-CN"/>
        </w:rPr>
        <w:t>社会散居孤儿、事实无人抚养儿童、重点困境儿童</w:t>
      </w:r>
      <w:r>
        <w:rPr>
          <w:rFonts w:hint="eastAsia" w:ascii="方正小标宋简体" w:hAnsi="方正小标宋简体" w:eastAsia="方正小标宋简体" w:cs="方正小标宋简体"/>
          <w:b w:val="0"/>
          <w:bCs w:val="0"/>
          <w:sz w:val="44"/>
          <w:szCs w:val="44"/>
          <w:lang w:val="en-US" w:eastAsia="zh-CN"/>
        </w:rPr>
        <w:t>和受艾滋病影响儿童</w:t>
      </w:r>
      <w:r>
        <w:rPr>
          <w:rFonts w:hint="eastAsia" w:ascii="方正小标宋简体" w:hAnsi="方正小标宋简体" w:eastAsia="方正小标宋简体" w:cs="方正小标宋简体"/>
          <w:b w:val="0"/>
          <w:bCs w:val="0"/>
          <w:sz w:val="44"/>
          <w:szCs w:val="44"/>
        </w:rPr>
        <w:t>数据信息共享机制的</w:t>
      </w:r>
      <w:r>
        <w:rPr>
          <w:rFonts w:hint="eastAsia" w:ascii="方正小标宋简体" w:hAnsi="方正小标宋简体" w:eastAsia="方正小标宋简体" w:cs="方正小标宋简体"/>
          <w:b w:val="0"/>
          <w:bCs w:val="0"/>
          <w:sz w:val="44"/>
          <w:szCs w:val="44"/>
          <w:lang w:eastAsia="zh-CN"/>
        </w:rPr>
        <w:t>工作方案》</w:t>
      </w:r>
    </w:p>
    <w:p>
      <w:pPr>
        <w:keepNext w:val="0"/>
        <w:keepLines w:val="0"/>
        <w:pageBreakBefore w:val="0"/>
        <w:widowControl w:val="0"/>
        <w:kinsoku/>
        <w:wordWrap/>
        <w:overflowPunct/>
        <w:topLinePunct w:val="0"/>
        <w:bidi w:val="0"/>
        <w:adjustRightInd/>
        <w:snapToGrid/>
        <w:spacing w:line="500" w:lineRule="exact"/>
        <w:ind w:left="0" w:leftChars="0"/>
        <w:textAlignment w:val="auto"/>
        <w:rPr>
          <w:rFonts w:hint="eastAsia" w:ascii="宋体" w:hAnsi="宋体" w:eastAsia="宋体" w:cs="宋体"/>
          <w:sz w:val="30"/>
          <w:szCs w:val="30"/>
          <w:lang w:eastAsia="zh-CN"/>
        </w:rPr>
      </w:pPr>
    </w:p>
    <w:p>
      <w:pPr>
        <w:keepNext w:val="0"/>
        <w:keepLines w:val="0"/>
        <w:pageBreakBefore w:val="0"/>
        <w:widowControl w:val="0"/>
        <w:kinsoku/>
        <w:wordWrap/>
        <w:overflowPunct/>
        <w:topLinePunct w:val="0"/>
        <w:autoSpaceDE w:val="0"/>
        <w:autoSpaceDN w:val="0"/>
        <w:bidi w:val="0"/>
        <w:adjustRightInd/>
        <w:snapToGrid/>
        <w:spacing w:line="500" w:lineRule="exact"/>
        <w:ind w:left="0" w:leftChars="0" w:firstLine="640" w:firstLineChars="200"/>
        <w:jc w:val="left"/>
        <w:textAlignment w:val="auto"/>
        <w:rPr>
          <w:rFonts w:hint="eastAsia"/>
          <w:lang w:val="en-US" w:eastAsia="zh-CN"/>
        </w:rPr>
      </w:pPr>
      <w:r>
        <w:rPr>
          <w:rFonts w:hint="eastAsia" w:cs="仿宋_GB2312"/>
          <w:sz w:val="32"/>
          <w:szCs w:val="32"/>
          <w:lang w:val="en-US" w:eastAsia="zh-CN"/>
        </w:rPr>
        <w:t>济南市章丘区民政局养老和儿童福利科科长王慧对建立社会散居孤儿、事实无人抚养儿童、重点困境儿童和受艾滋病影响儿童数据信息共享机制接受了记者的专访，对相关政策进行了解读。</w:t>
      </w:r>
    </w:p>
    <w:p>
      <w:pPr>
        <w:pStyle w:val="2"/>
        <w:rPr>
          <w:rFonts w:hint="eastAsia" w:ascii="黑体" w:hAnsi="黑体" w:eastAsia="黑体" w:cs="黑体"/>
          <w:lang w:val="en-US"/>
        </w:rPr>
      </w:pPr>
      <w:r>
        <w:rPr>
          <w:rFonts w:hint="eastAsia" w:ascii="黑体" w:hAnsi="黑体" w:eastAsia="黑体" w:cs="黑体"/>
          <w:sz w:val="32"/>
          <w:szCs w:val="32"/>
          <w:lang w:val="en-US" w:eastAsia="zh-CN"/>
        </w:rPr>
        <w:t>记者：本期政策解读，我们邀请到了济南市章丘区民政局养老和儿童福利科王慧科长，王慧科长长期从事养老服务和儿童福利保障工作，熟悉掌握上级出台的各类政策文件，对全区孤困儿童有关情况非常熟悉，每年参加省市民政系统政策培训，能够立足章丘实际开展各项工作，曾推出“与爱童行”社会组织联系帮扶孤困儿童等一系列特色工作，对章丘相关领域发展作出了重要贡献。王科长，请问出台社会散居孤儿、事实</w:t>
      </w:r>
      <w:bookmarkStart w:id="0" w:name="_GoBack"/>
      <w:bookmarkEnd w:id="0"/>
      <w:r>
        <w:rPr>
          <w:rFonts w:hint="eastAsia" w:ascii="黑体" w:hAnsi="黑体" w:eastAsia="黑体" w:cs="黑体"/>
          <w:sz w:val="32"/>
          <w:szCs w:val="32"/>
          <w:lang w:val="en-US" w:eastAsia="zh-CN"/>
        </w:rPr>
        <w:t>无人抚养儿童、重点困境儿童和受艾滋病影响儿童数据信息共享机制的背景和依据是什么？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cs="仿宋_GB2312"/>
          <w:sz w:val="32"/>
          <w:szCs w:val="32"/>
          <w:lang w:val="en-US" w:eastAsia="zh-CN"/>
        </w:rPr>
        <w:t>王慧：</w:t>
      </w:r>
      <w:r>
        <w:rPr>
          <w:rFonts w:hint="eastAsia" w:ascii="仿宋_GB2312" w:hAnsi="仿宋_GB2312" w:eastAsia="仿宋_GB2312" w:cs="仿宋_GB2312"/>
          <w:sz w:val="32"/>
          <w:szCs w:val="32"/>
          <w:lang w:val="en-US" w:eastAsia="zh-CN"/>
        </w:rPr>
        <w:t>根据《济南市人民政府关于贯彻鲁政发〔2017〕5号文件加强困境儿童保障工作的通知》（济政发〔2017〕11号）、《关于进一步加强事实无人抚养儿童保障工作的实施意见》（济民发〔2020〕6号）、《关于进一步做好事实无人抚养儿童保障有关工作的通知》（济民发〔2021〕29号）以及《山东省民政厅山东省卫生健康委员会关于进一步做好受艾滋病影响儿童基本生活保障工作的通知》（鲁民函〔2020〕117号）等文件规定，结合我区工作实际,</w:t>
      </w:r>
      <w:r>
        <w:rPr>
          <w:rFonts w:hint="eastAsia" w:cs="仿宋_GB2312"/>
          <w:sz w:val="32"/>
          <w:szCs w:val="32"/>
          <w:lang w:val="en-US" w:eastAsia="zh-CN"/>
        </w:rPr>
        <w:t>我们</w:t>
      </w:r>
      <w:r>
        <w:rPr>
          <w:rFonts w:hint="eastAsia" w:ascii="仿宋_GB2312" w:hAnsi="仿宋_GB2312" w:eastAsia="仿宋_GB2312" w:cs="仿宋_GB2312"/>
          <w:sz w:val="32"/>
          <w:szCs w:val="32"/>
          <w:lang w:val="en-US" w:eastAsia="zh-CN"/>
        </w:rPr>
        <w:t>决定建立社会散居孤儿、事实无人抚养儿童、重点困境儿童和受艾滋病影响儿童数据信息共享机制</w:t>
      </w:r>
      <w:r>
        <w:rPr>
          <w:rFonts w:hint="eastAsia"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记者：出台这个工作方案的目标是什么？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cs="仿宋_GB2312"/>
          <w:sz w:val="32"/>
          <w:szCs w:val="32"/>
          <w:lang w:val="en-US" w:eastAsia="zh-CN"/>
        </w:rPr>
        <w:t>王慧：</w:t>
      </w:r>
      <w:r>
        <w:rPr>
          <w:rFonts w:hint="eastAsia" w:ascii="仿宋_GB2312" w:hAnsi="仿宋_GB2312" w:eastAsia="仿宋_GB2312" w:cs="仿宋_GB2312"/>
          <w:sz w:val="32"/>
          <w:szCs w:val="32"/>
        </w:rPr>
        <w:t>以</w:t>
      </w:r>
      <w:r>
        <w:rPr>
          <w:rFonts w:hint="eastAsia" w:ascii="仿宋_GB2312" w:hAnsi="仿宋_GB2312" w:eastAsia="仿宋_GB2312" w:cs="仿宋_GB2312"/>
          <w:sz w:val="32"/>
          <w:szCs w:val="32"/>
          <w:lang w:val="en-US" w:eastAsia="zh-CN"/>
        </w:rPr>
        <w:t>提升</w:t>
      </w:r>
      <w:r>
        <w:rPr>
          <w:rFonts w:hint="eastAsia" w:ascii="仿宋_GB2312" w:hAnsi="仿宋_GB2312" w:eastAsia="仿宋_GB2312" w:cs="仿宋_GB2312"/>
          <w:sz w:val="32"/>
          <w:szCs w:val="32"/>
        </w:rPr>
        <w:t>服务保障</w:t>
      </w:r>
      <w:r>
        <w:rPr>
          <w:rFonts w:hint="eastAsia" w:ascii="仿宋_GB2312" w:hAnsi="仿宋_GB2312" w:eastAsia="仿宋_GB2312" w:cs="仿宋_GB2312"/>
          <w:sz w:val="32"/>
          <w:szCs w:val="32"/>
          <w:lang w:val="en-US" w:eastAsia="zh-CN"/>
        </w:rPr>
        <w:t>质量、</w:t>
      </w:r>
      <w:r>
        <w:rPr>
          <w:rFonts w:hint="eastAsia" w:ascii="仿宋_GB2312" w:hAnsi="仿宋_GB2312" w:eastAsia="仿宋_GB2312" w:cs="仿宋_GB2312"/>
          <w:sz w:val="32"/>
          <w:szCs w:val="32"/>
        </w:rPr>
        <w:t>依法保护儿童合法权益为目标，按照“依法、全面、客观、及时、高效”的工作要求,优化制度设计,</w:t>
      </w:r>
      <w:r>
        <w:rPr>
          <w:rFonts w:hint="eastAsia" w:ascii="仿宋_GB2312" w:hAnsi="仿宋_GB2312" w:eastAsia="仿宋_GB2312" w:cs="仿宋_GB2312"/>
          <w:sz w:val="32"/>
          <w:szCs w:val="32"/>
          <w:lang w:val="en-US" w:eastAsia="zh-CN"/>
        </w:rPr>
        <w:t>加强信息共享，推动</w:t>
      </w:r>
      <w:r>
        <w:rPr>
          <w:rFonts w:hint="eastAsia" w:ascii="仿宋_GB2312" w:hAnsi="仿宋_GB2312" w:eastAsia="仿宋_GB2312" w:cs="仿宋_GB2312"/>
          <w:sz w:val="32"/>
          <w:szCs w:val="32"/>
        </w:rPr>
        <w:t>建立“部门配合、信息共享、制度保障”的长效工作机制，</w:t>
      </w:r>
      <w:r>
        <w:rPr>
          <w:rFonts w:hint="eastAsia" w:ascii="仿宋_GB2312" w:hAnsi="仿宋_GB2312" w:eastAsia="仿宋_GB2312" w:cs="仿宋_GB2312"/>
          <w:sz w:val="32"/>
          <w:szCs w:val="32"/>
          <w:lang w:val="en-US" w:eastAsia="zh-CN"/>
        </w:rPr>
        <w:t>确保</w:t>
      </w:r>
      <w:r>
        <w:rPr>
          <w:rFonts w:hint="eastAsia" w:ascii="仿宋_GB2312" w:hAnsi="仿宋_GB2312" w:eastAsia="仿宋_GB2312" w:cs="仿宋_GB2312"/>
          <w:sz w:val="32"/>
          <w:szCs w:val="32"/>
        </w:rPr>
        <w:t>数据</w:t>
      </w:r>
      <w:r>
        <w:rPr>
          <w:rFonts w:hint="eastAsia" w:ascii="仿宋_GB2312" w:hAnsi="仿宋_GB2312" w:eastAsia="仿宋_GB2312" w:cs="仿宋_GB2312"/>
          <w:sz w:val="32"/>
          <w:szCs w:val="32"/>
          <w:lang w:val="en-US" w:eastAsia="zh-CN"/>
        </w:rPr>
        <w:t>信息共享</w:t>
      </w:r>
      <w:r>
        <w:rPr>
          <w:rFonts w:hint="eastAsia" w:ascii="仿宋_GB2312" w:hAnsi="仿宋_GB2312" w:eastAsia="仿宋_GB2312" w:cs="仿宋_GB2312"/>
          <w:sz w:val="32"/>
          <w:szCs w:val="32"/>
        </w:rPr>
        <w:t>的真实性、准确性、完整性和及时性，着力打造政策有效衔接、措施精准有力的</w:t>
      </w:r>
      <w:r>
        <w:rPr>
          <w:rFonts w:hint="eastAsia" w:ascii="仿宋_GB2312" w:hAnsi="仿宋_GB2312" w:eastAsia="仿宋_GB2312" w:cs="仿宋_GB2312"/>
          <w:sz w:val="32"/>
          <w:szCs w:val="32"/>
          <w:lang w:eastAsia="zh-CN"/>
        </w:rPr>
        <w:t>社会散居孤儿、事实无人抚养儿童</w:t>
      </w:r>
      <w:r>
        <w:rPr>
          <w:rFonts w:hint="default"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CN"/>
        </w:rPr>
        <w:t>重点困境儿童</w:t>
      </w:r>
      <w:r>
        <w:rPr>
          <w:rFonts w:hint="default" w:ascii="仿宋_GB2312" w:hAnsi="仿宋_GB2312" w:eastAsia="仿宋_GB2312" w:cs="仿宋_GB2312"/>
          <w:sz w:val="32"/>
          <w:szCs w:val="32"/>
          <w:lang w:eastAsia="zh-CN"/>
        </w:rPr>
        <w:t>和受艾滋病影响儿童</w:t>
      </w:r>
      <w:r>
        <w:rPr>
          <w:rFonts w:hint="eastAsia" w:ascii="仿宋_GB2312" w:hAnsi="仿宋_GB2312" w:eastAsia="仿宋_GB2312" w:cs="仿宋_GB2312"/>
          <w:sz w:val="32"/>
          <w:szCs w:val="32"/>
        </w:rPr>
        <w:t>服务保障体系。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sz w:val="32"/>
          <w:szCs w:val="32"/>
          <w:lang w:val="en-US"/>
        </w:rPr>
      </w:pPr>
      <w:r>
        <w:rPr>
          <w:rFonts w:hint="eastAsia" w:ascii="黑体" w:hAnsi="黑体" w:eastAsia="黑体" w:cs="黑体"/>
          <w:sz w:val="32"/>
          <w:szCs w:val="32"/>
          <w:lang w:val="en-US" w:eastAsia="zh-CN"/>
        </w:rPr>
        <w:t>记者：请问这个信息共享机制都涉及哪些政府部门，这些部门都有哪些具体职能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王慧：</w:t>
      </w:r>
      <w:r>
        <w:rPr>
          <w:rFonts w:hint="eastAsia" w:ascii="仿宋_GB2312" w:hAnsi="仿宋_GB2312" w:eastAsia="仿宋_GB2312" w:cs="仿宋_GB2312"/>
          <w:sz w:val="32"/>
          <w:szCs w:val="32"/>
          <w:lang w:val="en-US" w:eastAsia="zh-CN"/>
        </w:rPr>
        <w:t>信息共享机制共涉及8个政府部门单位，他们的具体职能都很明确，其中区民政局主要</w:t>
      </w:r>
      <w:r>
        <w:rPr>
          <w:rFonts w:hint="eastAsia" w:ascii="仿宋_GB2312" w:hAnsi="仿宋_GB2312" w:eastAsia="仿宋_GB2312" w:cs="仿宋_GB2312"/>
          <w:sz w:val="32"/>
          <w:szCs w:val="32"/>
        </w:rPr>
        <w:t>做好</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资格确认、生活补贴发放、综合协调和监督管理等工作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建立定期数据比对工作机制，运用民政业务低保、特困、两残、</w:t>
      </w:r>
      <w:r>
        <w:rPr>
          <w:rFonts w:hint="eastAsia" w:ascii="仿宋_GB2312" w:hAnsi="仿宋_GB2312" w:eastAsia="仿宋_GB2312" w:cs="仿宋_GB2312"/>
          <w:color w:val="000000" w:themeColor="text1"/>
          <w:sz w:val="32"/>
          <w:szCs w:val="32"/>
          <w14:textFill>
            <w14:solidFill>
              <w14:schemeClr w14:val="tx1"/>
            </w14:solidFill>
          </w14:textFill>
        </w:rPr>
        <w:t>殡葬、婚姻登记</w:t>
      </w:r>
      <w:r>
        <w:rPr>
          <w:rFonts w:hint="eastAsia" w:ascii="仿宋_GB2312" w:hAnsi="仿宋_GB2312" w:eastAsia="仿宋_GB2312" w:cs="仿宋_GB2312"/>
          <w:sz w:val="32"/>
          <w:szCs w:val="32"/>
        </w:rPr>
        <w:t>等数据以及</w:t>
      </w:r>
      <w:r>
        <w:rPr>
          <w:rFonts w:hint="eastAsia" w:ascii="仿宋_GB2312" w:hAnsi="仿宋_GB2312" w:eastAsia="仿宋_GB2312" w:cs="仿宋_GB2312"/>
          <w:sz w:val="32"/>
          <w:szCs w:val="32"/>
          <w:lang w:val="en-US" w:eastAsia="zh-CN"/>
        </w:rPr>
        <w:t>省、</w:t>
      </w:r>
      <w:r>
        <w:rPr>
          <w:rFonts w:hint="eastAsia" w:ascii="仿宋_GB2312" w:hAnsi="仿宋_GB2312" w:eastAsia="仿宋_GB2312" w:cs="仿宋_GB2312"/>
          <w:sz w:val="32"/>
          <w:szCs w:val="32"/>
        </w:rPr>
        <w:t>市直相关部门推送关于孤儿和事实无人抚养儿童的相关信息进行定期核实；联系相关部门对</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相关信息进行定期核实，对部门共享信息中符合条件的建立台账，及时准确纳入保障范围，确保儿童基本信息准确、基本生活保障到位</w:t>
      </w:r>
      <w:r>
        <w:rPr>
          <w:rFonts w:hint="eastAsia" w:cs="仿宋_GB2312"/>
          <w:sz w:val="32"/>
          <w:szCs w:val="32"/>
          <w:lang w:eastAsia="zh-CN"/>
        </w:rPr>
        <w:t>；</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人民法院</w:t>
      </w:r>
      <w:r>
        <w:rPr>
          <w:rFonts w:hint="eastAsia" w:cs="仿宋_GB2312"/>
          <w:sz w:val="32"/>
          <w:szCs w:val="32"/>
          <w:lang w:val="en-US" w:eastAsia="zh-CN"/>
        </w:rPr>
        <w:t>主要是</w:t>
      </w:r>
      <w:r>
        <w:rPr>
          <w:rFonts w:hint="eastAsia" w:ascii="仿宋_GB2312" w:hAnsi="仿宋_GB2312" w:eastAsia="仿宋_GB2312" w:cs="仿宋_GB2312"/>
          <w:sz w:val="32"/>
          <w:szCs w:val="32"/>
        </w:rPr>
        <w:t>对申请宣告儿童父母失踪、死亡及撤销父母监护资格等案件设立绿色通道;</w:t>
      </w:r>
      <w:r>
        <w:rPr>
          <w:rFonts w:hint="eastAsia" w:ascii="仿宋_GB2312" w:hAnsi="仿宋_GB2312" w:eastAsia="仿宋_GB2312" w:cs="仿宋_GB2312"/>
          <w:color w:val="auto"/>
          <w:sz w:val="32"/>
          <w:szCs w:val="32"/>
        </w:rPr>
        <w:t>并于每个月5日前，</w:t>
      </w:r>
      <w:r>
        <w:rPr>
          <w:rFonts w:hint="eastAsia" w:ascii="仿宋_GB2312" w:hAnsi="仿宋_GB2312" w:eastAsia="仿宋_GB2312" w:cs="仿宋_GB2312"/>
          <w:color w:val="auto"/>
          <w:sz w:val="32"/>
          <w:szCs w:val="32"/>
          <w:lang w:val="en-US" w:eastAsia="zh-CN"/>
        </w:rPr>
        <w:t>为民政局</w:t>
      </w:r>
      <w:r>
        <w:rPr>
          <w:rFonts w:hint="eastAsia" w:ascii="仿宋_GB2312" w:hAnsi="仿宋_GB2312" w:eastAsia="仿宋_GB2312" w:cs="仿宋_GB2312"/>
          <w:color w:val="auto"/>
          <w:sz w:val="32"/>
          <w:szCs w:val="32"/>
        </w:rPr>
        <w:t>提供上月儿童父母失踪、死亡及撤销父母监护资格名单。</w:t>
      </w:r>
      <w:r>
        <w:rPr>
          <w:rFonts w:hint="eastAsia" w:ascii="仿宋_GB2312" w:hAnsi="仿宋_GB2312" w:eastAsia="仿宋_GB2312" w:cs="仿宋_GB2312"/>
          <w:sz w:val="32"/>
          <w:szCs w:val="32"/>
        </w:rPr>
        <w:t>协调民政局核实上述情形法律文书真实性和准确性</w:t>
      </w:r>
      <w:r>
        <w:rPr>
          <w:rFonts w:hint="eastAsia" w:cs="仿宋_GB2312"/>
          <w:sz w:val="32"/>
          <w:szCs w:val="32"/>
          <w:lang w:eastAsia="zh-CN"/>
        </w:rPr>
        <w:t>；</w:t>
      </w:r>
      <w:r>
        <w:rPr>
          <w:rFonts w:hint="eastAsia" w:ascii="仿宋_GB2312" w:hAnsi="仿宋_GB2312" w:eastAsia="仿宋_GB2312" w:cs="仿宋_GB2312"/>
          <w:sz w:val="32"/>
          <w:szCs w:val="32"/>
          <w:lang w:val="en-US" w:eastAsia="zh-CN"/>
        </w:rPr>
        <w:t>区人民</w:t>
      </w:r>
      <w:r>
        <w:rPr>
          <w:rFonts w:hint="eastAsia" w:ascii="仿宋_GB2312" w:hAnsi="仿宋_GB2312" w:eastAsia="仿宋_GB2312" w:cs="仿宋_GB2312"/>
          <w:sz w:val="32"/>
          <w:szCs w:val="32"/>
        </w:rPr>
        <w:t>检察院</w:t>
      </w:r>
      <w:r>
        <w:rPr>
          <w:rFonts w:hint="eastAsia" w:cs="仿宋_GB2312"/>
          <w:sz w:val="32"/>
          <w:szCs w:val="32"/>
          <w:lang w:val="en-US" w:eastAsia="zh-CN"/>
        </w:rPr>
        <w:t>主要是</w:t>
      </w:r>
      <w:r>
        <w:rPr>
          <w:rFonts w:hint="eastAsia" w:ascii="仿宋_GB2312" w:hAnsi="仿宋_GB2312" w:eastAsia="仿宋_GB2312" w:cs="仿宋_GB2312"/>
          <w:sz w:val="32"/>
          <w:szCs w:val="32"/>
        </w:rPr>
        <w:t>在办理刑事案件时，发现涉案人员子女可能属于社会散居孤儿或事实无人抚养儿童情形的，第一时间向民政</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通报相关信息，并于每个月5日前，</w:t>
      </w: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rPr>
        <w:t>民政局提供上月涉案人员子女疑似孤儿或事实无人抚养儿童情形的信息</w:t>
      </w:r>
      <w:r>
        <w:rPr>
          <w:rFonts w:hint="eastAsia" w:cs="仿宋_GB2312"/>
          <w:sz w:val="32"/>
          <w:szCs w:val="32"/>
          <w:lang w:eastAsia="zh-CN"/>
        </w:rPr>
        <w:t>；</w:t>
      </w:r>
      <w:r>
        <w:rPr>
          <w:rFonts w:hint="eastAsia" w:ascii="仿宋_GB2312" w:hAnsi="仿宋_GB2312" w:eastAsia="仿宋_GB2312" w:cs="仿宋_GB2312"/>
          <w:sz w:val="32"/>
          <w:szCs w:val="32"/>
          <w:lang w:eastAsia="zh-CN"/>
        </w:rPr>
        <w:t>区公安</w:t>
      </w:r>
      <w:r>
        <w:rPr>
          <w:rFonts w:hint="eastAsia" w:ascii="仿宋_GB2312" w:hAnsi="仿宋_GB2312" w:eastAsia="仿宋_GB2312" w:cs="仿宋_GB2312"/>
          <w:sz w:val="32"/>
          <w:szCs w:val="32"/>
          <w:lang w:val="en-US" w:eastAsia="zh-CN"/>
        </w:rPr>
        <w:t>分局</w:t>
      </w:r>
      <w:r>
        <w:rPr>
          <w:rFonts w:hint="eastAsia" w:cs="仿宋_GB2312"/>
          <w:sz w:val="32"/>
          <w:szCs w:val="32"/>
          <w:lang w:val="en-US" w:eastAsia="zh-CN"/>
        </w:rPr>
        <w:t>主要是</w:t>
      </w:r>
      <w:r>
        <w:rPr>
          <w:rFonts w:hint="eastAsia" w:ascii="仿宋_GB2312" w:hAnsi="仿宋_GB2312" w:eastAsia="仿宋_GB2312" w:cs="仿宋_GB2312"/>
          <w:sz w:val="32"/>
          <w:szCs w:val="32"/>
        </w:rPr>
        <w:t>在办理解救被拐卖儿童、查找弃婴生父母和其他监护人、查询未成年人失联父母等工作时,发现可能属于孤儿或事实无人抚养儿童的，第一时间推送信息至民政</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。将父母均受强制隔离戒毒或被执行其他限制人身自由措施或被遣送（驱逐）出境等的儿童名单推送</w:t>
      </w:r>
      <w:r>
        <w:rPr>
          <w:rFonts w:hint="eastAsia" w:ascii="仿宋_GB2312" w:hAnsi="仿宋_GB2312" w:eastAsia="仿宋_GB2312" w:cs="仿宋_GB2312"/>
          <w:sz w:val="32"/>
          <w:szCs w:val="32"/>
          <w:lang w:val="en-US" w:eastAsia="zh-CN"/>
        </w:rPr>
        <w:t>至民政局</w:t>
      </w:r>
      <w:r>
        <w:rPr>
          <w:rFonts w:hint="eastAsia" w:ascii="仿宋_GB2312" w:hAnsi="仿宋_GB2312" w:eastAsia="仿宋_GB2312" w:cs="仿宋_GB2312"/>
          <w:sz w:val="32"/>
          <w:szCs w:val="32"/>
        </w:rPr>
        <w:t>。配合出具弃婴捡拾证明、事实无人抚养儿童父（母）失联证明和孤儿、事实无人抚养儿童注销户籍情况，及时反馈信息。协助民政</w:t>
      </w:r>
      <w:r>
        <w:rPr>
          <w:rFonts w:hint="eastAsia" w:ascii="仿宋_GB2312" w:hAnsi="仿宋_GB2312" w:eastAsia="仿宋_GB2312" w:cs="仿宋_GB2312"/>
          <w:sz w:val="32"/>
          <w:szCs w:val="32"/>
          <w:lang w:val="en-US" w:eastAsia="zh-CN"/>
        </w:rPr>
        <w:t>定期</w:t>
      </w:r>
      <w:r>
        <w:rPr>
          <w:rFonts w:hint="eastAsia" w:ascii="仿宋_GB2312" w:hAnsi="仿宋_GB2312" w:eastAsia="仿宋_GB2312" w:cs="仿宋_GB2312"/>
          <w:sz w:val="32"/>
          <w:szCs w:val="32"/>
        </w:rPr>
        <w:t>核查事实无人抚养儿童父（母）失联情况、强制隔离戒毒情况及执行其他限制人身自由措施情况</w:t>
      </w:r>
      <w:r>
        <w:rPr>
          <w:rFonts w:hint="eastAsia" w:cs="仿宋_GB2312"/>
          <w:sz w:val="32"/>
          <w:szCs w:val="32"/>
          <w:lang w:eastAsia="zh-CN"/>
        </w:rPr>
        <w:t>；</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财政</w:t>
      </w:r>
      <w:r>
        <w:rPr>
          <w:rFonts w:hint="eastAsia" w:ascii="仿宋_GB2312" w:hAnsi="仿宋_GB2312" w:eastAsia="仿宋_GB2312" w:cs="仿宋_GB2312"/>
          <w:sz w:val="32"/>
          <w:szCs w:val="32"/>
          <w:lang w:val="en-US" w:eastAsia="zh-CN"/>
        </w:rPr>
        <w:t>局</w:t>
      </w:r>
      <w:r>
        <w:rPr>
          <w:rFonts w:hint="eastAsia" w:cs="仿宋_GB2312"/>
          <w:sz w:val="32"/>
          <w:szCs w:val="32"/>
          <w:lang w:val="en-US" w:eastAsia="zh-CN"/>
        </w:rPr>
        <w:t>主要是</w:t>
      </w:r>
      <w:r>
        <w:rPr>
          <w:rFonts w:hint="eastAsia" w:ascii="仿宋_GB2312" w:hAnsi="仿宋_GB2312" w:eastAsia="仿宋_GB2312" w:cs="仿宋_GB2312"/>
          <w:bCs/>
          <w:kern w:val="2"/>
          <w:sz w:val="32"/>
          <w:szCs w:val="32"/>
        </w:rPr>
        <w:t>优化和调整支出结构</w:t>
      </w:r>
      <w:r>
        <w:rPr>
          <w:rFonts w:hint="eastAsia" w:ascii="仿宋_GB2312" w:hAnsi="仿宋_GB2312" w:eastAsia="仿宋_GB2312" w:cs="仿宋_GB2312"/>
          <w:sz w:val="32"/>
          <w:szCs w:val="32"/>
        </w:rPr>
        <w:t>，确保</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基本生活费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儿童福利和</w:t>
      </w:r>
      <w:r>
        <w:rPr>
          <w:rFonts w:hint="eastAsia" w:ascii="仿宋_GB2312" w:hAnsi="仿宋_GB2312" w:eastAsia="仿宋_GB2312" w:cs="仿宋_GB2312"/>
          <w:sz w:val="32"/>
          <w:szCs w:val="32"/>
        </w:rPr>
        <w:t>未成年人保护工作</w:t>
      </w:r>
      <w:r>
        <w:rPr>
          <w:rFonts w:hint="eastAsia" w:ascii="仿宋_GB2312" w:hAnsi="仿宋_GB2312" w:eastAsia="仿宋_GB2312" w:cs="仿宋_GB2312"/>
          <w:sz w:val="32"/>
          <w:szCs w:val="32"/>
          <w:lang w:val="en-US" w:eastAsia="zh-CN"/>
        </w:rPr>
        <w:t>资金</w:t>
      </w:r>
      <w:r>
        <w:rPr>
          <w:rFonts w:hint="eastAsia" w:ascii="仿宋_GB2312" w:hAnsi="仿宋_GB2312" w:eastAsia="仿宋_GB2312" w:cs="仿宋_GB2312"/>
          <w:sz w:val="32"/>
          <w:szCs w:val="32"/>
        </w:rPr>
        <w:t>保障</w:t>
      </w:r>
      <w:r>
        <w:rPr>
          <w:rFonts w:hint="eastAsia" w:ascii="仿宋_GB2312" w:hAnsi="仿宋_GB2312" w:eastAsia="仿宋_GB2312" w:cs="仿宋_GB2312"/>
          <w:sz w:val="32"/>
          <w:szCs w:val="32"/>
          <w:lang w:val="en-US" w:eastAsia="zh-CN"/>
        </w:rPr>
        <w:t>纳入本级政府预算</w:t>
      </w:r>
      <w:r>
        <w:rPr>
          <w:rFonts w:hint="eastAsia" w:ascii="仿宋_GB2312" w:hAnsi="仿宋_GB2312" w:eastAsia="仿宋_GB2312" w:cs="仿宋_GB2312"/>
          <w:sz w:val="32"/>
          <w:szCs w:val="32"/>
        </w:rPr>
        <w:t>。加强资金使用监管，提高财政资金绩效，对存在违法违规行为的，按照相关规定进行处理</w:t>
      </w:r>
      <w:r>
        <w:rPr>
          <w:rFonts w:hint="eastAsia" w:cs="仿宋_GB2312"/>
          <w:sz w:val="32"/>
          <w:szCs w:val="32"/>
          <w:lang w:eastAsia="zh-CN"/>
        </w:rPr>
        <w:t>；</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卫</w:t>
      </w:r>
      <w:r>
        <w:rPr>
          <w:rFonts w:hint="eastAsia" w:ascii="仿宋_GB2312" w:hAnsi="仿宋_GB2312" w:eastAsia="仿宋_GB2312" w:cs="仿宋_GB2312"/>
          <w:sz w:val="32"/>
          <w:szCs w:val="32"/>
          <w:lang w:val="en-US" w:eastAsia="zh-CN"/>
        </w:rPr>
        <w:t>健局</w:t>
      </w:r>
      <w:r>
        <w:rPr>
          <w:rFonts w:hint="eastAsia" w:ascii="仿宋_GB2312" w:hAnsi="仿宋_GB2312" w:eastAsia="仿宋_GB2312" w:cs="仿宋_GB2312"/>
          <w:sz w:val="32"/>
          <w:szCs w:val="32"/>
        </w:rPr>
        <w:t>一是配合民政</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对在册孤儿及事实无人抚养儿童中正常死亡儿童的基本信息进行核实反馈。二是协助民政</w:t>
      </w:r>
      <w:r>
        <w:rPr>
          <w:rFonts w:hint="eastAsia" w:ascii="仿宋_GB2312" w:hAnsi="仿宋_GB2312" w:eastAsia="仿宋_GB2312" w:cs="仿宋_GB2312"/>
          <w:sz w:val="32"/>
          <w:szCs w:val="32"/>
          <w:lang w:val="en-US" w:eastAsia="zh-CN"/>
        </w:rPr>
        <w:t>局</w:t>
      </w:r>
      <w:r>
        <w:rPr>
          <w:rFonts w:hint="eastAsia" w:ascii="仿宋_GB2312" w:hAnsi="仿宋_GB2312" w:eastAsia="仿宋_GB2312" w:cs="仿宋_GB2312"/>
          <w:sz w:val="32"/>
          <w:szCs w:val="32"/>
        </w:rPr>
        <w:t>征求不满18周岁艾滋病病毒感染儿童监护人是否纳入保障意愿。</w:t>
      </w:r>
      <w:r>
        <w:rPr>
          <w:rFonts w:hint="eastAsia" w:ascii="仿宋_GB2312" w:hAnsi="仿宋_GB2312" w:eastAsia="仿宋_GB2312" w:cs="仿宋_GB2312"/>
          <w:sz w:val="32"/>
          <w:szCs w:val="32"/>
          <w:lang w:val="en-US" w:eastAsia="zh-CN"/>
        </w:rPr>
        <w:t>三是对艾滋病病毒感染儿童宣传民政救助政策，确保自愿申请保障的儿童100%纳入保障范围，将自愿纳入名单及时反馈民政局</w:t>
      </w:r>
      <w:r>
        <w:rPr>
          <w:rFonts w:hint="eastAsia" w:cs="仿宋_GB2312"/>
          <w:sz w:val="32"/>
          <w:szCs w:val="32"/>
          <w:lang w:val="en-US" w:eastAsia="zh-CN"/>
        </w:rPr>
        <w:t>；</w:t>
      </w:r>
      <w:r>
        <w:rPr>
          <w:rFonts w:hint="eastAsia" w:ascii="仿宋_GB2312" w:hAnsi="仿宋_GB2312" w:eastAsia="仿宋_GB2312" w:cs="仿宋_GB2312"/>
          <w:sz w:val="32"/>
          <w:szCs w:val="32"/>
          <w:lang w:val="en-US" w:eastAsia="zh-CN"/>
        </w:rPr>
        <w:t>区医保局</w:t>
      </w:r>
      <w:r>
        <w:rPr>
          <w:rFonts w:hint="eastAsia" w:cs="仿宋_GB2312"/>
          <w:sz w:val="32"/>
          <w:szCs w:val="32"/>
          <w:lang w:val="en-US" w:eastAsia="zh-CN"/>
        </w:rPr>
        <w:t>主要是</w:t>
      </w:r>
      <w:r>
        <w:rPr>
          <w:rFonts w:hint="eastAsia" w:ascii="仿宋_GB2312" w:hAnsi="仿宋_GB2312" w:eastAsia="仿宋_GB2312" w:cs="仿宋_GB2312"/>
          <w:sz w:val="32"/>
          <w:szCs w:val="32"/>
          <w:lang w:val="en-US" w:eastAsia="zh-CN"/>
        </w:rPr>
        <w:t>每年</w:t>
      </w:r>
      <w:r>
        <w:rPr>
          <w:rFonts w:hint="eastAsia" w:ascii="仿宋_GB2312" w:hAnsi="仿宋_GB2312" w:eastAsia="仿宋_GB2312" w:cs="仿宋_GB2312"/>
          <w:sz w:val="32"/>
          <w:szCs w:val="32"/>
          <w:lang w:eastAsia="zh-CN"/>
        </w:rPr>
        <w:t>集中缴费期内</w:t>
      </w:r>
      <w:r>
        <w:rPr>
          <w:rFonts w:hint="eastAsia" w:ascii="仿宋_GB2312" w:hAnsi="仿宋_GB2312" w:eastAsia="仿宋_GB2312" w:cs="仿宋_GB2312"/>
          <w:sz w:val="32"/>
          <w:szCs w:val="32"/>
        </w:rPr>
        <w:t>将</w:t>
      </w:r>
      <w:r>
        <w:rPr>
          <w:rFonts w:hint="eastAsia" w:ascii="仿宋_GB2312" w:hAnsi="仿宋_GB2312" w:eastAsia="仿宋_GB2312" w:cs="仿宋_GB2312"/>
          <w:sz w:val="32"/>
          <w:szCs w:val="32"/>
          <w:lang w:eastAsia="zh-CN"/>
        </w:rPr>
        <w:t>社会散居孤儿、事实无人抚养儿童</w:t>
      </w:r>
      <w:r>
        <w:rPr>
          <w:rFonts w:hint="eastAsia" w:ascii="仿宋_GB2312" w:hAnsi="仿宋_GB2312" w:eastAsia="仿宋_GB2312" w:cs="仿宋_GB2312"/>
          <w:sz w:val="32"/>
          <w:szCs w:val="32"/>
        </w:rPr>
        <w:t>纳入城乡居民基本医疗保险、大病保险保障范围</w:t>
      </w:r>
      <w:r>
        <w:rPr>
          <w:rFonts w:hint="eastAsia" w:cs="仿宋_GB2312"/>
          <w:sz w:val="32"/>
          <w:szCs w:val="32"/>
          <w:lang w:eastAsia="zh-CN"/>
        </w:rPr>
        <w:t>；</w:t>
      </w:r>
      <w:r>
        <w:rPr>
          <w:rFonts w:hint="eastAsia" w:ascii="仿宋_GB2312" w:hAnsi="仿宋_GB2312" w:eastAsia="仿宋_GB2312" w:cs="仿宋_GB2312"/>
          <w:sz w:val="32"/>
          <w:szCs w:val="32"/>
          <w:lang w:val="en-US" w:eastAsia="zh-CN"/>
        </w:rPr>
        <w:t>区残联</w:t>
      </w:r>
      <w:r>
        <w:rPr>
          <w:rFonts w:hint="eastAsia" w:cs="仿宋_GB2312"/>
          <w:sz w:val="32"/>
          <w:szCs w:val="32"/>
          <w:lang w:val="en-US" w:eastAsia="zh-CN"/>
        </w:rPr>
        <w:t>主要是</w:t>
      </w:r>
      <w:r>
        <w:rPr>
          <w:rFonts w:hint="eastAsia" w:ascii="仿宋_GB2312" w:hAnsi="仿宋_GB2312" w:eastAsia="仿宋_GB2312" w:cs="仿宋_GB2312"/>
          <w:sz w:val="32"/>
          <w:szCs w:val="32"/>
        </w:rPr>
        <w:t>每月5日前，将上月重残(一级、二级的各类别残疾人</w:t>
      </w:r>
      <w:r>
        <w:rPr>
          <w:rFonts w:hint="eastAsia" w:cs="仿宋_GB2312"/>
          <w:sz w:val="32"/>
          <w:szCs w:val="32"/>
          <w:lang w:eastAsia="zh-CN"/>
        </w:rPr>
        <w:t>和</w:t>
      </w:r>
      <w:r>
        <w:rPr>
          <w:rFonts w:hint="eastAsia" w:ascii="仿宋_GB2312" w:hAnsi="仿宋_GB2312" w:eastAsia="仿宋_GB2312" w:cs="仿宋_GB2312"/>
          <w:sz w:val="32"/>
          <w:szCs w:val="32"/>
        </w:rPr>
        <w:t>残疾程度为三级、四级的精神、智力残疾人)人员基本信息推送</w:t>
      </w:r>
      <w:r>
        <w:rPr>
          <w:rFonts w:hint="eastAsia" w:ascii="仿宋_GB2312" w:hAnsi="仿宋_GB2312" w:eastAsia="仿宋_GB2312" w:cs="仿宋_GB2312"/>
          <w:sz w:val="32"/>
          <w:szCs w:val="32"/>
          <w:lang w:val="en-US" w:eastAsia="zh-CN"/>
        </w:rPr>
        <w:t>民政</w:t>
      </w:r>
      <w:r>
        <w:rPr>
          <w:rFonts w:hint="eastAsia" w:cs="仿宋_GB2312"/>
          <w:sz w:val="32"/>
          <w:szCs w:val="32"/>
          <w:lang w:val="en-US" w:eastAsia="zh-CN"/>
        </w:rPr>
        <w:t>局</w:t>
      </w:r>
      <w:r>
        <w:rPr>
          <w:rFonts w:hint="eastAsia" w:ascii="仿宋_GB2312" w:hAnsi="仿宋_GB2312" w:eastAsia="仿宋_GB2312" w:cs="仿宋_GB2312"/>
          <w:sz w:val="32"/>
          <w:szCs w:val="32"/>
        </w:rPr>
        <w:t>，协同开展信息共享、交叉比对等方面工作，确保符合保障条件的事实无人抚养儿童</w:t>
      </w:r>
      <w:r>
        <w:rPr>
          <w:rFonts w:hint="eastAsia" w:ascii="仿宋_GB2312" w:hAnsi="仿宋_GB2312" w:eastAsia="仿宋_GB2312" w:cs="仿宋_GB2312"/>
          <w:sz w:val="32"/>
          <w:szCs w:val="32"/>
          <w:lang w:val="en-US" w:eastAsia="zh-CN"/>
        </w:rPr>
        <w:t>和重点困境儿童</w:t>
      </w:r>
      <w:r>
        <w:rPr>
          <w:rFonts w:hint="eastAsia" w:ascii="仿宋_GB2312" w:hAnsi="仿宋_GB2312" w:eastAsia="仿宋_GB2312" w:cs="仿宋_GB2312"/>
          <w:sz w:val="32"/>
          <w:szCs w:val="32"/>
        </w:rPr>
        <w:t>及时纳入保障范围。</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记者：为了确保这个信息共享机制取得实效，我们会采用什么样的措施？</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王慧：</w:t>
      </w:r>
      <w:r>
        <w:rPr>
          <w:rFonts w:hint="eastAsia" w:ascii="仿宋_GB2312" w:hAnsi="仿宋_GB2312" w:eastAsia="仿宋_GB2312" w:cs="仿宋_GB2312"/>
          <w:sz w:val="32"/>
          <w:szCs w:val="32"/>
        </w:rPr>
        <w:t>各部门要把</w:t>
      </w:r>
      <w:r>
        <w:rPr>
          <w:rFonts w:hint="eastAsia" w:ascii="仿宋_GB2312" w:hAnsi="仿宋_GB2312" w:eastAsia="仿宋_GB2312" w:cs="仿宋_GB2312"/>
          <w:sz w:val="32"/>
          <w:szCs w:val="32"/>
          <w:lang w:val="en-US" w:eastAsia="zh-CN"/>
        </w:rPr>
        <w:t>落实</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保障工作作为保障和改善民生的重要任务来抓，</w:t>
      </w:r>
      <w:r>
        <w:rPr>
          <w:rFonts w:hint="eastAsia" w:ascii="仿宋_GB2312" w:hAnsi="仿宋_GB2312" w:eastAsia="仿宋_GB2312" w:cs="仿宋_GB2312"/>
          <w:sz w:val="32"/>
          <w:szCs w:val="32"/>
          <w:lang w:val="en-US" w:eastAsia="zh-CN"/>
        </w:rPr>
        <w:t>加强组织领导，落实重点任务</w:t>
      </w:r>
      <w:r>
        <w:rPr>
          <w:rFonts w:hint="eastAsia" w:ascii="仿宋_GB2312" w:hAnsi="仿宋_GB2312" w:eastAsia="仿宋_GB2312" w:cs="仿宋_GB2312"/>
          <w:sz w:val="32"/>
          <w:szCs w:val="32"/>
        </w:rPr>
        <w:t>，确保</w:t>
      </w:r>
      <w:r>
        <w:rPr>
          <w:rFonts w:hint="eastAsia" w:ascii="仿宋_GB2312" w:hAnsi="仿宋_GB2312" w:eastAsia="仿宋_GB2312" w:cs="仿宋_GB2312"/>
          <w:sz w:val="32"/>
          <w:szCs w:val="32"/>
          <w:lang w:val="en-US" w:eastAsia="zh-CN"/>
        </w:rPr>
        <w:t>各项</w:t>
      </w:r>
      <w:r>
        <w:rPr>
          <w:rFonts w:hint="eastAsia" w:ascii="仿宋_GB2312" w:hAnsi="仿宋_GB2312" w:eastAsia="仿宋_GB2312" w:cs="仿宋_GB2312"/>
          <w:sz w:val="32"/>
          <w:szCs w:val="32"/>
        </w:rPr>
        <w:t>工作扎实有序开展。认真履行自身职能职责，发挥好部门协同作用，积极配合工作调度，按照“横向到边、纵向到底、全面覆盖、不留死角”的要求，及时做好数据传递，建立起</w:t>
      </w:r>
      <w:r>
        <w:rPr>
          <w:rFonts w:hint="eastAsia" w:ascii="仿宋_GB2312" w:hAnsi="仿宋_GB2312" w:eastAsia="仿宋_GB2312" w:cs="仿宋_GB2312"/>
          <w:sz w:val="32"/>
          <w:szCs w:val="32"/>
          <w:lang w:eastAsia="zh-CN"/>
        </w:rPr>
        <w:t>社会散居孤儿、事实无人抚养儿童和重点困境儿童</w:t>
      </w:r>
      <w:r>
        <w:rPr>
          <w:rFonts w:hint="eastAsia" w:ascii="仿宋_GB2312" w:hAnsi="仿宋_GB2312" w:eastAsia="仿宋_GB2312" w:cs="仿宋_GB2312"/>
          <w:sz w:val="32"/>
          <w:szCs w:val="32"/>
        </w:rPr>
        <w:t>数据信息共享协同推进机制，保障儿童群体合法权益。</w:t>
      </w:r>
      <w:r>
        <w:rPr>
          <w:rFonts w:hint="eastAsia" w:cs="仿宋_GB2312"/>
          <w:sz w:val="32"/>
          <w:szCs w:val="32"/>
          <w:lang w:val="en-US" w:eastAsia="zh-CN"/>
        </w:rPr>
        <w:t>我们还将</w:t>
      </w:r>
      <w:r>
        <w:rPr>
          <w:rFonts w:hint="eastAsia" w:ascii="仿宋_GB2312" w:hAnsi="仿宋_GB2312" w:eastAsia="仿宋_GB2312" w:cs="仿宋_GB2312"/>
          <w:sz w:val="32"/>
          <w:szCs w:val="32"/>
        </w:rPr>
        <w:t>充分利用报纸、电台、电视、网络等新闻媒体,大力开展儿童福利保障政策宣传,使社会各界广泛了解党和政府的爱民之心、惠民之举，帮助</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及其监护人准确知晓保障对象范围、补助标准和申请程序。动员引导社会力量关心、支持</w:t>
      </w:r>
      <w:r>
        <w:rPr>
          <w:rFonts w:hint="eastAsia" w:ascii="仿宋_GB2312" w:hAnsi="仿宋_GB2312" w:eastAsia="仿宋_GB2312" w:cs="仿宋_GB2312"/>
          <w:sz w:val="32"/>
          <w:szCs w:val="32"/>
          <w:lang w:eastAsia="zh-CN"/>
        </w:rPr>
        <w:t>社会散居孤儿、事实无人抚养儿童、重点困境儿童</w:t>
      </w:r>
      <w:r>
        <w:rPr>
          <w:rFonts w:hint="eastAsia" w:ascii="仿宋_GB2312" w:hAnsi="仿宋_GB2312" w:eastAsia="仿宋_GB2312" w:cs="仿宋_GB2312"/>
          <w:sz w:val="32"/>
          <w:szCs w:val="32"/>
          <w:lang w:val="en-US" w:eastAsia="zh-CN"/>
        </w:rPr>
        <w:t>和受艾滋病影响儿童</w:t>
      </w:r>
      <w:r>
        <w:rPr>
          <w:rFonts w:hint="eastAsia" w:ascii="仿宋_GB2312" w:hAnsi="仿宋_GB2312" w:eastAsia="仿宋_GB2312" w:cs="仿宋_GB2312"/>
          <w:sz w:val="32"/>
          <w:szCs w:val="32"/>
        </w:rPr>
        <w:t>帮扶救助工作，为儿童及其家庭提供多样化、个性化服务。</w:t>
      </w:r>
    </w:p>
    <w:p>
      <w:pPr>
        <w:pStyle w:val="2"/>
        <w:rPr>
          <w:rFonts w:hint="eastAsia" w:ascii="仿宋_GB2312" w:hAnsi="仿宋_GB2312" w:eastAsia="仿宋_GB2312" w:cs="仿宋_GB2312"/>
          <w:sz w:val="32"/>
          <w:szCs w:val="32"/>
        </w:rPr>
      </w:pPr>
    </w:p>
    <w:p>
      <w:pPr>
        <w:pStyle w:val="2"/>
        <w:rPr>
          <w:rFonts w:hint="default"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联系人：王慧  0531-81295705</w:t>
      </w:r>
    </w:p>
    <w:p>
      <w:pPr>
        <w:pStyle w:val="2"/>
        <w:rPr>
          <w:rFonts w:hint="eastAsia"/>
        </w:rPr>
      </w:pPr>
    </w:p>
    <w:p>
      <w:pPr>
        <w:pStyle w:val="5"/>
        <w:keepNext w:val="0"/>
        <w:keepLines w:val="0"/>
        <w:pageBreakBefore w:val="0"/>
        <w:widowControl w:val="0"/>
        <w:kinsoku/>
        <w:wordWrap/>
        <w:overflowPunct/>
        <w:topLinePunct w:val="0"/>
        <w:bidi w:val="0"/>
        <w:adjustRightInd/>
        <w:snapToGrid/>
        <w:spacing w:line="600" w:lineRule="exact"/>
        <w:ind w:left="0" w:leftChars="0" w:firstLine="0" w:firstLineChars="0"/>
        <w:jc w:val="both"/>
        <w:textAlignment w:val="auto"/>
        <w:rPr>
          <w:rFonts w:hint="eastAsia" w:ascii="仿宋" w:hAnsi="仿宋" w:eastAsia="仿宋" w:cs="仿宋"/>
          <w:sz w:val="30"/>
          <w:szCs w:val="30"/>
          <w:lang w:val="en-US" w:eastAsia="zh-CN"/>
        </w:rPr>
      </w:pPr>
    </w:p>
    <w:p>
      <w:pPr>
        <w:spacing w:line="600" w:lineRule="exact"/>
        <w:rPr>
          <w:rFonts w:hint="eastAsia" w:ascii="仿宋" w:hAnsi="仿宋" w:eastAsia="仿宋" w:cs="仿宋"/>
          <w:sz w:val="30"/>
          <w:szCs w:val="30"/>
          <w:lang w:val="en-US" w:eastAsia="zh-CN"/>
        </w:rPr>
      </w:pPr>
      <w:r>
        <w:rPr>
          <w:color w:val="FFFFFF"/>
          <w:sz w:val="32"/>
        </w:rPr>
        <mc:AlternateContent>
          <mc:Choice Requires="wps">
            <w:drawing>
              <wp:anchor distT="0" distB="0" distL="114300" distR="114300" simplePos="0" relativeHeight="251661312" behindDoc="0" locked="0" layoutInCell="1" allowOverlap="1">
                <wp:simplePos x="0" y="0"/>
                <wp:positionH relativeFrom="column">
                  <wp:posOffset>-294005</wp:posOffset>
                </wp:positionH>
                <wp:positionV relativeFrom="paragraph">
                  <wp:posOffset>7985760</wp:posOffset>
                </wp:positionV>
                <wp:extent cx="962025" cy="523875"/>
                <wp:effectExtent l="4445" t="4445" r="5080" b="5080"/>
                <wp:wrapNone/>
                <wp:docPr id="5" name="文本框 5"/>
                <wp:cNvGraphicFramePr/>
                <a:graphic xmlns:a="http://schemas.openxmlformats.org/drawingml/2006/main">
                  <a:graphicData uri="http://schemas.microsoft.com/office/word/2010/wordprocessingShape">
                    <wps:wsp>
                      <wps:cNvSpPr txBox="1"/>
                      <wps:spPr>
                        <a:xfrm>
                          <a:off x="0" y="0"/>
                          <a:ext cx="962025" cy="52387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23.15pt;margin-top:628.8pt;height:41.25pt;width:75.75pt;z-index:251661312;mso-width-relative:page;mso-height-relative:page;" fillcolor="#FFFFFF" filled="t" stroked="t" coordsize="21600,21600" o:gfxdata="UEsDBAoAAAAAAIdO4kAAAAAAAAAAAAAAAAAEAAAAZHJzL1BLAwQUAAAACACHTuJAH1iRMdoAAAAN&#10;AQAADwAAAGRycy9kb3ducmV2LnhtbE2PwU7DMAyG70i8Q2QkLmhL2m0FlaYTmkCcN7hwyxqvrWic&#10;tsnWjafHO8HN1v/p9+difXadOOEYWk8akrkCgVR521Kt4fPjbfYEIkRD1nSeUMMFA6zL25vC5NZP&#10;tMXTLtaCSyjkRkMTY59LGaoGnQlz3yNxdvCjM5HXsZZ2NBOXu06mSmXSmZb4QmN63DRYfe+OToOf&#10;Xi/O46DSh68f9755GbaHdND6/i5RzyAinuMfDFd9VoeSnfb+SDaITsNsmS0Y5SBdPWYgrohapSD2&#10;PCyWKgFZFvL/F+UvUEsDBBQAAAAIAIdO4kAMoC66CgIAAEMEAAAOAAAAZHJzL2Uyb0RvYy54bWyt&#10;U0uOEzEQ3SNxB8t70pmgDEOUzkgQwgYB0sABHLu625J/cjnpzgXgBqzYsOdcOQdldybMDJssyKJT&#10;tsuv3ntVXt4O1rA9RNTe1fxqMuUMnPRKu7bmX79sXtxwhkk4JYx3UPMDIL9dPX+27MMCZr7zRkFk&#10;BOJw0YeadymFRVWh7MAKnPgAjg4bH61ItIxtpaLoCd2aajadXle9jypELwGRdtfjIT8hxksAfdNo&#10;CWsvdxZcGlEjGJFIEnY6IF8Vtk0DMn1qGoTETM1JaSpfKkLxNn+r1VIs2ihCp+WJgriEwhNNVmhH&#10;Rc9Qa5EE20X9D5TVMnr0TZpIb6tRSHGEVFxNn3hz14kARQtZjeFsOv4/WPlx/zkyrWo+58wJSw0/&#10;/vh+/Pn7+Osbm2d7+oALyroLlJeGN36gobnfR9rMqocm2vxPehidk7mHs7kwJCZp8/X1bDqjIpKO&#10;5rOXN68KevX3coiY3oO3LAc1j9S7YqnYf8BERCj1PiXXQm+02mhjyiK227cmsr2gPm/KL3OkK4/S&#10;jGM9MZkXHoKGt6GhIUo2kAHo2lLv0Q28DDgTWwvsRgIFYRwtqxPEMmQdCPXOKZYOgUx29LZ4JmNB&#10;cWaAnmKOSmYS2lySSeqMy+qhDPrJpdyvsS85SsN2INAcbr06UA93Ieq2I4NLF6t8QrNVvDq9gzy8&#10;D9cUP3z7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fWJEx2gAAAA0BAAAPAAAAAAAAAAEAIAAA&#10;ACIAAABkcnMvZG93bnJldi54bWxQSwECFAAUAAAACACHTuJADKAuugoCAABDBAAADgAAAAAAAAAB&#10;ACAAAAApAQAAZHJzL2Uyb0RvYy54bWxQSwUGAAAAAAYABgBZAQAApQUAAAAA&#10;">
                <v:fill on="t" focussize="0,0"/>
                <v:stroke color="#FFFFFF" joinstyle="miter"/>
                <v:imagedata o:title=""/>
                <o:lock v:ext="edit" aspectratio="f"/>
                <v:textbox>
                  <w:txbxContent>
                    <w:p/>
                  </w:txbxContent>
                </v:textbox>
              </v:shape>
            </w:pict>
          </mc:Fallback>
        </mc:AlternateContent>
      </w:r>
    </w:p>
    <w:sectPr>
      <w:footerReference r:id="rId5" w:type="default"/>
      <w:footerReference r:id="rId6" w:type="even"/>
      <w:pgSz w:w="11906" w:h="16838"/>
      <w:pgMar w:top="1134" w:right="1474" w:bottom="1440" w:left="1474"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6DD39B3-9A5B-4B40-9945-68B777855D1A}"/>
  </w:font>
  <w:font w:name="Arial">
    <w:panose1 w:val="020B0604020202020204"/>
    <w:charset w:val="01"/>
    <w:family w:val="swiss"/>
    <w:pitch w:val="default"/>
    <w:sig w:usb0="E0002EFF" w:usb1="C000785B" w:usb2="00000009" w:usb3="00000000" w:csb0="400001FF" w:csb1="FFFF0000"/>
    <w:embedRegular r:id="rId2" w:fontKey="{1CDD22E4-9497-435C-AABB-63FB52FD339D}"/>
  </w:font>
  <w:font w:name="黑体">
    <w:panose1 w:val="02010609060101010101"/>
    <w:charset w:val="86"/>
    <w:family w:val="auto"/>
    <w:pitch w:val="default"/>
    <w:sig w:usb0="800002BF" w:usb1="38CF7CFA" w:usb2="00000016" w:usb3="00000000" w:csb0="00040001" w:csb1="00000000"/>
    <w:embedRegular r:id="rId3" w:fontKey="{475F43E6-E7CE-459E-AD57-2AD91B75CF66}"/>
  </w:font>
  <w:font w:name="Courier New">
    <w:panose1 w:val="02070309020205020404"/>
    <w:charset w:val="01"/>
    <w:family w:val="modern"/>
    <w:pitch w:val="default"/>
    <w:sig w:usb0="E0002EFF" w:usb1="C0007843" w:usb2="00000009" w:usb3="00000000" w:csb0="400001FF" w:csb1="FFFF0000"/>
    <w:embedRegular r:id="rId4" w:fontKey="{37A94D13-2F2B-4FFE-9809-DC2D2358E6F7}"/>
  </w:font>
  <w:font w:name="Symbol">
    <w:panose1 w:val="05050102010706020507"/>
    <w:charset w:val="02"/>
    <w:family w:val="roman"/>
    <w:pitch w:val="default"/>
    <w:sig w:usb0="00000000" w:usb1="00000000" w:usb2="00000000" w:usb3="00000000" w:csb0="80000000" w:csb1="00000000"/>
    <w:embedRegular r:id="rId5" w:fontKey="{0A6D76D5-0A42-4ED3-866E-72C7BA55A121}"/>
  </w:font>
  <w:font w:name="Calibri">
    <w:panose1 w:val="020F0502020204030204"/>
    <w:charset w:val="00"/>
    <w:family w:val="swiss"/>
    <w:pitch w:val="default"/>
    <w:sig w:usb0="E4002EFF" w:usb1="C000247B" w:usb2="00000009" w:usb3="00000000" w:csb0="200001FF" w:csb1="00000000"/>
    <w:embedRegular r:id="rId6" w:fontKey="{ABA25E95-B330-4968-B8B2-7D6B970E58C3}"/>
  </w:font>
  <w:font w:name="仿宋_GB2312">
    <w:panose1 w:val="02010609030101010101"/>
    <w:charset w:val="86"/>
    <w:family w:val="modern"/>
    <w:pitch w:val="default"/>
    <w:sig w:usb0="00000001" w:usb1="080E0000" w:usb2="00000000" w:usb3="00000000" w:csb0="00040000" w:csb1="00000000"/>
    <w:embedRegular r:id="rId7" w:fontKey="{8F92A98F-5085-43BB-88AB-5E561DA7D2AF}"/>
  </w:font>
  <w:font w:name="华文中宋">
    <w:panose1 w:val="02010600040101010101"/>
    <w:charset w:val="86"/>
    <w:family w:val="auto"/>
    <w:pitch w:val="default"/>
    <w:sig w:usb0="00000287" w:usb1="080F0000" w:usb2="00000000" w:usb3="00000000" w:csb0="0004009F" w:csb1="DFD70000"/>
    <w:embedRegular r:id="rId8" w:fontKey="{F140E7C1-6364-4B9D-8B4B-567D3C8343E3}"/>
  </w:font>
  <w:font w:name="方正小标宋简体">
    <w:panose1 w:val="03000509000000000000"/>
    <w:charset w:val="86"/>
    <w:family w:val="auto"/>
    <w:pitch w:val="default"/>
    <w:sig w:usb0="00000001" w:usb1="080E0000" w:usb2="00000000" w:usb3="00000000" w:csb0="00040000" w:csb1="00000000"/>
    <w:embedRegular r:id="rId9" w:fontKey="{067C2E3E-343D-4DA4-9CBE-E262FDBB1F4D}"/>
  </w:font>
  <w:font w:name="楷体_GB2312">
    <w:panose1 w:val="02010609030101010101"/>
    <w:charset w:val="86"/>
    <w:family w:val="auto"/>
    <w:pitch w:val="default"/>
    <w:sig w:usb0="00000001" w:usb1="080E0000" w:usb2="00000000" w:usb3="00000000" w:csb0="00040000" w:csb1="00000000"/>
    <w:embedRegular r:id="rId10" w:fontKey="{9CAB4A21-4C25-49DC-890F-18CC84A14D78}"/>
  </w:font>
  <w:font w:name="仿宋">
    <w:panose1 w:val="02010609060101010101"/>
    <w:charset w:val="86"/>
    <w:family w:val="auto"/>
    <w:pitch w:val="default"/>
    <w:sig w:usb0="800002BF" w:usb1="38CF7CFA" w:usb2="00000016" w:usb3="00000000" w:csb0="00040001" w:csb1="00000000"/>
    <w:embedRegular r:id="rId11" w:fontKey="{701330A7-40FB-4A8E-AE9A-C673519161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- 1 -</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- 1 -</w:t>
                    </w:r>
                    <w:r>
                      <w:rPr>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6"/>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2</w:t>
                    </w:r>
                    <w:r>
                      <w:rPr>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evenAndOddHeaders w:val="1"/>
  <w:drawingGridHorizontalSpacing w:val="158"/>
  <w:drawingGridVerticalSpacing w:val="298"/>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yODMyYTU4ZjJhMGU2YTBjYjkyZWExMzVhNGM3ZDYifQ=="/>
  </w:docVars>
  <w:rsids>
    <w:rsidRoot w:val="59B12640"/>
    <w:rsid w:val="035717DD"/>
    <w:rsid w:val="03941933"/>
    <w:rsid w:val="03CB1F51"/>
    <w:rsid w:val="0A075AAB"/>
    <w:rsid w:val="16F822DF"/>
    <w:rsid w:val="177764D7"/>
    <w:rsid w:val="1B836D49"/>
    <w:rsid w:val="1BDB03E9"/>
    <w:rsid w:val="1E5D0644"/>
    <w:rsid w:val="1F9D656B"/>
    <w:rsid w:val="1FA45952"/>
    <w:rsid w:val="21091507"/>
    <w:rsid w:val="24575262"/>
    <w:rsid w:val="28461C9C"/>
    <w:rsid w:val="299172A8"/>
    <w:rsid w:val="2A070FB7"/>
    <w:rsid w:val="37484CB0"/>
    <w:rsid w:val="3A833A15"/>
    <w:rsid w:val="3D3B696F"/>
    <w:rsid w:val="3DE310EF"/>
    <w:rsid w:val="415B3DCF"/>
    <w:rsid w:val="42400307"/>
    <w:rsid w:val="4285455F"/>
    <w:rsid w:val="46603A9B"/>
    <w:rsid w:val="47C44BBE"/>
    <w:rsid w:val="48522F36"/>
    <w:rsid w:val="48634D0A"/>
    <w:rsid w:val="4B0873A1"/>
    <w:rsid w:val="4B201A81"/>
    <w:rsid w:val="4E251ABD"/>
    <w:rsid w:val="4EA74993"/>
    <w:rsid w:val="556E3292"/>
    <w:rsid w:val="58785C5C"/>
    <w:rsid w:val="59B12640"/>
    <w:rsid w:val="5AA0484E"/>
    <w:rsid w:val="5F11698F"/>
    <w:rsid w:val="5F335DCF"/>
    <w:rsid w:val="5F9C17C5"/>
    <w:rsid w:val="5FEC5FF5"/>
    <w:rsid w:val="61923785"/>
    <w:rsid w:val="653E132E"/>
    <w:rsid w:val="65B36BA0"/>
    <w:rsid w:val="68320F9A"/>
    <w:rsid w:val="6BD35754"/>
    <w:rsid w:val="6CEB7CE9"/>
    <w:rsid w:val="6D653C0E"/>
    <w:rsid w:val="6E776F5D"/>
    <w:rsid w:val="74230DF7"/>
    <w:rsid w:val="74B542D0"/>
    <w:rsid w:val="776668EA"/>
    <w:rsid w:val="7A4439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zh-CN" w:eastAsia="zh-CN" w:bidi="zh-CN"/>
    </w:rPr>
  </w:style>
  <w:style w:type="paragraph" w:styleId="3">
    <w:name w:val="heading 1"/>
    <w:basedOn w:val="1"/>
    <w:next w:val="1"/>
    <w:qFormat/>
    <w:uiPriority w:val="0"/>
    <w:pPr>
      <w:autoSpaceDE w:val="0"/>
      <w:autoSpaceDN w:val="0"/>
      <w:spacing w:before="102"/>
      <w:ind w:left="77" w:right="354"/>
      <w:jc w:val="center"/>
      <w:outlineLvl w:val="0"/>
    </w:pPr>
    <w:rPr>
      <w:rFonts w:ascii="宋体" w:hAnsi="宋体" w:cs="宋体"/>
      <w:kern w:val="0"/>
      <w:sz w:val="44"/>
      <w:szCs w:val="44"/>
      <w:lang w:val="zh-CN"/>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customStyle="1" w:styleId="2">
    <w:name w:val="标书正文1"/>
    <w:basedOn w:val="1"/>
    <w:qFormat/>
    <w:uiPriority w:val="99"/>
    <w:pPr>
      <w:tabs>
        <w:tab w:val="left" w:pos="5730"/>
        <w:tab w:val="left" w:pos="8280"/>
      </w:tabs>
      <w:adjustRightInd w:val="0"/>
      <w:snapToGrid w:val="0"/>
      <w:spacing w:line="360" w:lineRule="auto"/>
      <w:ind w:firstLine="480" w:firstLineChars="200"/>
    </w:pPr>
    <w:rPr>
      <w:rFonts w:ascii="宋体" w:hAnsi="宋体"/>
      <w:kern w:val="28"/>
      <w:sz w:val="24"/>
    </w:rPr>
  </w:style>
  <w:style w:type="paragraph" w:styleId="4">
    <w:name w:val="Body Text"/>
    <w:basedOn w:val="1"/>
    <w:qFormat/>
    <w:uiPriority w:val="1"/>
    <w:rPr>
      <w:rFonts w:ascii="仿宋_GB2312" w:hAnsi="仿宋_GB2312" w:eastAsia="仿宋_GB2312" w:cs="仿宋_GB2312"/>
      <w:sz w:val="32"/>
      <w:szCs w:val="32"/>
      <w:lang w:val="zh-CN" w:eastAsia="zh-CN" w:bidi="zh-CN"/>
    </w:rPr>
  </w:style>
  <w:style w:type="paragraph" w:styleId="5">
    <w:name w:val="Body Text Indent 2"/>
    <w:basedOn w:val="1"/>
    <w:qFormat/>
    <w:uiPriority w:val="0"/>
    <w:pPr>
      <w:spacing w:line="540" w:lineRule="exact"/>
      <w:ind w:firstLine="850" w:firstLineChars="250"/>
    </w:pPr>
    <w:rPr>
      <w:rFonts w:ascii="仿宋_GB2312" w:eastAsia="仿宋_GB2312"/>
      <w:spacing w:val="20"/>
      <w:sz w:val="30"/>
      <w:szCs w:val="3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2233</Words>
  <Characters>2268</Characters>
  <Lines>0</Lines>
  <Paragraphs>0</Paragraphs>
  <TotalTime>21</TotalTime>
  <ScaleCrop>false</ScaleCrop>
  <LinksUpToDate>false</LinksUpToDate>
  <CharactersWithSpaces>2270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2022-06-07T06:10:00Z</dcterms:created>
  <dc:creator>Jeneparspas</dc:creator>
  <cp:lastModifiedBy>WPS_1639529024</cp:lastModifiedBy>
  <cp:lastPrinted>2022-11-28T07:39:00Z</cp:lastPrinted>
  <dcterms:modified xsi:type="dcterms:W3CDTF">2023-08-29T02:19:00Z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KSOSaveFontToCloudKey">
    <vt:lpwstr>730067957_embed</vt:lpwstr>
  </property>
  <property fmtid="{D5CDD505-2E9C-101B-9397-08002B2CF9AE}" pid="4" name="ICV">
    <vt:lpwstr>B9685E2758224C72B7DA4BE6EE806453_13</vt:lpwstr>
  </property>
</Properties>
</file>