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1" w:lineRule="auto"/>
        <w:rPr>
          <w:rFonts w:ascii="Arial"/>
          <w:sz w:val="21"/>
        </w:rPr>
      </w:pPr>
    </w:p>
    <w:p>
      <w:pPr>
        <w:spacing w:before="78" w:line="188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1"/>
          <w:sz w:val="27"/>
          <w:szCs w:val="27"/>
        </w:rPr>
        <w:t>ZQDR-2023-0030001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504" w:line="219" w:lineRule="auto"/>
        <w:ind w:left="298"/>
        <w:rPr>
          <w:rFonts w:ascii="宋体" w:hAnsi="宋体" w:eastAsia="宋体" w:cs="宋体"/>
          <w:sz w:val="155"/>
          <w:szCs w:val="155"/>
        </w:rPr>
      </w:pPr>
      <w:r>
        <w:rPr>
          <w:rFonts w:ascii="宋体" w:hAnsi="宋体" w:eastAsia="宋体" w:cs="宋体"/>
          <w:b/>
          <w:bCs/>
          <w:color w:val="F60000"/>
          <w:spacing w:val="-62"/>
          <w:w w:val="40"/>
          <w:sz w:val="155"/>
          <w:szCs w:val="155"/>
        </w:rPr>
        <w:t>济南市章丘区发展和改革局文件</w:t>
      </w:r>
    </w:p>
    <w:p>
      <w:pPr>
        <w:spacing w:before="260" w:line="222" w:lineRule="auto"/>
        <w:ind w:left="29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章发改字〔2023〕75号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60" w:lineRule="exact"/>
        <w:ind w:firstLine="10"/>
        <w:textAlignment w:val="center"/>
      </w:pPr>
      <w:r>
        <w:drawing>
          <wp:inline distT="0" distB="0" distL="0" distR="0">
            <wp:extent cx="5575300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5321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3" w:lineRule="auto"/>
        <w:rPr>
          <w:rFonts w:ascii="Arial"/>
          <w:sz w:val="21"/>
        </w:rPr>
      </w:pPr>
    </w:p>
    <w:p>
      <w:pPr>
        <w:spacing w:before="143" w:line="590" w:lineRule="exact"/>
        <w:ind w:left="1846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2"/>
          <w:position w:val="10"/>
          <w:sz w:val="44"/>
          <w:szCs w:val="44"/>
        </w:rPr>
        <w:t>关于“亩产效益”评价企业</w:t>
      </w:r>
    </w:p>
    <w:p>
      <w:pPr>
        <w:spacing w:before="2" w:line="217" w:lineRule="auto"/>
        <w:ind w:left="22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差别化价格政策的通知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100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各有关企业：</w:t>
      </w:r>
    </w:p>
    <w:p>
      <w:pPr>
        <w:spacing w:before="225" w:line="358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为进一步促进我区新旧动能转换和经济高质量发展，根据《国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家发展改革委关于创新和完善促进绿色发展价格机制的意见》(发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改价格规〔2018〕943号)、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《山东省政府关于开展“亩产效益”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评价改革工作的指导意见》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(鲁政字〔2019〕235号)、</w:t>
      </w:r>
      <w:r>
        <w:rPr>
          <w:rFonts w:ascii="仿宋" w:hAnsi="仿宋" w:eastAsia="仿宋" w:cs="仿宋"/>
          <w:spacing w:val="1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《山东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省发展改革委关于“亩产效益”评价企业差别化价格政</w:t>
      </w:r>
      <w:r>
        <w:rPr>
          <w:rFonts w:ascii="仿宋" w:hAnsi="仿宋" w:eastAsia="仿宋" w:cs="仿宋"/>
          <w:spacing w:val="9"/>
          <w:sz w:val="31"/>
          <w:szCs w:val="31"/>
        </w:rPr>
        <w:t>策有关事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项的通知》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(鲁发改价格〔2022〕56号)、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《济南市发展改革委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关于"亩产效益"评价企业差别化价格政策有关事</w:t>
      </w:r>
      <w:r>
        <w:rPr>
          <w:rFonts w:ascii="仿宋" w:hAnsi="仿宋" w:eastAsia="仿宋" w:cs="仿宋"/>
          <w:spacing w:val="14"/>
          <w:sz w:val="31"/>
          <w:szCs w:val="31"/>
        </w:rPr>
        <w:t>项的通知》(济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发改价格〔2023〕188号)等文件规定，决</w:t>
      </w:r>
      <w:r>
        <w:rPr>
          <w:rFonts w:ascii="仿宋" w:hAnsi="仿宋" w:eastAsia="仿宋" w:cs="仿宋"/>
          <w:spacing w:val="18"/>
          <w:sz w:val="31"/>
          <w:szCs w:val="31"/>
        </w:rPr>
        <w:t>定对“亩产效益”评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价企业实行差别化价格政策。现将有关事项通知如下：</w:t>
      </w:r>
    </w:p>
    <w:p>
      <w:pPr>
        <w:spacing w:before="237" w:line="222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一</w:t>
      </w:r>
      <w:r>
        <w:rPr>
          <w:rFonts w:ascii="黑体" w:hAnsi="黑体" w:eastAsia="黑体" w:cs="黑体"/>
          <w:spacing w:val="-7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、实施范围</w:t>
      </w:r>
    </w:p>
    <w:p>
      <w:pPr>
        <w:sectPr>
          <w:footerReference r:id="rId5" w:type="default"/>
          <w:pgSz w:w="11920" w:h="16840"/>
          <w:pgMar w:top="1431" w:right="1275" w:bottom="1227" w:left="1479" w:header="0" w:footer="1018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4" w:line="583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19"/>
          <w:sz w:val="32"/>
          <w:szCs w:val="32"/>
        </w:rPr>
        <w:t>章丘区有关部门公布的“亩产效益”评价改革被列入D</w:t>
      </w:r>
      <w:r>
        <w:rPr>
          <w:rFonts w:ascii="仿宋" w:hAnsi="仿宋" w:eastAsia="仿宋" w:cs="仿宋"/>
          <w:spacing w:val="-31"/>
          <w:position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position w:val="19"/>
          <w:sz w:val="32"/>
          <w:szCs w:val="32"/>
        </w:rPr>
        <w:t>类(限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制发展类，下同)的企业。</w:t>
      </w:r>
    </w:p>
    <w:p>
      <w:pPr>
        <w:spacing w:before="213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二、</w:t>
      </w:r>
      <w:r>
        <w:rPr>
          <w:rFonts w:ascii="黑体" w:hAnsi="黑体" w:eastAsia="黑体" w:cs="黑体"/>
          <w:spacing w:val="-6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差别化价格标准</w:t>
      </w:r>
    </w:p>
    <w:p>
      <w:pPr>
        <w:spacing w:before="227" w:line="231" w:lineRule="auto"/>
        <w:ind w:left="79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8"/>
          <w:sz w:val="32"/>
          <w:szCs w:val="32"/>
        </w:rPr>
        <w:t>(一)差别化电价</w:t>
      </w:r>
    </w:p>
    <w:p>
      <w:pPr>
        <w:spacing w:before="191" w:line="567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8"/>
          <w:sz w:val="32"/>
          <w:szCs w:val="32"/>
        </w:rPr>
        <w:t>差别化电价标准由国网章丘供电公司按照省发展改革委规定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的差别化用电价格政策执行。</w:t>
      </w:r>
    </w:p>
    <w:p>
      <w:pPr>
        <w:spacing w:before="214" w:line="223" w:lineRule="auto"/>
        <w:ind w:left="79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(二)差别化水价、管道天然气价格</w:t>
      </w:r>
    </w:p>
    <w:p>
      <w:pPr>
        <w:spacing w:before="209" w:line="600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20"/>
          <w:sz w:val="32"/>
          <w:szCs w:val="32"/>
        </w:rPr>
        <w:t>1.对区域内“亩产效益”评价改革列入D</w:t>
      </w:r>
      <w:r>
        <w:rPr>
          <w:rFonts w:ascii="仿宋" w:hAnsi="仿宋" w:eastAsia="仿宋" w:cs="仿宋"/>
          <w:spacing w:val="-52"/>
          <w:position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position w:val="20"/>
          <w:sz w:val="32"/>
          <w:szCs w:val="32"/>
        </w:rPr>
        <w:t>类的企业，差别化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水价按定额(计划)水价3倍标准收取。</w:t>
      </w:r>
    </w:p>
    <w:p>
      <w:pPr>
        <w:spacing w:before="216" w:line="347" w:lineRule="auto"/>
        <w:ind w:right="47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2.对区域内“亩产效益”评价改革列入D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类的企业，用气价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格实行年度递增加价政策，即：第一年列入D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类的，用气价格在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现行结算价格基础上每立方米加价1元；连续两年列入D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类的，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每立方米加价2元；连续三年及以上列入D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类的，每立方米加价</w:t>
      </w:r>
    </w:p>
    <w:p>
      <w:pPr>
        <w:spacing w:before="2" w:line="226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3元。</w:t>
      </w:r>
    </w:p>
    <w:p>
      <w:pPr>
        <w:spacing w:before="205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三、</w:t>
      </w:r>
      <w:r>
        <w:rPr>
          <w:rFonts w:ascii="黑体" w:hAnsi="黑体" w:eastAsia="黑体" w:cs="黑体"/>
          <w:spacing w:val="-7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其他事项</w:t>
      </w:r>
    </w:p>
    <w:p>
      <w:pPr>
        <w:spacing w:before="221" w:line="345" w:lineRule="auto"/>
        <w:ind w:right="49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(一)差别化电价、水价、气价政策以年度为周期，供电、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供水、供气企业根据章丘区有关部门公布的企业评价结果，自次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月起执行差别化电价、水价、管道天然气价格。</w:t>
      </w:r>
    </w:p>
    <w:p>
      <w:pPr>
        <w:spacing w:before="216" w:line="346" w:lineRule="auto"/>
        <w:ind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(二)根据省发展改革委等9部门联合印发的《关于深化水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价改革促进水资源集约节约利用的实施方案》(鲁发改价格</w:t>
      </w:r>
      <w:r>
        <w:rPr>
          <w:rFonts w:ascii="仿宋" w:hAnsi="仿宋" w:eastAsia="仿宋" w:cs="仿宋"/>
          <w:spacing w:val="-3"/>
          <w:sz w:val="32"/>
          <w:szCs w:val="32"/>
        </w:rPr>
        <w:t>(2021)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1059号)及济南市发展改革委等7部门联合印发的《关于印发&lt;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济南市深化水价机制改革促进水资源节约集约利</w:t>
      </w:r>
      <w:r>
        <w:rPr>
          <w:rFonts w:ascii="仿宋" w:hAnsi="仿宋" w:eastAsia="仿宋" w:cs="仿宋"/>
          <w:sz w:val="32"/>
          <w:szCs w:val="32"/>
        </w:rPr>
        <w:t>用工作方案&gt;的</w:t>
      </w:r>
    </w:p>
    <w:p>
      <w:pPr>
        <w:sectPr>
          <w:footerReference r:id="rId6" w:type="default"/>
          <w:pgSz w:w="12130" w:h="16990"/>
          <w:pgMar w:top="1444" w:right="1589" w:bottom="1348" w:left="1490" w:header="0" w:footer="1209" w:gutter="0"/>
          <w:cols w:space="720" w:num="1"/>
        </w:sectPr>
      </w:pPr>
    </w:p>
    <w:p>
      <w:pPr>
        <w:spacing w:before="316" w:line="59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position w:val="21"/>
          <w:sz w:val="30"/>
          <w:szCs w:val="30"/>
        </w:rPr>
        <w:t>通知》</w:t>
      </w:r>
      <w:r>
        <w:rPr>
          <w:rFonts w:ascii="仿宋" w:hAnsi="仿宋" w:eastAsia="仿宋" w:cs="仿宋"/>
          <w:spacing w:val="14"/>
          <w:position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6"/>
          <w:position w:val="21"/>
          <w:sz w:val="30"/>
          <w:szCs w:val="30"/>
        </w:rPr>
        <w:t>(济发改价格(2022)193</w:t>
      </w:r>
      <w:r>
        <w:rPr>
          <w:rFonts w:ascii="仿宋" w:hAnsi="仿宋" w:eastAsia="仿宋" w:cs="仿宋"/>
          <w:spacing w:val="41"/>
          <w:position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position w:val="21"/>
          <w:sz w:val="30"/>
          <w:szCs w:val="30"/>
        </w:rPr>
        <w:t>号)文件</w:t>
      </w:r>
      <w:r>
        <w:rPr>
          <w:rFonts w:ascii="仿宋" w:hAnsi="仿宋" w:eastAsia="仿宋" w:cs="仿宋"/>
          <w:spacing w:val="25"/>
          <w:position w:val="21"/>
          <w:sz w:val="30"/>
          <w:szCs w:val="30"/>
        </w:rPr>
        <w:t>要求，淘汰类、限制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类企业执行“亩产效益”评价D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类的企业差别化</w:t>
      </w:r>
      <w:r>
        <w:rPr>
          <w:rFonts w:ascii="仿宋" w:hAnsi="仿宋" w:eastAsia="仿宋" w:cs="仿宋"/>
          <w:spacing w:val="19"/>
          <w:sz w:val="30"/>
          <w:szCs w:val="30"/>
        </w:rPr>
        <w:t>水价政策。</w:t>
      </w:r>
    </w:p>
    <w:p>
      <w:pPr>
        <w:spacing w:before="240" w:line="221" w:lineRule="auto"/>
        <w:ind w:left="7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5"/>
          <w:sz w:val="30"/>
          <w:szCs w:val="30"/>
        </w:rPr>
        <w:t>(三)本通知自2023年9月1日起执行，有效期至2028年</w:t>
      </w:r>
    </w:p>
    <w:p>
      <w:pPr>
        <w:spacing w:before="204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0"/>
          <w:sz w:val="30"/>
          <w:szCs w:val="30"/>
        </w:rPr>
        <w:t>8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0"/>
          <w:sz w:val="30"/>
          <w:szCs w:val="30"/>
        </w:rPr>
        <w:t>月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0"/>
          <w:sz w:val="30"/>
          <w:szCs w:val="30"/>
        </w:rPr>
        <w:t>3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0"/>
          <w:sz w:val="30"/>
          <w:szCs w:val="30"/>
        </w:rPr>
        <w:t>1</w:t>
      </w:r>
      <w:r>
        <w:rPr>
          <w:rFonts w:ascii="仿宋" w:hAnsi="仿宋" w:eastAsia="仿宋" w:cs="仿宋"/>
          <w:spacing w:val="-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0"/>
          <w:sz w:val="30"/>
          <w:szCs w:val="30"/>
        </w:rPr>
        <w:t>日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0"/>
          <w:sz w:val="30"/>
          <w:szCs w:val="30"/>
        </w:rPr>
        <w:t>。</w:t>
      </w:r>
    </w:p>
    <w:bookmarkEnd w:id="0"/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8" w:line="219" w:lineRule="auto"/>
        <w:ind w:left="4570"/>
        <w:rPr>
          <w:rFonts w:ascii="宋体" w:hAnsi="宋体" w:eastAsia="宋体" w:cs="宋体"/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-534670</wp:posOffset>
            </wp:positionV>
            <wp:extent cx="1562100" cy="15430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2055" cy="1543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7"/>
          <w:sz w:val="30"/>
          <w:szCs w:val="30"/>
        </w:rPr>
        <w:t>济南市章丘区发展和改革局</w:t>
      </w:r>
    </w:p>
    <w:p>
      <w:pPr>
        <w:spacing w:before="256" w:line="219" w:lineRule="auto"/>
        <w:ind w:left="526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6"/>
          <w:sz w:val="30"/>
          <w:szCs w:val="30"/>
        </w:rPr>
        <w:t>2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0</w:t>
      </w:r>
      <w:r>
        <w:rPr>
          <w:rFonts w:ascii="宋体" w:hAnsi="宋体" w:eastAsia="宋体" w:cs="宋体"/>
          <w:spacing w:val="-6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2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3</w:t>
      </w:r>
      <w:r>
        <w:rPr>
          <w:rFonts w:ascii="宋体" w:hAnsi="宋体" w:eastAsia="宋体" w:cs="宋体"/>
          <w:spacing w:val="-6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年</w:t>
      </w:r>
      <w:r>
        <w:rPr>
          <w:rFonts w:ascii="宋体" w:hAnsi="宋体" w:eastAsia="宋体" w:cs="宋体"/>
          <w:spacing w:val="-6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8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月</w:t>
      </w:r>
      <w:r>
        <w:rPr>
          <w:rFonts w:ascii="宋体" w:hAnsi="宋体" w:eastAsia="宋体" w:cs="宋体"/>
          <w:spacing w:val="-4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1</w:t>
      </w:r>
      <w:r>
        <w:rPr>
          <w:rFonts w:ascii="宋体" w:hAnsi="宋体" w:eastAsia="宋体" w:cs="宋体"/>
          <w:spacing w:val="-6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0 日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8" w:line="222" w:lineRule="auto"/>
        <w:ind w:left="29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5"/>
          <w:sz w:val="30"/>
          <w:szCs w:val="30"/>
        </w:rPr>
        <w:t>政府信息公开选项：主动公开</w:t>
      </w:r>
    </w:p>
    <w:p>
      <w:pPr>
        <w:spacing w:before="73" w:line="20" w:lineRule="exact"/>
        <w:ind w:firstLine="10"/>
        <w:textAlignment w:val="center"/>
      </w:pPr>
      <w:r>
        <w:drawing>
          <wp:inline distT="0" distB="0" distL="0" distR="0">
            <wp:extent cx="5759450" cy="127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79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8" w:line="603" w:lineRule="exact"/>
        <w:ind w:left="2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position w:val="23"/>
          <w:sz w:val="29"/>
          <w:szCs w:val="29"/>
        </w:rPr>
        <w:t>抄送：济南市发展改革委，区财政局，区市场监督管理局，区工信</w:t>
      </w:r>
    </w:p>
    <w:p>
      <w:pPr>
        <w:spacing w:line="193" w:lineRule="auto"/>
        <w:ind w:left="2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1"/>
          <w:sz w:val="29"/>
          <w:szCs w:val="29"/>
        </w:rPr>
        <w:t>局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1"/>
          <w:sz w:val="29"/>
          <w:szCs w:val="29"/>
        </w:rPr>
        <w:t>，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1"/>
          <w:sz w:val="29"/>
          <w:szCs w:val="29"/>
        </w:rPr>
        <w:t>区</w:t>
      </w:r>
      <w:r>
        <w:rPr>
          <w:rFonts w:ascii="仿宋" w:hAnsi="仿宋" w:eastAsia="仿宋" w:cs="仿宋"/>
          <w:spacing w:val="-2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1"/>
          <w:sz w:val="29"/>
          <w:szCs w:val="29"/>
        </w:rPr>
        <w:t>水</w:t>
      </w:r>
      <w:r>
        <w:rPr>
          <w:rFonts w:ascii="仿宋" w:hAnsi="仿宋" w:eastAsia="仿宋" w:cs="仿宋"/>
          <w:spacing w:val="-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1"/>
          <w:sz w:val="29"/>
          <w:szCs w:val="29"/>
        </w:rPr>
        <w:t>务</w:t>
      </w:r>
      <w:r>
        <w:rPr>
          <w:rFonts w:ascii="仿宋" w:hAnsi="仿宋" w:eastAsia="仿宋" w:cs="仿宋"/>
          <w:spacing w:val="-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1"/>
          <w:sz w:val="29"/>
          <w:szCs w:val="29"/>
        </w:rPr>
        <w:t>局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1"/>
          <w:sz w:val="29"/>
          <w:szCs w:val="29"/>
        </w:rPr>
        <w:t>，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1"/>
          <w:sz w:val="29"/>
          <w:szCs w:val="29"/>
        </w:rPr>
        <w:t>区</w:t>
      </w:r>
      <w:r>
        <w:rPr>
          <w:rFonts w:ascii="仿宋" w:hAnsi="仿宋" w:eastAsia="仿宋" w:cs="仿宋"/>
          <w:spacing w:val="-1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1"/>
          <w:sz w:val="29"/>
          <w:szCs w:val="29"/>
        </w:rPr>
        <w:t>住</w:t>
      </w:r>
      <w:r>
        <w:rPr>
          <w:rFonts w:ascii="仿宋" w:hAnsi="仿宋" w:eastAsia="仿宋" w:cs="仿宋"/>
          <w:spacing w:val="-1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1"/>
          <w:sz w:val="29"/>
          <w:szCs w:val="29"/>
        </w:rPr>
        <w:t>建</w:t>
      </w:r>
      <w:r>
        <w:rPr>
          <w:rFonts w:ascii="仿宋" w:hAnsi="仿宋" w:eastAsia="仿宋" w:cs="仿宋"/>
          <w:spacing w:val="-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1"/>
          <w:sz w:val="29"/>
          <w:szCs w:val="29"/>
        </w:rPr>
        <w:t>局</w:t>
      </w:r>
    </w:p>
    <w:tbl>
      <w:tblPr>
        <w:tblStyle w:val="4"/>
        <w:tblW w:w="9009" w:type="dxa"/>
        <w:tblInd w:w="2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8"/>
        <w:gridCol w:w="3921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088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>
            <w:pPr>
              <w:spacing w:before="297" w:line="221" w:lineRule="auto"/>
              <w:ind w:left="26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济南市章丘区发展和改革局</w:t>
            </w:r>
          </w:p>
        </w:tc>
        <w:tc>
          <w:tcPr>
            <w:tcW w:w="3921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>
            <w:pPr>
              <w:spacing w:before="297" w:line="222" w:lineRule="auto"/>
              <w:ind w:right="1"/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29"/>
                <w:sz w:val="30"/>
                <w:szCs w:val="30"/>
              </w:rPr>
              <w:t>2023年8月10日印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20" w:h="16840"/>
      <w:pgMar w:top="1431" w:right="1629" w:bottom="1308" w:left="1209" w:header="0" w:footer="11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4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45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3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AE0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2023-10-20T15:54:00Z</dcterms:created>
  <dc:creator>Kingsoft-PDF</dc:creator>
  <cp:lastModifiedBy>我听说</cp:lastModifiedBy>
  <dcterms:modified xsi:type="dcterms:W3CDTF">2023-10-20T08:02:47Z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2023-10-20T15:54:36Z</vt:filetime>
  </property>
  <property fmtid="{D5CDD505-2E9C-101B-9397-08002B2CF9AE}" pid="4" name="UsrData">
    <vt:lpwstr>65323238163ec3001f10ad5ewl</vt:lpwstr>
  </property>
  <property fmtid="{D5CDD505-2E9C-101B-9397-08002B2CF9AE}" pid="5" name="KSOProductBuildVer">
    <vt:lpwstr>2052-12.1.0.15712</vt:lpwstr>
  </property>
  <property fmtid="{D5CDD505-2E9C-101B-9397-08002B2CF9AE}" pid="6" name="ICV">
    <vt:lpwstr>4CBDE93722284ED0BBFE861CEE86B170_13</vt:lpwstr>
  </property>
</Properties>
</file>