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widowControl/>
        <w:snapToGrid w:val="0"/>
        <w:ind w:firstLine="776" w:firstLineChars="200"/>
        <w:rPr>
          <w:rFonts w:ascii="微软雅黑" w:hAnsi="微软雅黑" w:eastAsia="微软雅黑" w:cs="宋体"/>
          <w:bCs/>
          <w:spacing w:val="-6"/>
          <w:sz w:val="40"/>
          <w:szCs w:val="30"/>
        </w:rPr>
      </w:pPr>
      <w:bookmarkStart w:id="0" w:name="_GoBack"/>
      <w:bookmarkEnd w:id="0"/>
      <w:r>
        <w:rPr>
          <w:rFonts w:hint="eastAsia" w:ascii="微软雅黑" w:hAnsi="微软雅黑" w:eastAsia="微软雅黑" w:cs="宋体"/>
          <w:bCs/>
          <w:spacing w:val="-6"/>
          <w:sz w:val="40"/>
          <w:szCs w:val="30"/>
        </w:rPr>
        <w:t>2024年度章丘区食品餐饮环节监督检查计划</w:t>
      </w:r>
    </w:p>
    <w:p>
      <w:pPr>
        <w:pStyle w:val="4"/>
        <w:shd w:val="clear" w:color="auto" w:fill="FFFFFF"/>
        <w:spacing w:beforeAutospacing="0" w:afterAutospacing="0"/>
        <w:ind w:firstLine="600" w:firstLineChars="200"/>
        <w:rPr>
          <w:rFonts w:ascii="微软雅黑" w:hAnsi="微软雅黑" w:eastAsia="微软雅黑" w:cs="仿宋"/>
          <w:sz w:val="30"/>
          <w:szCs w:val="30"/>
          <w:shd w:val="clear" w:color="auto" w:fill="FFFFFF"/>
        </w:rPr>
      </w:pPr>
      <w:r>
        <w:rPr>
          <w:rFonts w:hint="eastAsia" w:ascii="微软雅黑" w:hAnsi="微软雅黑" w:eastAsia="微软雅黑" w:cs="仿宋"/>
          <w:sz w:val="30"/>
          <w:szCs w:val="30"/>
          <w:shd w:val="clear" w:color="auto" w:fill="FFFFFF"/>
        </w:rPr>
        <w:t>为落实餐饮食品安全监管职责，科学规范实施餐饮食品安全监督检查，促进餐饮质量安全水平显著提升，根据《中华人民共和国食品安全法》、《食品生产经营日常监督检查管理办法》等食品安全法律法规规定，结合我区实际，制定本计划。</w:t>
      </w:r>
    </w:p>
    <w:p>
      <w:pPr>
        <w:pStyle w:val="4"/>
        <w:shd w:val="clear" w:color="auto" w:fill="FFFFFF"/>
        <w:spacing w:beforeAutospacing="0" w:afterAutospacing="0"/>
        <w:rPr>
          <w:rFonts w:ascii="微软雅黑" w:hAnsi="微软雅黑" w:eastAsia="微软雅黑" w:cs="仿宋"/>
          <w:sz w:val="30"/>
          <w:szCs w:val="30"/>
          <w:shd w:val="clear" w:color="auto" w:fill="FFFFFF"/>
        </w:rPr>
      </w:pPr>
      <w:r>
        <w:rPr>
          <w:rFonts w:hint="eastAsia" w:ascii="微软雅黑" w:hAnsi="微软雅黑" w:eastAsia="微软雅黑" w:cs="黑体"/>
          <w:b/>
          <w:spacing w:val="-6"/>
          <w:sz w:val="30"/>
          <w:szCs w:val="30"/>
        </w:rPr>
        <w:t>一、目标要求</w:t>
      </w:r>
    </w:p>
    <w:p>
      <w:pPr>
        <w:ind w:firstLine="450" w:firstLineChars="150"/>
        <w:rPr>
          <w:rFonts w:ascii="微软雅黑" w:hAnsi="微软雅黑" w:eastAsia="微软雅黑"/>
          <w:sz w:val="30"/>
          <w:szCs w:val="30"/>
        </w:rPr>
      </w:pPr>
      <w:r>
        <w:rPr>
          <w:rFonts w:ascii="微软雅黑" w:hAnsi="微软雅黑" w:eastAsia="微软雅黑"/>
          <w:sz w:val="30"/>
          <w:szCs w:val="30"/>
        </w:rPr>
        <w:t>增强食品</w:t>
      </w:r>
      <w:r>
        <w:rPr>
          <w:rFonts w:hint="eastAsia" w:ascii="微软雅黑" w:hAnsi="微软雅黑" w:eastAsia="微软雅黑"/>
          <w:sz w:val="30"/>
          <w:szCs w:val="30"/>
        </w:rPr>
        <w:t>餐饮环节</w:t>
      </w:r>
      <w:r>
        <w:rPr>
          <w:rFonts w:ascii="微软雅黑" w:hAnsi="微软雅黑" w:eastAsia="微软雅黑"/>
          <w:sz w:val="30"/>
          <w:szCs w:val="30"/>
        </w:rPr>
        <w:t>主体安全责任意识，</w:t>
      </w:r>
      <w:r>
        <w:rPr>
          <w:rFonts w:hint="eastAsia" w:ascii="微软雅黑" w:hAnsi="微软雅黑" w:eastAsia="微软雅黑"/>
          <w:sz w:val="30"/>
          <w:szCs w:val="30"/>
        </w:rPr>
        <w:t>食品餐饮</w:t>
      </w:r>
      <w:r>
        <w:rPr>
          <w:rFonts w:ascii="微软雅黑" w:hAnsi="微软雅黑" w:eastAsia="微软雅黑"/>
          <w:sz w:val="30"/>
          <w:szCs w:val="30"/>
        </w:rPr>
        <w:t>环节违法违规行为得到有效</w:t>
      </w:r>
      <w:r>
        <w:rPr>
          <w:rFonts w:hint="eastAsia" w:ascii="微软雅黑" w:hAnsi="微软雅黑" w:eastAsia="微软雅黑"/>
          <w:sz w:val="30"/>
          <w:szCs w:val="30"/>
        </w:rPr>
        <w:t>制止</w:t>
      </w:r>
      <w:r>
        <w:rPr>
          <w:rFonts w:ascii="微软雅黑" w:hAnsi="微软雅黑" w:eastAsia="微软雅黑"/>
          <w:sz w:val="30"/>
          <w:szCs w:val="30"/>
        </w:rPr>
        <w:t>，长效监管机制</w:t>
      </w:r>
      <w:r>
        <w:rPr>
          <w:rFonts w:hint="eastAsia" w:ascii="微软雅黑" w:hAnsi="微软雅黑" w:eastAsia="微软雅黑"/>
          <w:sz w:val="30"/>
          <w:szCs w:val="30"/>
        </w:rPr>
        <w:t>进一步健全</w:t>
      </w:r>
      <w:r>
        <w:rPr>
          <w:rFonts w:ascii="微软雅黑" w:hAnsi="微软雅黑" w:eastAsia="微软雅黑"/>
          <w:sz w:val="30"/>
          <w:szCs w:val="30"/>
        </w:rPr>
        <w:t>，食品质量安全水平进一步提升</w:t>
      </w:r>
      <w:r>
        <w:rPr>
          <w:rFonts w:hint="eastAsia" w:ascii="微软雅黑" w:hAnsi="微软雅黑" w:eastAsia="微软雅黑"/>
          <w:sz w:val="30"/>
          <w:szCs w:val="30"/>
        </w:rPr>
        <w:t>，</w:t>
      </w:r>
      <w:r>
        <w:rPr>
          <w:rFonts w:ascii="微软雅黑" w:hAnsi="微软雅黑" w:eastAsia="微软雅黑"/>
          <w:sz w:val="30"/>
          <w:szCs w:val="30"/>
        </w:rPr>
        <w:t xml:space="preserve"> </w:t>
      </w:r>
    </w:p>
    <w:p>
      <w:pPr>
        <w:rPr>
          <w:rFonts w:ascii="微软雅黑" w:hAnsi="微软雅黑" w:eastAsia="微软雅黑" w:cs="仿宋"/>
          <w:sz w:val="30"/>
          <w:szCs w:val="30"/>
          <w:shd w:val="clear" w:color="auto" w:fill="FFFFFF"/>
        </w:rPr>
      </w:pPr>
      <w:r>
        <w:rPr>
          <w:rFonts w:hint="eastAsia" w:ascii="微软雅黑" w:hAnsi="微软雅黑" w:eastAsia="微软雅黑"/>
          <w:sz w:val="30"/>
          <w:szCs w:val="30"/>
        </w:rPr>
        <w:t>通过日常监督检查、专项检查和“双随机、一公开”检查等方式，掌</w:t>
      </w:r>
      <w:r>
        <w:rPr>
          <w:rFonts w:hint="eastAsia" w:ascii="微软雅黑" w:hAnsi="微软雅黑" w:eastAsia="微软雅黑" w:cs="仿宋"/>
          <w:sz w:val="30"/>
          <w:szCs w:val="30"/>
          <w:shd w:val="clear" w:color="auto" w:fill="FFFFFF"/>
        </w:rPr>
        <w:t>握重点区域、重点时段、重点对象、重点品种等食品餐饮环节安全情况，及时发现、分析和解决餐饮监管工作中存在的突出问题，促进餐饮服务提供者落实主体责任，提高餐饮食品安全效能和质量，有效防控群体性食源性疾病事件发生，保障公众饮食安全。.</w:t>
      </w:r>
    </w:p>
    <w:p>
      <w:pPr>
        <w:rPr>
          <w:rFonts w:ascii="微软雅黑" w:hAnsi="微软雅黑" w:eastAsia="微软雅黑" w:cs="楷体_GB2312"/>
          <w:b/>
          <w:bCs/>
          <w:spacing w:val="-6"/>
          <w:sz w:val="32"/>
          <w:szCs w:val="32"/>
        </w:rPr>
      </w:pPr>
      <w:r>
        <w:rPr>
          <w:rFonts w:hint="eastAsia" w:ascii="微软雅黑" w:hAnsi="微软雅黑" w:eastAsia="微软雅黑" w:cs="黑体"/>
          <w:b/>
          <w:spacing w:val="-6"/>
          <w:sz w:val="30"/>
          <w:szCs w:val="30"/>
        </w:rPr>
        <w:t>二、</w:t>
      </w:r>
      <w:r>
        <w:rPr>
          <w:rFonts w:hint="eastAsia" w:ascii="微软雅黑" w:hAnsi="微软雅黑" w:eastAsia="微软雅黑" w:cs="楷体_GB2312"/>
          <w:b/>
          <w:bCs/>
          <w:spacing w:val="-6"/>
          <w:sz w:val="32"/>
          <w:szCs w:val="32"/>
        </w:rPr>
        <w:t>监管原则</w:t>
      </w:r>
    </w:p>
    <w:p>
      <w:pPr>
        <w:ind w:firstLine="462" w:firstLineChars="150"/>
        <w:rPr>
          <w:rFonts w:ascii="微软雅黑" w:hAnsi="微软雅黑" w:eastAsia="微软雅黑" w:cs="仿宋_GB2312"/>
          <w:spacing w:val="-6"/>
          <w:sz w:val="32"/>
          <w:szCs w:val="32"/>
        </w:rPr>
      </w:pPr>
      <w:r>
        <w:rPr>
          <w:rFonts w:hint="eastAsia" w:ascii="微软雅黑" w:hAnsi="微软雅黑" w:eastAsia="微软雅黑" w:cs="仿宋_GB2312"/>
          <w:spacing w:val="-6"/>
          <w:sz w:val="32"/>
          <w:szCs w:val="32"/>
        </w:rPr>
        <w:t>坚持经营许可与监督检查有效衔接，进一步强化食品餐饮安全监管，做到督促引导、规范服务和执法监管相结合，日常监管与专项检查、集中整治相结合，切实提升食品安全监管效能，全面落实食品餐饮监管责任。</w:t>
      </w:r>
    </w:p>
    <w:p>
      <w:pPr>
        <w:rPr>
          <w:rFonts w:ascii="微软雅黑" w:hAnsi="微软雅黑" w:eastAsia="微软雅黑" w:cs="仿宋"/>
          <w:sz w:val="30"/>
          <w:szCs w:val="30"/>
        </w:rPr>
      </w:pPr>
      <w:r>
        <w:rPr>
          <w:rFonts w:hint="eastAsia" w:ascii="微软雅黑" w:hAnsi="微软雅黑" w:eastAsia="微软雅黑" w:cs="黑体"/>
          <w:b/>
          <w:spacing w:val="-6"/>
          <w:sz w:val="30"/>
          <w:szCs w:val="30"/>
        </w:rPr>
        <w:t>三、监管对象</w:t>
      </w:r>
    </w:p>
    <w:p>
      <w:pPr>
        <w:rPr>
          <w:rFonts w:ascii="微软雅黑" w:hAnsi="微软雅黑" w:eastAsia="微软雅黑" w:cs="仿宋"/>
          <w:sz w:val="30"/>
          <w:szCs w:val="30"/>
        </w:rPr>
      </w:pPr>
      <w:r>
        <w:rPr>
          <w:rFonts w:hint="eastAsia" w:ascii="微软雅黑" w:hAnsi="微软雅黑" w:eastAsia="微软雅黑"/>
          <w:sz w:val="30"/>
          <w:szCs w:val="30"/>
        </w:rPr>
        <w:t>（一）</w:t>
      </w:r>
      <w:r>
        <w:rPr>
          <w:rFonts w:hint="eastAsia" w:ascii="微软雅黑" w:hAnsi="微软雅黑" w:eastAsia="微软雅黑" w:cs="仿宋"/>
          <w:sz w:val="30"/>
          <w:szCs w:val="30"/>
        </w:rPr>
        <w:t>牵头组织好餐饮环节各项专项检查以及日常监督检查。</w:t>
      </w:r>
    </w:p>
    <w:p>
      <w:pPr>
        <w:rPr>
          <w:rFonts w:ascii="微软雅黑" w:hAnsi="微软雅黑" w:eastAsia="微软雅黑"/>
          <w:sz w:val="30"/>
          <w:szCs w:val="30"/>
        </w:rPr>
      </w:pPr>
      <w:r>
        <w:rPr>
          <w:rFonts w:hint="eastAsia" w:ascii="微软雅黑" w:hAnsi="微软雅黑" w:eastAsia="微软雅黑"/>
          <w:sz w:val="30"/>
          <w:szCs w:val="30"/>
        </w:rPr>
        <w:t>（二）按照风险分级要求对餐饮单位实施日常监督检查，按照上级要求进行专项检查。</w:t>
      </w:r>
    </w:p>
    <w:p>
      <w:pPr>
        <w:spacing w:line="570" w:lineRule="exact"/>
        <w:ind w:firstLine="600" w:firstLineChars="200"/>
        <w:rPr>
          <w:rFonts w:ascii="微软雅黑" w:hAnsi="微软雅黑" w:eastAsia="微软雅黑" w:cs="仿宋"/>
          <w:sz w:val="30"/>
          <w:szCs w:val="30"/>
        </w:rPr>
      </w:pPr>
      <w:r>
        <w:rPr>
          <w:rFonts w:ascii="微软雅黑" w:hAnsi="微软雅黑" w:eastAsia="微软雅黑" w:cs="仿宋"/>
          <w:sz w:val="30"/>
          <w:szCs w:val="30"/>
        </w:rPr>
        <w:t>1.A</w:t>
      </w:r>
      <w:r>
        <w:rPr>
          <w:rFonts w:hint="eastAsia" w:ascii="微软雅黑" w:hAnsi="微软雅黑" w:eastAsia="微软雅黑" w:cs="仿宋"/>
          <w:sz w:val="30"/>
          <w:szCs w:val="30"/>
        </w:rPr>
        <w:t>级风险：每年至少监督检查</w:t>
      </w:r>
      <w:r>
        <w:rPr>
          <w:rFonts w:ascii="微软雅黑" w:hAnsi="微软雅黑" w:eastAsia="微软雅黑" w:cs="仿宋"/>
          <w:sz w:val="30"/>
          <w:szCs w:val="30"/>
        </w:rPr>
        <w:t>1</w:t>
      </w:r>
      <w:r>
        <w:rPr>
          <w:rFonts w:hint="eastAsia" w:ascii="微软雅黑" w:hAnsi="微软雅黑" w:eastAsia="微软雅黑" w:cs="仿宋"/>
          <w:sz w:val="30"/>
          <w:szCs w:val="30"/>
        </w:rPr>
        <w:t>次；</w:t>
      </w:r>
    </w:p>
    <w:p>
      <w:pPr>
        <w:spacing w:line="570" w:lineRule="exact"/>
        <w:ind w:firstLine="600" w:firstLineChars="200"/>
        <w:rPr>
          <w:rFonts w:ascii="微软雅黑" w:hAnsi="微软雅黑" w:eastAsia="微软雅黑" w:cs="仿宋"/>
          <w:sz w:val="30"/>
          <w:szCs w:val="30"/>
        </w:rPr>
      </w:pPr>
      <w:r>
        <w:rPr>
          <w:rFonts w:ascii="微软雅黑" w:hAnsi="微软雅黑" w:eastAsia="微软雅黑" w:cs="仿宋"/>
          <w:sz w:val="30"/>
          <w:szCs w:val="30"/>
        </w:rPr>
        <w:t>2.B</w:t>
      </w:r>
      <w:r>
        <w:rPr>
          <w:rFonts w:hint="eastAsia" w:ascii="微软雅黑" w:hAnsi="微软雅黑" w:eastAsia="微软雅黑" w:cs="仿宋"/>
          <w:sz w:val="30"/>
          <w:szCs w:val="30"/>
        </w:rPr>
        <w:t>级风险：每年至少监督检查</w:t>
      </w:r>
      <w:r>
        <w:rPr>
          <w:rFonts w:ascii="微软雅黑" w:hAnsi="微软雅黑" w:eastAsia="微软雅黑" w:cs="仿宋"/>
          <w:sz w:val="30"/>
          <w:szCs w:val="30"/>
        </w:rPr>
        <w:t>1</w:t>
      </w:r>
      <w:r>
        <w:rPr>
          <w:rFonts w:hint="eastAsia" w:ascii="微软雅黑" w:hAnsi="微软雅黑" w:eastAsia="微软雅黑" w:cs="仿宋"/>
          <w:sz w:val="30"/>
          <w:szCs w:val="30"/>
        </w:rPr>
        <w:t>—</w:t>
      </w:r>
      <w:r>
        <w:rPr>
          <w:rFonts w:ascii="微软雅黑" w:hAnsi="微软雅黑" w:eastAsia="微软雅黑" w:cs="仿宋"/>
          <w:sz w:val="30"/>
          <w:szCs w:val="30"/>
        </w:rPr>
        <w:t>2</w:t>
      </w:r>
      <w:r>
        <w:rPr>
          <w:rFonts w:hint="eastAsia" w:ascii="微软雅黑" w:hAnsi="微软雅黑" w:eastAsia="微软雅黑" w:cs="仿宋"/>
          <w:sz w:val="30"/>
          <w:szCs w:val="30"/>
        </w:rPr>
        <w:t>次；</w:t>
      </w:r>
    </w:p>
    <w:p>
      <w:pPr>
        <w:spacing w:line="570" w:lineRule="exact"/>
        <w:ind w:firstLine="600" w:firstLineChars="200"/>
        <w:rPr>
          <w:rFonts w:ascii="微软雅黑" w:hAnsi="微软雅黑" w:eastAsia="微软雅黑" w:cs="仿宋"/>
          <w:sz w:val="30"/>
          <w:szCs w:val="30"/>
        </w:rPr>
      </w:pPr>
      <w:r>
        <w:rPr>
          <w:rFonts w:ascii="微软雅黑" w:hAnsi="微软雅黑" w:eastAsia="微软雅黑" w:cs="仿宋"/>
          <w:sz w:val="30"/>
          <w:szCs w:val="30"/>
        </w:rPr>
        <w:t>3.C</w:t>
      </w:r>
      <w:r>
        <w:rPr>
          <w:rFonts w:hint="eastAsia" w:ascii="微软雅黑" w:hAnsi="微软雅黑" w:eastAsia="微软雅黑" w:cs="仿宋"/>
          <w:sz w:val="30"/>
          <w:szCs w:val="30"/>
        </w:rPr>
        <w:t>级风险：每年至少监督检查</w:t>
      </w:r>
      <w:r>
        <w:rPr>
          <w:rFonts w:ascii="微软雅黑" w:hAnsi="微软雅黑" w:eastAsia="微软雅黑" w:cs="仿宋"/>
          <w:sz w:val="30"/>
          <w:szCs w:val="30"/>
        </w:rPr>
        <w:t>2</w:t>
      </w:r>
      <w:r>
        <w:rPr>
          <w:rFonts w:hint="eastAsia" w:ascii="微软雅黑" w:hAnsi="微软雅黑" w:eastAsia="微软雅黑" w:cs="仿宋"/>
          <w:sz w:val="30"/>
          <w:szCs w:val="30"/>
        </w:rPr>
        <w:t>—</w:t>
      </w:r>
      <w:r>
        <w:rPr>
          <w:rFonts w:ascii="微软雅黑" w:hAnsi="微软雅黑" w:eastAsia="微软雅黑" w:cs="仿宋"/>
          <w:sz w:val="30"/>
          <w:szCs w:val="30"/>
        </w:rPr>
        <w:t>3</w:t>
      </w:r>
      <w:r>
        <w:rPr>
          <w:rFonts w:hint="eastAsia" w:ascii="微软雅黑" w:hAnsi="微软雅黑" w:eastAsia="微软雅黑" w:cs="仿宋"/>
          <w:sz w:val="30"/>
          <w:szCs w:val="30"/>
        </w:rPr>
        <w:t>次；</w:t>
      </w:r>
    </w:p>
    <w:p>
      <w:pPr>
        <w:spacing w:line="570" w:lineRule="exact"/>
        <w:ind w:firstLine="600" w:firstLineChars="200"/>
        <w:rPr>
          <w:rFonts w:ascii="微软雅黑" w:hAnsi="微软雅黑" w:eastAsia="微软雅黑" w:cs="仿宋"/>
          <w:sz w:val="30"/>
          <w:szCs w:val="30"/>
        </w:rPr>
      </w:pPr>
      <w:r>
        <w:rPr>
          <w:rFonts w:ascii="微软雅黑" w:hAnsi="微软雅黑" w:eastAsia="微软雅黑" w:cs="仿宋"/>
          <w:sz w:val="30"/>
          <w:szCs w:val="30"/>
        </w:rPr>
        <w:t>4.D</w:t>
      </w:r>
      <w:r>
        <w:rPr>
          <w:rFonts w:hint="eastAsia" w:ascii="微软雅黑" w:hAnsi="微软雅黑" w:eastAsia="微软雅黑" w:cs="仿宋"/>
          <w:sz w:val="30"/>
          <w:szCs w:val="30"/>
        </w:rPr>
        <w:t>级风险：每年至少监督检查</w:t>
      </w:r>
      <w:r>
        <w:rPr>
          <w:rFonts w:ascii="微软雅黑" w:hAnsi="微软雅黑" w:eastAsia="微软雅黑" w:cs="仿宋"/>
          <w:sz w:val="30"/>
          <w:szCs w:val="30"/>
        </w:rPr>
        <w:t>3</w:t>
      </w:r>
      <w:r>
        <w:rPr>
          <w:rFonts w:hint="eastAsia" w:ascii="微软雅黑" w:hAnsi="微软雅黑" w:eastAsia="微软雅黑" w:cs="仿宋"/>
          <w:sz w:val="30"/>
          <w:szCs w:val="30"/>
        </w:rPr>
        <w:t>—</w:t>
      </w:r>
      <w:r>
        <w:rPr>
          <w:rFonts w:ascii="微软雅黑" w:hAnsi="微软雅黑" w:eastAsia="微软雅黑" w:cs="仿宋"/>
          <w:sz w:val="30"/>
          <w:szCs w:val="30"/>
        </w:rPr>
        <w:t>4</w:t>
      </w:r>
      <w:r>
        <w:rPr>
          <w:rFonts w:hint="eastAsia" w:ascii="微软雅黑" w:hAnsi="微软雅黑" w:eastAsia="微软雅黑" w:cs="仿宋"/>
          <w:sz w:val="30"/>
          <w:szCs w:val="30"/>
        </w:rPr>
        <w:t>次。</w:t>
      </w:r>
    </w:p>
    <w:p>
      <w:pPr>
        <w:rPr>
          <w:rFonts w:ascii="微软雅黑" w:hAnsi="微软雅黑" w:eastAsia="微软雅黑" w:cs="仿宋"/>
          <w:sz w:val="30"/>
          <w:szCs w:val="30"/>
        </w:rPr>
      </w:pPr>
      <w:r>
        <w:rPr>
          <w:rFonts w:hint="eastAsia" w:ascii="微软雅黑" w:hAnsi="微软雅黑" w:eastAsia="微软雅黑" w:cs="仿宋"/>
          <w:sz w:val="30"/>
          <w:szCs w:val="30"/>
        </w:rPr>
        <w:t>（三）按照市局要求完成好餐饮单位从业人员的培训工作。</w:t>
      </w:r>
    </w:p>
    <w:p>
      <w:pPr>
        <w:pStyle w:val="4"/>
        <w:shd w:val="clear" w:color="auto" w:fill="FFFFFF"/>
        <w:spacing w:beforeAutospacing="0" w:afterAutospacing="0"/>
        <w:rPr>
          <w:rFonts w:ascii="微软雅黑" w:hAnsi="微软雅黑" w:eastAsia="微软雅黑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微软雅黑" w:hAnsi="微软雅黑" w:eastAsia="微软雅黑" w:cs="仿宋"/>
          <w:color w:val="000000"/>
          <w:sz w:val="30"/>
          <w:szCs w:val="30"/>
          <w:shd w:val="clear" w:color="auto" w:fill="FFFFFF"/>
        </w:rPr>
        <w:t>（四）认真落实《反食品浪费法》，进一步推动餐饮服务单位和集体食堂推行节俭用餐，鼓励餐饮服务提供者营造文明用餐氛围，引导消费者适量点餐，开展“光盘行动”，使用公筷公勺、聚餐分餐制、减少使用一次性餐具。</w:t>
      </w:r>
    </w:p>
    <w:p>
      <w:pPr>
        <w:pStyle w:val="4"/>
        <w:shd w:val="clear" w:color="auto" w:fill="FFFFFF"/>
        <w:spacing w:beforeAutospacing="0" w:afterAutospacing="0"/>
        <w:rPr>
          <w:rFonts w:ascii="微软雅黑" w:hAnsi="微软雅黑" w:eastAsia="微软雅黑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微软雅黑" w:hAnsi="微软雅黑" w:eastAsia="微软雅黑" w:cs="仿宋"/>
          <w:color w:val="000000"/>
          <w:sz w:val="30"/>
          <w:szCs w:val="30"/>
          <w:shd w:val="clear" w:color="auto" w:fill="FFFFFF"/>
        </w:rPr>
        <w:t>（五）按时完成上级下达的重大活动餐饮食品安全保障工作任务，确保重大活动餐饮食品安全。</w:t>
      </w:r>
    </w:p>
    <w:p>
      <w:pPr>
        <w:pStyle w:val="4"/>
        <w:shd w:val="clear" w:color="auto" w:fill="FFFFFF"/>
        <w:spacing w:beforeAutospacing="0" w:afterAutospacing="0"/>
        <w:rPr>
          <w:rFonts w:ascii="微软雅黑" w:hAnsi="微软雅黑" w:eastAsia="微软雅黑" w:cs="仿宋"/>
          <w:color w:val="000000"/>
          <w:sz w:val="30"/>
          <w:szCs w:val="30"/>
        </w:rPr>
      </w:pPr>
      <w:r>
        <w:rPr>
          <w:rFonts w:hint="eastAsia" w:ascii="微软雅黑" w:hAnsi="微软雅黑" w:eastAsia="微软雅黑" w:cs="仿宋"/>
          <w:color w:val="000000"/>
          <w:sz w:val="30"/>
          <w:szCs w:val="30"/>
          <w:shd w:val="clear" w:color="auto" w:fill="FFFFFF"/>
        </w:rPr>
        <w:t>（六）落实上级交办的检查任务，对上级部门监督检查移交的问题依法依规进行处理、整改、反馈。</w:t>
      </w:r>
    </w:p>
    <w:p>
      <w:pPr>
        <w:pStyle w:val="4"/>
        <w:shd w:val="clear" w:color="auto" w:fill="FFFFFF"/>
        <w:spacing w:beforeAutospacing="0" w:afterAutospacing="0"/>
        <w:rPr>
          <w:rFonts w:ascii="微软雅黑" w:hAnsi="微软雅黑" w:eastAsia="微软雅黑" w:cs="仿宋"/>
          <w:b/>
          <w:color w:val="000000"/>
          <w:sz w:val="30"/>
          <w:szCs w:val="30"/>
        </w:rPr>
      </w:pPr>
      <w:r>
        <w:rPr>
          <w:rFonts w:hint="eastAsia" w:ascii="微软雅黑" w:hAnsi="微软雅黑" w:eastAsia="微软雅黑" w:cs="仿宋"/>
          <w:b/>
          <w:color w:val="000000"/>
          <w:sz w:val="30"/>
          <w:szCs w:val="30"/>
          <w:shd w:val="clear" w:color="auto" w:fill="FFFFFF"/>
        </w:rPr>
        <w:t>四、工作要求</w:t>
      </w:r>
    </w:p>
    <w:p>
      <w:pPr>
        <w:pStyle w:val="4"/>
        <w:shd w:val="clear" w:color="auto" w:fill="FFFFFF"/>
        <w:spacing w:beforeAutospacing="0" w:afterAutospacing="0"/>
        <w:rPr>
          <w:rFonts w:ascii="微软雅黑" w:hAnsi="微软雅黑" w:eastAsia="微软雅黑" w:cs="仿宋"/>
          <w:color w:val="000000"/>
          <w:sz w:val="30"/>
          <w:szCs w:val="30"/>
        </w:rPr>
      </w:pPr>
      <w:r>
        <w:rPr>
          <w:rFonts w:hint="eastAsia" w:ascii="微软雅黑" w:hAnsi="微软雅黑" w:eastAsia="微软雅黑" w:cs="仿宋"/>
          <w:color w:val="000000"/>
          <w:sz w:val="30"/>
          <w:szCs w:val="30"/>
          <w:shd w:val="clear" w:color="auto" w:fill="FFFFFF"/>
        </w:rPr>
        <w:t>（一）严格按照《食品生产经营日常监督检查管理办法》等相关规定进行检查，制作《食品经营监督检查结果记录表》等文书，按要求归档、反馈和公示。</w:t>
      </w:r>
    </w:p>
    <w:p>
      <w:pPr>
        <w:pStyle w:val="4"/>
        <w:shd w:val="clear" w:color="auto" w:fill="FFFFFF"/>
        <w:spacing w:beforeAutospacing="0" w:afterAutospacing="0"/>
        <w:rPr>
          <w:rFonts w:ascii="微软雅黑" w:hAnsi="微软雅黑" w:eastAsia="微软雅黑" w:cs="仿宋"/>
          <w:color w:val="000000"/>
          <w:sz w:val="30"/>
          <w:szCs w:val="30"/>
        </w:rPr>
      </w:pPr>
      <w:r>
        <w:rPr>
          <w:rFonts w:hint="eastAsia" w:ascii="微软雅黑" w:hAnsi="微软雅黑" w:eastAsia="微软雅黑" w:cs="仿宋"/>
          <w:color w:val="000000"/>
          <w:sz w:val="30"/>
          <w:szCs w:val="30"/>
          <w:shd w:val="clear" w:color="auto" w:fill="FFFFFF"/>
        </w:rPr>
        <w:t>（二）统筹安排日常监督检查、专项检查、飞行检查、食品安全风险分级现场检查等各类监督检查，要有针对性，可根据每次检查实际确定重点项目，不断提高监督检查效能。</w:t>
      </w:r>
    </w:p>
    <w:p>
      <w:pPr>
        <w:pStyle w:val="4"/>
        <w:shd w:val="clear" w:color="auto" w:fill="FFFFFF"/>
        <w:spacing w:beforeAutospacing="0" w:afterAutospacing="0"/>
        <w:rPr>
          <w:rFonts w:ascii="微软雅黑" w:hAnsi="微软雅黑" w:eastAsia="微软雅黑" w:cs="仿宋_GB2312"/>
          <w:spacing w:val="-6"/>
          <w:sz w:val="30"/>
          <w:szCs w:val="30"/>
        </w:rPr>
      </w:pPr>
      <w:r>
        <w:rPr>
          <w:rFonts w:hint="eastAsia" w:ascii="微软雅黑" w:hAnsi="微软雅黑" w:eastAsia="微软雅黑" w:cs="仿宋"/>
          <w:color w:val="000000"/>
          <w:sz w:val="30"/>
          <w:szCs w:val="30"/>
          <w:shd w:val="clear" w:color="auto" w:fill="FFFFFF"/>
        </w:rPr>
        <w:t>（三）监督检查执法人员要严格依法行政，严格执行廉洁自律规定，确保监督检查工作准确、客观、公正。</w:t>
      </w:r>
      <w:r>
        <w:rPr>
          <w:rFonts w:hint="eastAsia" w:ascii="微软雅黑" w:hAnsi="微软雅黑" w:eastAsia="微软雅黑" w:cs="仿宋_GB2312"/>
          <w:spacing w:val="-6"/>
          <w:sz w:val="30"/>
          <w:szCs w:val="30"/>
        </w:rPr>
        <w:t xml:space="preserve">                                  </w:t>
      </w:r>
    </w:p>
    <w:p>
      <w:pPr>
        <w:widowControl/>
        <w:shd w:val="clear" w:color="auto" w:fill="FFFFFF"/>
        <w:snapToGrid w:val="0"/>
        <w:spacing w:line="360" w:lineRule="auto"/>
        <w:ind w:right="45" w:firstLine="576" w:firstLineChars="200"/>
        <w:jc w:val="center"/>
        <w:rPr>
          <w:rFonts w:ascii="微软雅黑" w:hAnsi="微软雅黑" w:eastAsia="微软雅黑" w:cs="仿宋_GB2312"/>
          <w:spacing w:val="-6"/>
          <w:sz w:val="30"/>
          <w:szCs w:val="30"/>
        </w:rPr>
      </w:pPr>
    </w:p>
    <w:p>
      <w:pPr>
        <w:widowControl/>
        <w:shd w:val="clear" w:color="auto" w:fill="FFFFFF"/>
        <w:snapToGrid w:val="0"/>
        <w:spacing w:line="360" w:lineRule="auto"/>
        <w:ind w:right="909" w:firstLine="5328" w:firstLineChars="1850"/>
        <w:rPr>
          <w:rFonts w:ascii="微软雅黑" w:hAnsi="微软雅黑" w:eastAsia="微软雅黑"/>
          <w:sz w:val="30"/>
          <w:szCs w:val="30"/>
        </w:rPr>
      </w:pPr>
      <w:r>
        <w:rPr>
          <w:rFonts w:hint="eastAsia" w:ascii="微软雅黑" w:hAnsi="微软雅黑" w:eastAsia="微软雅黑" w:cs="仿宋_GB2312"/>
          <w:spacing w:val="-6"/>
          <w:sz w:val="30"/>
          <w:szCs w:val="30"/>
        </w:rPr>
        <w:t>2024年3月13日</w:t>
      </w:r>
    </w:p>
    <w:sectPr>
      <w:footerReference r:id="rId3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宋体" w:hAnsi="宋体"/>
        <w:sz w:val="24"/>
        <w:szCs w:val="24"/>
      </w:rPr>
    </w:pPr>
    <w:r>
      <w:rPr>
        <w:rStyle w:val="7"/>
        <w:rFonts w:ascii="宋体" w:hAnsi="宋体"/>
        <w:sz w:val="24"/>
        <w:szCs w:val="24"/>
      </w:rPr>
      <w:fldChar w:fldCharType="begin"/>
    </w:r>
    <w:r>
      <w:rPr>
        <w:rStyle w:val="7"/>
        <w:rFonts w:ascii="宋体" w:hAnsi="宋体"/>
        <w:sz w:val="24"/>
        <w:szCs w:val="24"/>
      </w:rPr>
      <w:instrText xml:space="preserve">PAGE  </w:instrText>
    </w:r>
    <w:r>
      <w:rPr>
        <w:rStyle w:val="7"/>
        <w:rFonts w:ascii="宋体" w:hAnsi="宋体"/>
        <w:sz w:val="24"/>
        <w:szCs w:val="24"/>
      </w:rPr>
      <w:fldChar w:fldCharType="separate"/>
    </w:r>
    <w:r>
      <w:rPr>
        <w:rStyle w:val="7"/>
        <w:rFonts w:ascii="宋体" w:hAnsi="宋体"/>
        <w:sz w:val="24"/>
        <w:szCs w:val="24"/>
      </w:rPr>
      <w:t>3</w:t>
    </w:r>
    <w:r>
      <w:rPr>
        <w:rStyle w:val="7"/>
        <w:rFonts w:ascii="宋体" w:hAnsi="宋体"/>
        <w:sz w:val="24"/>
        <w:szCs w:val="2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NiZWQ3YzBiZjE0NmFiMDU4OThlNTk1Yjk2NjE1ZGQifQ=="/>
  </w:docVars>
  <w:rsids>
    <w:rsidRoot w:val="4E5643A4"/>
    <w:rsid w:val="0008239D"/>
    <w:rsid w:val="002A2400"/>
    <w:rsid w:val="003852AA"/>
    <w:rsid w:val="004724A6"/>
    <w:rsid w:val="004B327C"/>
    <w:rsid w:val="00516CCF"/>
    <w:rsid w:val="00575B3C"/>
    <w:rsid w:val="005E1289"/>
    <w:rsid w:val="005E6AD7"/>
    <w:rsid w:val="00731BAB"/>
    <w:rsid w:val="007B45AA"/>
    <w:rsid w:val="00867EAE"/>
    <w:rsid w:val="00892A29"/>
    <w:rsid w:val="0096167B"/>
    <w:rsid w:val="00A54128"/>
    <w:rsid w:val="00A55A57"/>
    <w:rsid w:val="00AF1F65"/>
    <w:rsid w:val="00B972C2"/>
    <w:rsid w:val="00D76472"/>
    <w:rsid w:val="00F8403A"/>
    <w:rsid w:val="1B160BC8"/>
    <w:rsid w:val="23CA38BF"/>
    <w:rsid w:val="4D27637E"/>
    <w:rsid w:val="4E5643A4"/>
    <w:rsid w:val="79615B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166</Words>
  <Characters>947</Characters>
  <Lines>7</Lines>
  <Paragraphs>2</Paragraphs>
  <TotalTime>30</TotalTime>
  <ScaleCrop>false</ScaleCrop>
  <LinksUpToDate>false</LinksUpToDate>
  <CharactersWithSpaces>1111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2023-07-05T02:46:00Z</dcterms:created>
  <dc:creator>Administrator</dc:creator>
  <cp:lastModifiedBy>shi</cp:lastModifiedBy>
  <cp:lastPrinted>2023-07-14T08:50:00Z</cp:lastPrinted>
  <dcterms:modified xsi:type="dcterms:W3CDTF">2024-03-15T06:06:01Z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B08DD4234E87469BBF3AD588D459C6B1_11</vt:lpwstr>
  </property>
</Properties>
</file>