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bookmarkStart w:id="0" w:name="_Toc24768"/>
      <w:bookmarkStart w:id="1" w:name="_Toc15637"/>
      <w:r>
        <w:rPr>
          <w:rFonts w:hint="eastAsia" w:ascii="方正小标宋简体" w:hAnsi="方正小标宋_GBK" w:eastAsia="方正小标宋简体" w:cs="方正小标宋_GBK"/>
          <w:color w:val="000000"/>
          <w:sz w:val="44"/>
          <w:szCs w:val="44"/>
          <w:lang w:val="en-US" w:eastAsia="zh-CN"/>
        </w:rPr>
        <w:t xml:space="preserve"> </w:t>
      </w:r>
    </w:p>
    <w:p>
      <w:pPr>
        <w:spacing w:line="200" w:lineRule="exact"/>
        <w:ind w:firstLine="1897"/>
        <w:jc w:val="center"/>
        <w:rPr>
          <w:rFonts w:ascii="华文中宋" w:hAnsi="华文中宋" w:eastAsia="华文中宋"/>
          <w:b/>
          <w:color w:val="000000"/>
          <w:spacing w:val="100"/>
          <w:w w:val="65"/>
          <w:sz w:val="115"/>
        </w:rPr>
      </w:pPr>
    </w:p>
    <w:p>
      <w:pPr>
        <w:pStyle w:val="2"/>
        <w:rPr>
          <w:color w:val="000000"/>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keepNext w:val="0"/>
        <w:keepLines w:val="0"/>
        <w:pageBreakBefore w:val="0"/>
        <w:widowControl w:val="0"/>
        <w:kinsoku/>
        <w:wordWrap/>
        <w:overflowPunct/>
        <w:topLinePunct w:val="0"/>
        <w:autoSpaceDE/>
        <w:autoSpaceDN/>
        <w:bidi w:val="0"/>
        <w:adjustRightInd/>
        <w:snapToGrid/>
        <w:spacing w:line="1500" w:lineRule="exact"/>
        <w:ind w:firstLine="0" w:firstLineChars="0"/>
        <w:jc w:val="center"/>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9"/>
        <w:keepNext w:val="0"/>
        <w:keepLines w:val="0"/>
        <w:pageBreakBefore w:val="0"/>
        <w:widowControl w:val="0"/>
        <w:kinsoku/>
        <w:wordWrap/>
        <w:overflowPunct/>
        <w:topLinePunct w:val="0"/>
        <w:autoSpaceDE/>
        <w:autoSpaceDN/>
        <w:bidi w:val="0"/>
        <w:adjustRightInd/>
        <w:snapToGrid/>
        <w:spacing w:line="700" w:lineRule="exact"/>
        <w:ind w:firstLine="280" w:firstLineChars="100"/>
        <w:textAlignment w:val="auto"/>
        <w:rPr>
          <w:color w:val="000000"/>
        </w:rPr>
      </w:pPr>
    </w:p>
    <w:p>
      <w:pPr>
        <w:pStyle w:val="9"/>
        <w:spacing w:line="160" w:lineRule="exact"/>
        <w:rPr>
          <w:rFonts w:hint="eastAsia" w:ascii="仿宋_GB2312" w:hAnsi="仿宋_GB2312" w:eastAsia="仿宋_GB2312" w:cs="仿宋_GB2312"/>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color w:val="000000"/>
          <w:w w:val="70"/>
          <w:sz w:val="32"/>
          <w:szCs w:val="32"/>
        </w:rPr>
      </w:pPr>
      <w:r>
        <w:rPr>
          <w:rFonts w:ascii="Calibri" w:hAnsi="Calibri" w:eastAsia="宋体"/>
          <w:color w:val="000000"/>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398145</wp:posOffset>
                </wp:positionV>
                <wp:extent cx="5742940" cy="0"/>
                <wp:effectExtent l="0" t="9525" r="10160" b="9525"/>
                <wp:wrapNone/>
                <wp:docPr id="1" name="直接连接符 1"/>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1.35pt;height:0pt;width:452.2pt;z-index:251659264;mso-width-relative:page;mso-height-relative:page;" filled="f" stroked="t" coordsize="21600,21600" o:gfxdata="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DOxDYAAAACAEAAA8AAAAAAAAAAQAgAAAAIgAAAGRycy9kb3ducmV2&#10;LnhtbFBLAQIUABQAAAAIAIdO4kB38MCu/AEAAPMDAAAOAAAAAAAAAAEAIAAAACcBAABkcnMvZTJv&#10;RG9jLnhtbFBLBQYAAAAABgAGAFkBAACV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ind w:left="0" w:leftChars="0" w:right="0" w:firstLine="0" w:firstLineChars="0"/>
        <w:contextualSpacing/>
        <w:jc w:val="center"/>
        <w:textAlignment w:val="auto"/>
        <w:rPr>
          <w:rFonts w:ascii="文星标宋" w:hAnsi="文星标宋" w:eastAsia="文星标宋" w:cs="黑体"/>
          <w:sz w:val="44"/>
          <w:szCs w:val="44"/>
        </w:rPr>
      </w:pPr>
      <w:r>
        <w:rPr>
          <w:rFonts w:hint="eastAsia" w:ascii="文星标宋" w:hAnsi="文星标宋" w:eastAsia="文星标宋" w:cs="黑体"/>
          <w:sz w:val="44"/>
          <w:szCs w:val="44"/>
        </w:rPr>
        <w:t>济南市章丘区人民政府办公室</w:t>
      </w:r>
    </w:p>
    <w:p>
      <w:pPr>
        <w:keepNext w:val="0"/>
        <w:keepLines w:val="0"/>
        <w:pageBreakBefore w:val="0"/>
        <w:widowControl w:val="0"/>
        <w:kinsoku/>
        <w:wordWrap/>
        <w:overflowPunct/>
        <w:topLinePunct w:val="0"/>
        <w:autoSpaceDE/>
        <w:autoSpaceDN/>
        <w:bidi w:val="0"/>
        <w:snapToGrid/>
        <w:spacing w:line="560" w:lineRule="exact"/>
        <w:ind w:left="0" w:leftChars="0" w:right="0" w:firstLine="0" w:firstLineChars="0"/>
        <w:contextualSpacing/>
        <w:jc w:val="center"/>
        <w:textAlignment w:val="auto"/>
        <w:rPr>
          <w:rFonts w:ascii="文星标宋" w:hAnsi="文星标宋" w:eastAsia="文星标宋" w:cs="黑体"/>
          <w:sz w:val="44"/>
          <w:szCs w:val="44"/>
        </w:rPr>
      </w:pPr>
      <w:r>
        <w:rPr>
          <w:rFonts w:hint="eastAsia" w:ascii="文星标宋" w:hAnsi="文星标宋" w:eastAsia="文星标宋" w:cs="黑体"/>
          <w:sz w:val="44"/>
          <w:szCs w:val="44"/>
        </w:rPr>
        <w:t>关于印发济南市章丘区近零碳城市示范创建</w:t>
      </w:r>
    </w:p>
    <w:p>
      <w:pPr>
        <w:keepNext w:val="0"/>
        <w:keepLines w:val="0"/>
        <w:pageBreakBefore w:val="0"/>
        <w:widowControl w:val="0"/>
        <w:kinsoku/>
        <w:wordWrap/>
        <w:overflowPunct/>
        <w:topLinePunct w:val="0"/>
        <w:autoSpaceDE/>
        <w:autoSpaceDN/>
        <w:bidi w:val="0"/>
        <w:snapToGrid/>
        <w:spacing w:line="560" w:lineRule="exact"/>
        <w:ind w:left="0" w:leftChars="0" w:right="0" w:firstLine="0" w:firstLineChars="0"/>
        <w:contextualSpacing/>
        <w:jc w:val="center"/>
        <w:textAlignment w:val="auto"/>
        <w:rPr>
          <w:rFonts w:ascii="文星标宋" w:hAnsi="文星标宋" w:eastAsia="文星标宋" w:cs="黑体"/>
          <w:sz w:val="44"/>
          <w:szCs w:val="44"/>
        </w:rPr>
      </w:pPr>
      <w:r>
        <w:rPr>
          <w:rFonts w:hint="eastAsia" w:ascii="文星标宋" w:hAnsi="文星标宋" w:eastAsia="文星标宋" w:cs="黑体"/>
          <w:sz w:val="44"/>
          <w:szCs w:val="44"/>
        </w:rPr>
        <w:t>实施方案的通知</w:t>
      </w:r>
    </w:p>
    <w:p>
      <w:pPr>
        <w:keepNext w:val="0"/>
        <w:keepLines w:val="0"/>
        <w:pageBreakBefore w:val="0"/>
        <w:widowControl w:val="0"/>
        <w:kinsoku/>
        <w:wordWrap/>
        <w:overflowPunct/>
        <w:topLinePunct w:val="0"/>
        <w:autoSpaceDE/>
        <w:autoSpaceDN/>
        <w:bidi w:val="0"/>
        <w:snapToGrid/>
        <w:spacing w:line="560" w:lineRule="exact"/>
        <w:ind w:left="0" w:leftChars="0" w:right="0" w:firstLine="0" w:firstLineChars="0"/>
        <w:contextualSpacing/>
        <w:textAlignment w:val="auto"/>
        <w:rPr>
          <w:sz w:val="24"/>
        </w:rPr>
      </w:pPr>
    </w:p>
    <w:p>
      <w:pPr>
        <w:keepNext w:val="0"/>
        <w:keepLines w:val="0"/>
        <w:pageBreakBefore w:val="0"/>
        <w:widowControl w:val="0"/>
        <w:kinsoku/>
        <w:wordWrap/>
        <w:overflowPunct/>
        <w:topLinePunct w:val="0"/>
        <w:autoSpaceDE/>
        <w:autoSpaceDN/>
        <w:bidi w:val="0"/>
        <w:snapToGrid/>
        <w:spacing w:line="560" w:lineRule="exact"/>
        <w:ind w:left="0" w:leftChars="0" w:right="0" w:firstLine="0" w:firstLineChars="0"/>
        <w:contextualSpacing/>
        <w:textAlignment w:val="auto"/>
        <w:rPr>
          <w:rFonts w:ascii="仿宋_GB2312" w:hAnsi="仿宋"/>
          <w:szCs w:val="32"/>
        </w:rPr>
      </w:pPr>
      <w:r>
        <w:rPr>
          <w:rFonts w:hint="eastAsia" w:ascii="仿宋_GB2312" w:hAnsi="仿宋"/>
          <w:szCs w:val="32"/>
        </w:rPr>
        <w:t>各街道办事处、镇人民政府，区政府各部门（单位）：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contextualSpacing/>
        <w:textAlignment w:val="auto"/>
        <w:rPr>
          <w:rFonts w:ascii="仿宋_GB2312" w:hAnsi="仿宋"/>
          <w:szCs w:val="32"/>
        </w:rPr>
      </w:pPr>
      <w:r>
        <w:rPr>
          <w:rFonts w:hint="eastAsia" w:ascii="仿宋_GB2312" w:hAnsi="仿宋"/>
          <w:szCs w:val="32"/>
        </w:rPr>
        <w:t>《济南市章丘区近零碳城市示范创建实施方案》已经区政府同意，现印发给你们，请认真组织实施。</w:t>
      </w:r>
    </w:p>
    <w:p>
      <w:pPr>
        <w:keepNext w:val="0"/>
        <w:keepLines w:val="0"/>
        <w:pageBreakBefore w:val="0"/>
        <w:widowControl w:val="0"/>
        <w:kinsoku/>
        <w:wordWrap/>
        <w:overflowPunct/>
        <w:topLinePunct w:val="0"/>
        <w:autoSpaceDE/>
        <w:autoSpaceDN/>
        <w:bidi w:val="0"/>
        <w:spacing w:line="560" w:lineRule="exact"/>
        <w:ind w:left="0" w:leftChars="0" w:right="0" w:firstLine="640"/>
        <w:textAlignment w:val="auto"/>
        <w:rPr>
          <w:rFonts w:ascii="仿宋" w:hAnsi="仿宋" w:eastAsia="仿宋" w:cs="仿宋"/>
          <w:szCs w:val="32"/>
        </w:rPr>
      </w:pPr>
    </w:p>
    <w:p>
      <w:pPr>
        <w:keepNext w:val="0"/>
        <w:keepLines w:val="0"/>
        <w:pageBreakBefore w:val="0"/>
        <w:widowControl w:val="0"/>
        <w:kinsoku/>
        <w:wordWrap/>
        <w:overflowPunct/>
        <w:topLinePunct w:val="0"/>
        <w:autoSpaceDE/>
        <w:autoSpaceDN/>
        <w:bidi w:val="0"/>
        <w:spacing w:line="560" w:lineRule="exact"/>
        <w:ind w:left="0" w:leftChars="0" w:right="0" w:firstLine="640"/>
        <w:textAlignment w:val="auto"/>
        <w:rPr>
          <w:rFonts w:ascii="仿宋" w:hAnsi="仿宋" w:eastAsia="仿宋" w:cs="仿宋"/>
          <w:szCs w:val="32"/>
        </w:rPr>
      </w:pPr>
    </w:p>
    <w:p>
      <w:pPr>
        <w:keepNext w:val="0"/>
        <w:keepLines w:val="0"/>
        <w:pageBreakBefore w:val="0"/>
        <w:widowControl w:val="0"/>
        <w:kinsoku/>
        <w:wordWrap/>
        <w:overflowPunct/>
        <w:topLinePunct w:val="0"/>
        <w:autoSpaceDE/>
        <w:autoSpaceDN/>
        <w:bidi w:val="0"/>
        <w:spacing w:line="560" w:lineRule="exact"/>
        <w:ind w:left="0" w:leftChars="0" w:right="0" w:firstLine="640"/>
        <w:contextualSpacing/>
        <w:jc w:val="right"/>
        <w:textAlignment w:val="auto"/>
        <w:rPr>
          <w:rFonts w:ascii="仿宋_GB2312" w:hAnsi="仿宋"/>
          <w:szCs w:val="32"/>
        </w:rPr>
      </w:pPr>
      <w:r>
        <w:rPr>
          <w:rFonts w:hint="eastAsia" w:ascii="仿宋_GB2312" w:hAnsi="仿宋"/>
          <w:szCs w:val="32"/>
        </w:rPr>
        <w:t>济南市章丘区人民政府办公室</w:t>
      </w:r>
    </w:p>
    <w:p>
      <w:pPr>
        <w:keepNext w:val="0"/>
        <w:keepLines w:val="0"/>
        <w:pageBreakBefore w:val="0"/>
        <w:widowControl w:val="0"/>
        <w:kinsoku/>
        <w:wordWrap/>
        <w:overflowPunct/>
        <w:topLinePunct w:val="0"/>
        <w:autoSpaceDE/>
        <w:autoSpaceDN/>
        <w:bidi w:val="0"/>
        <w:spacing w:line="560" w:lineRule="exact"/>
        <w:ind w:left="0" w:leftChars="0" w:right="0" w:firstLine="640"/>
        <w:contextualSpacing/>
        <w:jc w:val="center"/>
        <w:textAlignment w:val="auto"/>
        <w:rPr>
          <w:rFonts w:ascii="仿宋_GB2312" w:hAnsi="仿宋"/>
          <w:szCs w:val="32"/>
        </w:rPr>
      </w:pPr>
      <w:r>
        <w:rPr>
          <w:rFonts w:hint="eastAsia" w:ascii="仿宋_GB2312" w:hAnsi="仿宋"/>
          <w:szCs w:val="32"/>
          <w:lang w:val="en-US" w:eastAsia="zh-CN"/>
        </w:rPr>
        <w:t xml:space="preserve">                         </w:t>
      </w:r>
      <w:r>
        <w:rPr>
          <w:rFonts w:hint="eastAsia" w:ascii="仿宋_GB2312" w:hAnsi="仿宋"/>
          <w:szCs w:val="32"/>
        </w:rPr>
        <w:t>2024年1月</w:t>
      </w:r>
      <w:r>
        <w:rPr>
          <w:rFonts w:hint="eastAsia" w:ascii="仿宋_GB2312" w:hAnsi="仿宋"/>
          <w:szCs w:val="32"/>
          <w:lang w:val="en-US" w:eastAsia="zh-CN"/>
        </w:rPr>
        <w:t>17</w:t>
      </w:r>
      <w:r>
        <w:rPr>
          <w:rFonts w:hint="eastAsia" w:ascii="仿宋_GB2312" w:hAnsi="仿宋"/>
          <w:szCs w:val="32"/>
        </w:rPr>
        <w:t>日</w:t>
      </w:r>
    </w:p>
    <w:p>
      <w:pPr>
        <w:keepNext w:val="0"/>
        <w:keepLines w:val="0"/>
        <w:pageBreakBefore w:val="0"/>
        <w:widowControl w:val="0"/>
        <w:kinsoku/>
        <w:wordWrap/>
        <w:overflowPunct/>
        <w:topLinePunct w:val="0"/>
        <w:autoSpaceDE/>
        <w:autoSpaceDN/>
        <w:bidi w:val="0"/>
        <w:spacing w:line="560" w:lineRule="exact"/>
        <w:ind w:left="0" w:leftChars="0" w:right="0" w:firstLine="643"/>
        <w:contextualSpacing/>
        <w:jc w:val="left"/>
        <w:textAlignment w:val="auto"/>
        <w:rPr>
          <w:b/>
          <w:bCs/>
          <w:szCs w:val="32"/>
        </w:rPr>
      </w:pPr>
    </w:p>
    <w:p>
      <w:pPr>
        <w:keepNext w:val="0"/>
        <w:keepLines w:val="0"/>
        <w:pageBreakBefore w:val="0"/>
        <w:widowControl w:val="0"/>
        <w:kinsoku/>
        <w:wordWrap/>
        <w:overflowPunct/>
        <w:topLinePunct w:val="0"/>
        <w:autoSpaceDE/>
        <w:autoSpaceDN/>
        <w:bidi w:val="0"/>
        <w:spacing w:line="560" w:lineRule="exact"/>
        <w:ind w:left="0" w:leftChars="0" w:firstLine="640"/>
        <w:contextualSpacing/>
        <w:jc w:val="left"/>
        <w:textAlignment w:val="auto"/>
        <w:rPr>
          <w:rFonts w:ascii="仿宋_GB2312" w:hAnsi="仿宋"/>
          <w:szCs w:val="32"/>
        </w:rPr>
      </w:pPr>
      <w:r>
        <w:rPr>
          <w:rFonts w:hint="eastAsia" w:ascii="仿宋_GB2312" w:hAnsi="仿宋" w:cs="仿宋"/>
          <w:szCs w:val="32"/>
        </w:rPr>
        <w:t>（联系电话：区生态环境分局科技标准科，83265223）</w:t>
      </w:r>
    </w:p>
    <w:p>
      <w:pPr>
        <w:keepNext w:val="0"/>
        <w:keepLines w:val="0"/>
        <w:pageBreakBefore w:val="0"/>
        <w:widowControl w:val="0"/>
        <w:kinsoku/>
        <w:wordWrap/>
        <w:overflowPunct/>
        <w:topLinePunct w:val="0"/>
        <w:autoSpaceDE/>
        <w:autoSpaceDN/>
        <w:bidi w:val="0"/>
        <w:spacing w:line="560" w:lineRule="exact"/>
        <w:ind w:left="0" w:leftChars="0" w:firstLine="640"/>
        <w:contextualSpacing/>
        <w:jc w:val="left"/>
        <w:textAlignment w:val="auto"/>
        <w:rPr>
          <w:rFonts w:ascii="仿宋_GB2312" w:hAnsi="仿宋"/>
          <w:szCs w:val="32"/>
        </w:rPr>
      </w:pPr>
      <w:r>
        <w:rPr>
          <w:rFonts w:hint="eastAsia" w:ascii="仿宋_GB2312" w:hAnsi="仿宋"/>
          <w:szCs w:val="32"/>
        </w:rPr>
        <w:t>（此件公开发布）</w:t>
      </w:r>
    </w:p>
    <w:p>
      <w:pPr>
        <w:adjustRightInd/>
        <w:snapToGrid/>
        <w:ind w:firstLine="0" w:firstLineChars="0"/>
        <w:contextualSpacing/>
        <w:jc w:val="center"/>
        <w:rPr>
          <w:rFonts w:ascii="文星标宋" w:hAnsi="文星标宋" w:eastAsia="文星标宋" w:cs="文星标宋"/>
          <w:sz w:val="44"/>
          <w:szCs w:val="44"/>
        </w:rPr>
      </w:pPr>
    </w:p>
    <w:bookmarkEnd w:id="0"/>
    <w:bookmarkEnd w:id="1"/>
    <w:p>
      <w:pPr>
        <w:spacing w:before="312" w:beforeLines="100" w:after="156" w:afterLines="50"/>
        <w:ind w:firstLine="0" w:firstLineChars="0"/>
        <w:jc w:val="center"/>
        <w:outlineLvl w:val="0"/>
        <w:rPr>
          <w:rFonts w:hint="eastAsia" w:ascii="文星标宋" w:hAnsi="文星标宋" w:eastAsia="文星标宋" w:cs="文星标宋"/>
          <w:sz w:val="44"/>
          <w:szCs w:val="44"/>
        </w:rPr>
      </w:pPr>
      <w:bookmarkStart w:id="2" w:name="_Toc26062"/>
      <w:bookmarkStart w:id="3" w:name="_Toc29658"/>
      <w:bookmarkStart w:id="4" w:name="_Toc32269"/>
      <w:bookmarkStart w:id="5" w:name="_Toc152749935"/>
    </w:p>
    <w:p>
      <w:pPr>
        <w:spacing w:before="312" w:beforeLines="100" w:after="156" w:afterLines="50"/>
        <w:ind w:firstLine="0" w:firstLineChars="0"/>
        <w:jc w:val="center"/>
        <w:outlineLvl w:val="0"/>
        <w:rPr>
          <w:rFonts w:ascii="文星标宋" w:hAnsi="文星标宋" w:eastAsia="文星标宋" w:cs="文星标宋"/>
          <w:sz w:val="44"/>
          <w:szCs w:val="44"/>
        </w:rPr>
      </w:pPr>
      <w:r>
        <w:rPr>
          <w:rFonts w:hint="eastAsia" w:ascii="文星标宋" w:hAnsi="文星标宋" w:eastAsia="文星标宋" w:cs="文星标宋"/>
          <w:sz w:val="44"/>
          <w:szCs w:val="44"/>
        </w:rPr>
        <w:t>济南市章丘区近零碳城市示范创建实施方案</w:t>
      </w:r>
    </w:p>
    <w:p>
      <w:pPr>
        <w:snapToGrid/>
        <w:ind w:firstLine="0" w:firstLineChars="0"/>
        <w:contextualSpacing/>
        <w:jc w:val="center"/>
        <w:outlineLvl w:val="0"/>
        <w:rPr>
          <w:rFonts w:ascii="黑体" w:hAnsi="黑体" w:eastAsia="黑体" w:cs="黑体"/>
          <w:szCs w:val="32"/>
        </w:rPr>
      </w:pPr>
      <w:r>
        <w:rPr>
          <w:rFonts w:hint="eastAsia" w:ascii="黑体" w:hAnsi="黑体" w:eastAsia="黑体" w:cs="黑体"/>
          <w:szCs w:val="32"/>
        </w:rPr>
        <w:t>前  言</w:t>
      </w:r>
      <w:bookmarkEnd w:id="2"/>
      <w:bookmarkEnd w:id="3"/>
      <w:bookmarkEnd w:id="4"/>
      <w:bookmarkEnd w:id="5"/>
    </w:p>
    <w:p>
      <w:pPr>
        <w:snapToGrid/>
        <w:ind w:firstLine="640"/>
        <w:contextualSpacing/>
      </w:pPr>
      <w:r>
        <w:t>实现碳达峰、碳中和，是以习近平同志为核心的党中央经过深思熟虑作出的重大战略决策，事关中华民族永续发展和构建人类命运共同体。</w:t>
      </w:r>
      <w:r>
        <w:rPr>
          <w:rFonts w:hint="eastAsia" w:ascii="仿宋_GB2312" w:hAnsi="仿宋" w:cstheme="minorBidi"/>
          <w:szCs w:val="32"/>
        </w:rPr>
        <w:t>2020</w:t>
      </w:r>
      <w:r>
        <w:t>年</w:t>
      </w:r>
      <w:r>
        <w:rPr>
          <w:rFonts w:hint="eastAsia" w:ascii="仿宋_GB2312" w:hAnsi="仿宋" w:cstheme="minorBidi"/>
          <w:szCs w:val="32"/>
        </w:rPr>
        <w:t>9</w:t>
      </w:r>
      <w:r>
        <w:t>月</w:t>
      </w:r>
      <w:r>
        <w:rPr>
          <w:rFonts w:hint="eastAsia" w:ascii="仿宋_GB2312" w:hAnsi="仿宋" w:cstheme="minorBidi"/>
          <w:szCs w:val="32"/>
        </w:rPr>
        <w:t>22</w:t>
      </w:r>
      <w:r>
        <w:t>日，习近平总书记在第七十五届联合国大会上宣布</w:t>
      </w:r>
      <w:r>
        <w:rPr>
          <w:rFonts w:hint="eastAsia"/>
        </w:rPr>
        <w:t>“</w:t>
      </w:r>
      <w:r>
        <w:t>中国二氧化碳排放力争于</w:t>
      </w:r>
      <w:r>
        <w:rPr>
          <w:rFonts w:hint="eastAsia" w:ascii="仿宋_GB2312" w:hAnsi="仿宋" w:cstheme="minorBidi"/>
          <w:szCs w:val="32"/>
        </w:rPr>
        <w:t>2030</w:t>
      </w:r>
      <w:r>
        <w:t>年前达到峰值，努力争取</w:t>
      </w:r>
      <w:r>
        <w:rPr>
          <w:rFonts w:hint="eastAsia" w:ascii="仿宋_GB2312" w:hAnsi="仿宋" w:cstheme="minorBidi"/>
          <w:szCs w:val="32"/>
        </w:rPr>
        <w:t>2060</w:t>
      </w:r>
      <w:r>
        <w:t>年前实现碳中和</w:t>
      </w:r>
      <w:r>
        <w:rPr>
          <w:rFonts w:hint="eastAsia"/>
        </w:rPr>
        <w:t>”</w:t>
      </w:r>
      <w:r>
        <w:t>。</w:t>
      </w:r>
      <w:r>
        <w:rPr>
          <w:rFonts w:hint="eastAsia" w:ascii="仿宋_GB2312" w:hAnsi="仿宋" w:cstheme="minorBidi"/>
          <w:szCs w:val="32"/>
        </w:rPr>
        <w:t>2023</w:t>
      </w:r>
      <w:r>
        <w:t>年</w:t>
      </w:r>
      <w:r>
        <w:rPr>
          <w:rFonts w:hint="eastAsia" w:ascii="仿宋_GB2312" w:hAnsi="仿宋" w:cstheme="minorBidi"/>
          <w:szCs w:val="32"/>
        </w:rPr>
        <w:t>7</w:t>
      </w:r>
      <w:r>
        <w:t>月，在全国生态环境保护大会上，习近平总书记深刻阐述了新征程上推进生态文明建设需要处理好</w:t>
      </w:r>
      <w:r>
        <w:rPr>
          <w:rFonts w:hint="eastAsia"/>
        </w:rPr>
        <w:t>“</w:t>
      </w:r>
      <w:r>
        <w:t>双碳</w:t>
      </w:r>
      <w:r>
        <w:rPr>
          <w:rFonts w:hint="eastAsia"/>
        </w:rPr>
        <w:t>”</w:t>
      </w:r>
      <w:r>
        <w:t>承诺和自主行动的关系。近零碳示范创建是我省落实习近平总书记</w:t>
      </w:r>
      <w:r>
        <w:rPr>
          <w:rFonts w:hint="eastAsia"/>
        </w:rPr>
        <w:t>“</w:t>
      </w:r>
      <w:r>
        <w:t>双碳</w:t>
      </w:r>
      <w:r>
        <w:rPr>
          <w:rFonts w:hint="eastAsia"/>
        </w:rPr>
        <w:t>”</w:t>
      </w:r>
      <w:r>
        <w:t>战略重要指示精神，引领绿色低碳发展，探索碳达峰碳中和推进路径的一项重要举措。</w:t>
      </w:r>
    </w:p>
    <w:p>
      <w:pPr>
        <w:snapToGrid/>
        <w:ind w:firstLine="640"/>
        <w:contextualSpacing/>
      </w:pPr>
      <w:r>
        <w:t>山东省作为全国工业大省、碳排放大省和实体经济大省，能源消费总量和碳排放量均占全国</w:t>
      </w:r>
      <w:r>
        <w:rPr>
          <w:rFonts w:hint="eastAsia" w:ascii="仿宋_GB2312" w:hAnsi="仿宋" w:cstheme="minorBidi"/>
          <w:szCs w:val="32"/>
        </w:rPr>
        <w:t>1/10</w:t>
      </w:r>
      <w:r>
        <w:t>左右，产业结构偏重、能源结构偏煤，绿色低碳转型任务艰巨。</w:t>
      </w:r>
      <w:r>
        <w:rPr>
          <w:rFonts w:hint="eastAsia"/>
        </w:rPr>
        <w:t>山东省委、省政府高度重视碳达峰工作，</w:t>
      </w:r>
      <w:r>
        <w:t>不断强化降碳源头防控，聚焦产业、能源、运输、农业投入与用地结构四大领域，协同推进降碳、减污、扩绿、增长，全力推动碳普惠、近零碳示范创建，推动绿色低碳高质量发展。</w:t>
      </w:r>
      <w:r>
        <w:rPr>
          <w:rFonts w:hint="eastAsia" w:ascii="仿宋_GB2312" w:hAnsi="仿宋" w:cstheme="minorBidi"/>
          <w:szCs w:val="32"/>
        </w:rPr>
        <w:t>2023</w:t>
      </w:r>
      <w:r>
        <w:t>年</w:t>
      </w:r>
      <w:r>
        <w:rPr>
          <w:rFonts w:hint="eastAsia" w:ascii="仿宋_GB2312" w:hAnsi="仿宋" w:cstheme="minorBidi"/>
          <w:szCs w:val="32"/>
        </w:rPr>
        <w:t>7</w:t>
      </w:r>
      <w:r>
        <w:t>月，山东省生态环境厅发布了《山东省近零碳城市、近零碳园区、近零碳社区示范创建实施方案》，以低碳工作基础较好、减排潜力较大的县（市、区）、园区和社区为突破口，开展近零碳示范创建，探索近零碳发展典型模式和关键路径，促进减污降碳协同增效，服务和推动绿色低碳高质量发展先行区建设。</w:t>
      </w:r>
    </w:p>
    <w:p>
      <w:pPr>
        <w:snapToGrid/>
        <w:ind w:firstLine="640"/>
        <w:contextualSpacing/>
      </w:pPr>
      <w:r>
        <w:rPr>
          <w:rFonts w:hint="eastAsia"/>
        </w:rPr>
        <w:t>章丘</w:t>
      </w:r>
      <w:r>
        <w:t>是</w:t>
      </w:r>
      <w:r>
        <w:rPr>
          <w:rFonts w:hint="eastAsia"/>
        </w:rPr>
        <w:t>工业强区</w:t>
      </w:r>
      <w:r>
        <w:t>，</w:t>
      </w:r>
      <w:r>
        <w:rPr>
          <w:rFonts w:hint="eastAsia" w:ascii="仿宋_GB2312" w:hAnsi="仿宋" w:cstheme="minorBidi"/>
          <w:szCs w:val="32"/>
        </w:rPr>
        <w:t>2020-2022</w:t>
      </w:r>
      <w:r>
        <w:t>年单位地区生产总值均在</w:t>
      </w:r>
      <w:r>
        <w:rPr>
          <w:rFonts w:hint="eastAsia" w:ascii="仿宋_GB2312" w:hAnsi="仿宋" w:cstheme="minorBidi"/>
          <w:szCs w:val="32"/>
        </w:rPr>
        <w:t>1000</w:t>
      </w:r>
      <w:r>
        <w:rPr>
          <w:rFonts w:hint="eastAsia"/>
        </w:rPr>
        <w:t>亿元</w:t>
      </w:r>
      <w:r>
        <w:t>级别。作为国家级新型工业化产业示范基地、国家级先进机械制造业特色产业基地、全国工业百强区、全省首批工业十强县，</w:t>
      </w:r>
      <w:r>
        <w:rPr>
          <w:rFonts w:hint="eastAsia"/>
        </w:rPr>
        <w:t>章丘</w:t>
      </w:r>
      <w:r>
        <w:t>区产业基础雄厚，近些年通过扎实推进</w:t>
      </w:r>
      <w:r>
        <w:rPr>
          <w:rFonts w:hint="eastAsia"/>
        </w:rPr>
        <w:t>“</w:t>
      </w:r>
      <w:r>
        <w:t>四减四增</w:t>
      </w:r>
      <w:r>
        <w:rPr>
          <w:rFonts w:hint="eastAsia"/>
        </w:rPr>
        <w:t>”</w:t>
      </w:r>
      <w:r>
        <w:t>等工作，全区绿色低碳发展初见成效，但经济发展严重依赖煤电、</w:t>
      </w:r>
      <w:r>
        <w:rPr>
          <w:rFonts w:hint="eastAsia"/>
        </w:rPr>
        <w:t>化工、</w:t>
      </w:r>
      <w:r>
        <w:t>铸造等高污染、高耗能行业，短期内产业和能源结构难以发生根本性转变。章丘作为</w:t>
      </w:r>
      <w:r>
        <w:rPr>
          <w:rFonts w:hint="eastAsia"/>
        </w:rPr>
        <w:t>“</w:t>
      </w:r>
      <w:r>
        <w:t>铁匠之乡</w:t>
      </w:r>
      <w:r>
        <w:rPr>
          <w:rFonts w:hint="eastAsia"/>
        </w:rPr>
        <w:t>”“</w:t>
      </w:r>
      <w:r>
        <w:t>铸造之乡</w:t>
      </w:r>
      <w:r>
        <w:rPr>
          <w:rFonts w:hint="eastAsia"/>
        </w:rPr>
        <w:t>”</w:t>
      </w:r>
      <w:r>
        <w:t>，经济发展仍依赖于高碳投入的束缚，推进绿色低碳高质量发展是章丘低碳发展的必经之路，区委区政府高度重视，提出开展近零碳城市创建，综合运用低碳管理机制，推进能源、产业、建筑、交通等领域低碳发展，倡导低碳生活，探索绿色低碳转型发展经验，推动区域绿色低碳高质量发展。</w:t>
      </w:r>
    </w:p>
    <w:p>
      <w:pPr>
        <w:adjustRightInd/>
        <w:snapToGrid/>
        <w:ind w:firstLine="640"/>
        <w:contextualSpacing/>
        <w:rPr>
          <w:rFonts w:ascii="黑体" w:hAnsi="黑体" w:eastAsia="黑体" w:cs="黑体"/>
          <w:szCs w:val="32"/>
        </w:rPr>
      </w:pPr>
      <w:bookmarkStart w:id="6" w:name="_Toc152749936"/>
      <w:bookmarkStart w:id="7" w:name="_Toc29194"/>
      <w:bookmarkStart w:id="8" w:name="_Toc17944"/>
      <w:r>
        <w:rPr>
          <w:rFonts w:hint="eastAsia" w:ascii="黑体" w:hAnsi="黑体" w:eastAsia="黑体" w:cs="黑体"/>
          <w:szCs w:val="32"/>
        </w:rPr>
        <w:t>一、建设基础</w:t>
      </w:r>
      <w:bookmarkEnd w:id="6"/>
      <w:bookmarkEnd w:id="7"/>
      <w:bookmarkEnd w:id="8"/>
    </w:p>
    <w:p>
      <w:pPr>
        <w:pStyle w:val="4"/>
        <w:snapToGrid/>
        <w:ind w:firstLine="640"/>
        <w:contextualSpacing/>
        <w:rPr>
          <w:rFonts w:ascii="楷体_GB2312" w:hAnsi="楷体" w:cs="楷体"/>
          <w:szCs w:val="32"/>
        </w:rPr>
      </w:pPr>
      <w:bookmarkStart w:id="9" w:name="_Toc16775"/>
      <w:bookmarkStart w:id="10" w:name="_Toc25024"/>
      <w:bookmarkStart w:id="11" w:name="_Toc152749937"/>
      <w:r>
        <w:rPr>
          <w:rFonts w:hint="eastAsia" w:ascii="楷体_GB2312" w:hAnsi="楷体" w:cs="楷体"/>
          <w:szCs w:val="32"/>
        </w:rPr>
        <w:t>（一）区域概况</w:t>
      </w:r>
      <w:bookmarkEnd w:id="9"/>
      <w:bookmarkEnd w:id="10"/>
      <w:bookmarkEnd w:id="11"/>
    </w:p>
    <w:p>
      <w:pPr>
        <w:snapToGrid/>
        <w:ind w:firstLine="640"/>
        <w:contextualSpacing/>
      </w:pPr>
      <w:r>
        <w:rPr>
          <w:rFonts w:hint="eastAsia" w:ascii="仿宋_GB2312" w:hAnsi="楷体" w:cs="楷体"/>
          <w:szCs w:val="32"/>
        </w:rPr>
        <w:t>1.地理位置。</w:t>
      </w:r>
      <w:r>
        <w:rPr>
          <w:rFonts w:hint="eastAsia" w:ascii="仿宋_GB2312" w:hAnsi="仿宋" w:cstheme="minorBidi"/>
          <w:szCs w:val="32"/>
        </w:rPr>
        <w:t>我区位于山东省中部，济南市区东部，泰山东北，黄河南岸，地处北纬36°25′-37°09′，东经117°10′-117°35′之间，总面积1719平方公里。地势处于山区、丘陵、平原，南高北低，黄河流经北境。西邻历城区，东连淄博市周村区、淄川区，南接泰安市岱岳区、济南市莱芜区，东北与邹平市接壤，西北隔黄河与济阳区相望。</w:t>
      </w:r>
    </w:p>
    <w:p>
      <w:pPr>
        <w:snapToGrid/>
        <w:ind w:firstLine="640"/>
        <w:contextualSpacing/>
        <w:rPr>
          <w:rFonts w:ascii="仿宋_GB2312"/>
        </w:rPr>
      </w:pPr>
      <w:r>
        <w:rPr>
          <w:rFonts w:hint="eastAsia" w:ascii="仿宋_GB2312" w:hAnsi="楷体" w:cs="楷体"/>
          <w:szCs w:val="32"/>
        </w:rPr>
        <w:t>2.申报边界。</w:t>
      </w:r>
      <w:r>
        <w:rPr>
          <w:rFonts w:hint="eastAsia" w:ascii="仿宋_GB2312" w:hAnsi="仿宋" w:cstheme="minorBidi"/>
          <w:szCs w:val="32"/>
        </w:rPr>
        <w:t>本次近零碳城市示范创建申报边界为章丘区行政区，辖17个街道、1个镇。其中，17个街道分别为明水街道、双山街道、枣园街道、龙山街道、埠村街道、圣井街道、普集街道、绣惠街道、相公庄街道、文祖街道、官庄街道、曹范街道、宁家埠街道、高官寨街道、白云湖街道、刁镇街道、黄河街道；1个镇为垛庄镇。</w:t>
      </w:r>
    </w:p>
    <w:p>
      <w:pPr>
        <w:snapToGrid/>
        <w:ind w:firstLine="640"/>
        <w:contextualSpacing/>
        <w:rPr>
          <w:rFonts w:ascii="仿宋_GB2312" w:hAnsi="仿宋" w:cstheme="minorBidi"/>
          <w:szCs w:val="32"/>
        </w:rPr>
      </w:pPr>
      <w:r>
        <w:rPr>
          <w:rFonts w:hint="eastAsia" w:ascii="仿宋_GB2312" w:hAnsi="楷体" w:cs="楷体"/>
          <w:szCs w:val="32"/>
        </w:rPr>
        <w:t>3.区域生态环境。</w:t>
      </w:r>
      <w:r>
        <w:rPr>
          <w:rFonts w:hint="eastAsia" w:ascii="仿宋_GB2312" w:hAnsi="仿宋" w:cstheme="minorBidi"/>
          <w:szCs w:val="32"/>
        </w:rPr>
        <w:t>我区坚持以习近平生态文明思想为指导，全面贯彻党的二十大精神，充分发挥统一监管、协调各方作用，踔厉奋发、笃行不怠，推动生态环境保护各项工作取得积极进展。2022年，在空气质量改善方面，可吸入颗粒物（PM</w:t>
      </w:r>
      <w:r>
        <w:rPr>
          <w:rFonts w:hint="eastAsia" w:ascii="仿宋_GB2312" w:hAnsi="仿宋" w:cstheme="minorBidi"/>
          <w:szCs w:val="32"/>
          <w:vertAlign w:val="subscript"/>
        </w:rPr>
        <w:t>10</w:t>
      </w:r>
      <w:r>
        <w:rPr>
          <w:rFonts w:hint="eastAsia" w:ascii="仿宋_GB2312" w:hAnsi="仿宋" w:cstheme="minorBidi"/>
          <w:szCs w:val="32"/>
        </w:rPr>
        <w:t>）、细颗粒物（PM</w:t>
      </w:r>
      <w:r>
        <w:rPr>
          <w:rFonts w:hint="eastAsia" w:ascii="仿宋_GB2312" w:hAnsi="仿宋" w:cstheme="minorBidi"/>
          <w:szCs w:val="32"/>
          <w:vertAlign w:val="subscript"/>
        </w:rPr>
        <w:t>2.5</w:t>
      </w:r>
      <w:r>
        <w:rPr>
          <w:rFonts w:hint="eastAsia" w:ascii="仿宋_GB2312" w:hAnsi="仿宋" w:cstheme="minorBidi"/>
          <w:szCs w:val="32"/>
        </w:rPr>
        <w:t>）浓度年均值分别为78微克/立方米、37微克/立方米，同比分别改善4.9%、2.6%，全年空气质量良好以上天数达到256天，优良率70.1%，同比增长3个百分点。在水环境质量改善方面，纳入市控以上的4条河流断面水质均优于《地表水环境质量标准》Ⅴ类考核目标，断面达标率100%，在济南市第一单元（8个区县）水环境质量综合指数排名中，每月均为第一名。在土壤环境质量改善方面，全区污染地块安全利用率达到100%，土壤环境质量保持安全稳定。</w:t>
      </w:r>
    </w:p>
    <w:p>
      <w:pPr>
        <w:snapToGrid/>
        <w:ind w:firstLine="640"/>
        <w:contextualSpacing/>
        <w:rPr>
          <w:rFonts w:ascii="仿宋_GB2312" w:hAnsi="仿宋" w:cstheme="minorBidi"/>
          <w:szCs w:val="32"/>
        </w:rPr>
      </w:pPr>
      <w:r>
        <w:rPr>
          <w:rFonts w:hint="eastAsia" w:ascii="仿宋_GB2312" w:hAnsi="楷体" w:cs="楷体"/>
          <w:szCs w:val="32"/>
        </w:rPr>
        <w:t>4.地形地貌。</w:t>
      </w:r>
      <w:r>
        <w:rPr>
          <w:rFonts w:hint="eastAsia" w:ascii="仿宋_GB2312" w:hAnsi="仿宋" w:cstheme="minorBidi"/>
          <w:szCs w:val="32"/>
        </w:rPr>
        <w:t>我区境东起普集街道麻秸村东北，西至龙山街道傅家庄西，宽37公里；南起垛庄镇南麦腰村南，北至黄河街道小刘家东北，长70公里。地处泰沂山区北麓，与华北平原接壤，长城岭绵延于南，长白山矗立于东。地形自东南向西北倾斜。境内南部群山绵亘，地势较高；中部多丘陵、平原；北部为平原、洼地。山区、丘陵、平原、洼地分别占全区总面积的30.8%、25.9%、30.7%和12.6%。地面高程一般在海拔50米至200米之间，最高峰为南部的鸡爪顶，海拔924米；最低处系北部刁镇街道朱家洼一带，海拔15米。</w:t>
      </w:r>
    </w:p>
    <w:p>
      <w:pPr>
        <w:snapToGrid/>
        <w:ind w:firstLine="640"/>
        <w:contextualSpacing/>
        <w:rPr>
          <w:rFonts w:ascii="仿宋_GB2312" w:hAnsi="仿宋" w:cstheme="minorBidi"/>
          <w:szCs w:val="32"/>
        </w:rPr>
      </w:pPr>
      <w:r>
        <w:rPr>
          <w:rFonts w:hint="eastAsia" w:ascii="仿宋_GB2312" w:hAnsi="楷体" w:cs="楷体"/>
          <w:szCs w:val="32"/>
        </w:rPr>
        <w:t>5.气候气象。</w:t>
      </w:r>
      <w:r>
        <w:rPr>
          <w:rFonts w:hint="eastAsia" w:ascii="仿宋_GB2312" w:hAnsi="仿宋" w:cstheme="minorBidi"/>
          <w:szCs w:val="32"/>
        </w:rPr>
        <w:t>我区地处中</w:t>
      </w:r>
      <w:bookmarkStart w:id="96" w:name="_GoBack"/>
      <w:bookmarkEnd w:id="96"/>
      <w:r>
        <w:rPr>
          <w:rFonts w:hint="eastAsia" w:ascii="仿宋_GB2312" w:hAnsi="仿宋" w:cstheme="minorBidi"/>
          <w:szCs w:val="32"/>
        </w:rPr>
        <w:t>纬度，属暖温带季风区的大陆性气候。四季分明，雨热同季。春季干旱多风，夏季雨量集中，秋季温和凉爽，冬季雪少干冷。年均日照2647.6小时，日照率60%；年均气温12.8℃，高温年13.6℃，低温年11.7℃；年平均降水量600.8毫米，一般为500—700毫米。因受地势影响，季风反映不明显，除5月份以静风及南南西为主导风向，其他月份以静风及东南东为主导风向。相对湿度为65%，最高年均73%，最低年均59%。无霜期192天，最长218天、最短167天。</w:t>
      </w:r>
    </w:p>
    <w:p>
      <w:pPr>
        <w:snapToGrid/>
        <w:ind w:firstLine="640"/>
        <w:contextualSpacing/>
        <w:rPr>
          <w:rFonts w:ascii="仿宋_GB2312" w:hAnsi="楷体" w:cs="楷体"/>
          <w:szCs w:val="32"/>
        </w:rPr>
      </w:pPr>
      <w:r>
        <w:rPr>
          <w:rFonts w:hint="eastAsia" w:ascii="仿宋_GB2312" w:hAnsi="楷体" w:cs="楷体"/>
          <w:szCs w:val="32"/>
        </w:rPr>
        <w:t>6.自然资源</w:t>
      </w:r>
    </w:p>
    <w:p>
      <w:pPr>
        <w:snapToGrid/>
        <w:ind w:firstLine="640"/>
        <w:contextualSpacing/>
        <w:rPr>
          <w:rFonts w:ascii="仿宋_GB2312" w:hAnsi="仿宋" w:cstheme="minorBidi"/>
          <w:szCs w:val="32"/>
        </w:rPr>
      </w:pPr>
      <w:r>
        <w:rPr>
          <w:rFonts w:hint="eastAsia" w:ascii="仿宋_GB2312" w:hAnsi="仿宋" w:cstheme="minorBidi"/>
          <w:szCs w:val="32"/>
        </w:rPr>
        <w:t>（1）土地资源。我区境内土壤共分4个土类，11个亚类，20个土属，87个土种。棕壤2326.67公顷，占可利用面积的1.9%，主要集中在垛庄镇官营一带，养分较贫乏，易流失，适种花生、地瓜、生姜和松、栎、板栗等。褐土8.83万公顷，占可利用面积的70.2%，分布在中南部，为境内主要土类，大部土体深厚，构型好，保水肥性强，适种多种作物，粮、棉高产稳产。水稻土374.07公顷，占可利用面积的0.3%，集中于明水泉北地带，水源充足，土体深厚，构型好，养分含量高，为境内最优土壤，适种水稻、菱、藕和其他水生作物。潮土3.48万公顷（含盐碱土9006.67公顷），占可利用面积的27.6%，集中于北部沿清、沿黄地带，土体深厚，埋水浅，结构差，养分含量低，水、肥、气、热不协调，多系低产土壤，经多年冲盐洗碱，加施肥料等，肥沃程度提高，可种花生、大豆、西瓜、红麻、向日葵、芦苇等。</w:t>
      </w:r>
    </w:p>
    <w:p>
      <w:pPr>
        <w:snapToGrid/>
        <w:ind w:firstLine="640"/>
        <w:contextualSpacing/>
        <w:rPr>
          <w:rFonts w:ascii="仿宋_GB2312" w:hAnsi="仿宋" w:cstheme="minorBidi"/>
          <w:szCs w:val="32"/>
        </w:rPr>
      </w:pPr>
      <w:r>
        <w:rPr>
          <w:rFonts w:hint="eastAsia" w:ascii="仿宋_GB2312" w:hAnsi="仿宋" w:cstheme="minorBidi"/>
          <w:szCs w:val="32"/>
        </w:rPr>
        <w:t>（2）水资源。我区境内年均水资源总量5.7亿余立方米，其中可利用量4.43亿立方米，占77.72%。多年平均降水量600.8毫米；年均地表水资源总量2.12亿立方米，可利用量1.55亿立方米。平均地下水资源总量3.58亿立方米，可利用量2.88亿立方米。明水泉群年涌水量0.8亿立方米。</w:t>
      </w:r>
    </w:p>
    <w:p>
      <w:pPr>
        <w:snapToGrid/>
        <w:ind w:firstLine="640"/>
        <w:contextualSpacing/>
        <w:rPr>
          <w:rFonts w:ascii="仿宋_GB2312" w:hAnsi="仿宋" w:cstheme="minorBidi"/>
          <w:szCs w:val="32"/>
        </w:rPr>
      </w:pPr>
      <w:r>
        <w:rPr>
          <w:rFonts w:hint="eastAsia" w:ascii="仿宋_GB2312" w:hAnsi="仿宋" w:cstheme="minorBidi"/>
          <w:szCs w:val="32"/>
        </w:rPr>
        <w:t>（3）矿产资源。我区境内矿产资源品种多、储量大。已探明的有16种，主要有煤炭、铝土、石灰石、花岗石，分别为1.26亿吨、4.16亿吨、2.5亿吨和0.3亿立方米。</w:t>
      </w:r>
    </w:p>
    <w:p>
      <w:pPr>
        <w:snapToGrid/>
        <w:ind w:firstLine="640"/>
        <w:contextualSpacing/>
        <w:rPr>
          <w:rFonts w:ascii="仿宋_GB2312" w:hAnsi="仿宋" w:cstheme="minorBidi"/>
          <w:szCs w:val="32"/>
        </w:rPr>
      </w:pPr>
      <w:r>
        <w:rPr>
          <w:rFonts w:hint="eastAsia" w:ascii="仿宋_GB2312" w:hAnsi="楷体" w:cs="楷体"/>
          <w:szCs w:val="32"/>
        </w:rPr>
        <w:t>7.规划布局。</w:t>
      </w:r>
      <w:r>
        <w:rPr>
          <w:rFonts w:hint="eastAsia" w:ascii="仿宋_GB2312" w:hAnsi="仿宋" w:cstheme="minorBidi"/>
          <w:szCs w:val="32"/>
        </w:rPr>
        <w:t>我区围绕服务黄河重大国家战略、重塑“人、城、产、创”的城市生命逻辑，形成“双城、三片、四廊”的总体空间结构。双城：以绣源河为绿心，东侧实施城市更新，提升老城品质，完善高等级设施，营造明水生态文旅城。向西推动新城建设，促进产城融合，打造龙山国际创新城，形成龙山国际创新城、明水生态文旅城“双城”格局；三片：根据资源环境承载能力和国土空间开发适宜性评价，统筹农业、城镇和生态空间，构建北部现代农业片区、南部生态保护片区和中部城镇发展片区；四廊：围绕科创、制造、文旅、保护四大主题，打造齐鲁科创大走廊、济南智能智造走廊、齐鲁古道文旅走廊、黄河生态走廊。</w:t>
      </w:r>
    </w:p>
    <w:p>
      <w:pPr>
        <w:snapToGrid/>
        <w:ind w:firstLine="640"/>
        <w:contextualSpacing/>
        <w:rPr>
          <w:rFonts w:ascii="仿宋_GB2312" w:hAnsi="仿宋" w:cstheme="minorBidi"/>
          <w:szCs w:val="32"/>
        </w:rPr>
      </w:pPr>
      <w:r>
        <w:rPr>
          <w:rFonts w:hint="eastAsia" w:ascii="仿宋_GB2312" w:hAnsi="楷体" w:cs="楷体"/>
          <w:szCs w:val="32"/>
        </w:rPr>
        <w:t>8.产业发展。</w:t>
      </w:r>
      <w:r>
        <w:rPr>
          <w:rFonts w:hint="eastAsia" w:ascii="仿宋_GB2312" w:hAnsi="仿宋" w:cstheme="minorBidi"/>
          <w:szCs w:val="32"/>
        </w:rPr>
        <w:t>近年来，我区以“高端化、智能化、绿色化、集群化”为主攻方向，加快构建“2+2+3”新型产业体系，成为未来三年章丘工业经济高质量发展的重点方向。“2”：做强两大主导产业集群，包括交通装备产业集群、新材料产业集群。“2”：做大两大新兴产业集群，包括生物医药产业集群、新一代信息技术产业集群。“3”：做优三大传统产业集群，包括机械装备产业集群、建工建材产业集群、食品饮料产业集群。2022年，全区地区生产总值为1120.7亿元，按不变价格计算，增长0.1%。其中，第一产业增加值97.6亿元，增长3.9%；第二产业增加值559.1亿元，增长-2.4%；第三产业增加值464亿元，增长2.4%。三次产业结构为8.7：49.9：41.4。</w:t>
      </w:r>
    </w:p>
    <w:p>
      <w:pPr>
        <w:pStyle w:val="4"/>
        <w:snapToGrid/>
        <w:ind w:firstLine="640"/>
        <w:contextualSpacing/>
        <w:rPr>
          <w:rFonts w:ascii="楷体_GB2312" w:hAnsi="楷体" w:cs="楷体"/>
          <w:szCs w:val="32"/>
        </w:rPr>
      </w:pPr>
      <w:bookmarkStart w:id="12" w:name="_Toc14206"/>
      <w:bookmarkStart w:id="13" w:name="_Toc14155"/>
      <w:bookmarkStart w:id="14" w:name="_Toc152749938"/>
      <w:r>
        <w:rPr>
          <w:rFonts w:hint="eastAsia" w:ascii="楷体_GB2312" w:hAnsi="楷体" w:cs="楷体"/>
          <w:szCs w:val="32"/>
        </w:rPr>
        <w:t>（二）工作基础</w:t>
      </w:r>
      <w:bookmarkEnd w:id="12"/>
      <w:bookmarkEnd w:id="13"/>
      <w:bookmarkEnd w:id="14"/>
    </w:p>
    <w:p>
      <w:pPr>
        <w:snapToGrid/>
        <w:ind w:firstLine="640"/>
        <w:contextualSpacing/>
        <w:rPr>
          <w:rFonts w:ascii="仿宋_GB2312" w:hAnsi="仿宋" w:cstheme="minorBidi"/>
          <w:szCs w:val="32"/>
        </w:rPr>
      </w:pPr>
      <w:r>
        <w:rPr>
          <w:rFonts w:hint="eastAsia" w:ascii="仿宋_GB2312" w:hAnsi="楷体" w:cs="楷体"/>
          <w:szCs w:val="32"/>
        </w:rPr>
        <w:t>1.低碳管理。</w:t>
      </w:r>
      <w:r>
        <w:rPr>
          <w:rFonts w:hint="eastAsia" w:ascii="仿宋_GB2312" w:hAnsi="仿宋" w:cstheme="minorBidi"/>
          <w:szCs w:val="32"/>
        </w:rPr>
        <w:t>一是积极落实“两高”项目碳排放减量替代政策，章丘华明水泥有限公司年产110万吨水泥粉磨项目按1：1.1的比例落实替代源，减少碳排放2531吨。二是2020-2022年共9家重点排放单位，其中纳入全国碳市场的4家，其他行业5家，9家企业均按要求落实了碳排放报告与核查制度。三是2020-2022年全区开展强制性清洁生产审核的企业共47家，均通过年度清洁生产审核评估和验收，减少煤炭、油品、天然气、水、电等消耗，起到了节能降耗、减污增效、提升企业经济效益的作用。</w:t>
      </w:r>
    </w:p>
    <w:p>
      <w:pPr>
        <w:snapToGrid/>
        <w:ind w:firstLine="640"/>
        <w:contextualSpacing/>
        <w:rPr>
          <w:rFonts w:ascii="仿宋_GB2312" w:hAnsi="仿宋" w:cstheme="minorBidi"/>
          <w:szCs w:val="32"/>
        </w:rPr>
      </w:pPr>
      <w:r>
        <w:rPr>
          <w:rFonts w:hint="eastAsia" w:ascii="仿宋_GB2312" w:hAnsi="楷体" w:cs="楷体"/>
          <w:szCs w:val="32"/>
        </w:rPr>
        <w:t>2.低碳能源。</w:t>
      </w:r>
      <w:r>
        <w:rPr>
          <w:rFonts w:hint="eastAsia" w:ascii="仿宋_GB2312" w:hAnsi="仿宋" w:cstheme="minorBidi"/>
          <w:szCs w:val="32"/>
        </w:rPr>
        <w:t>一是大力压减煤炭消费，2022年全区规模以上企业煤炭消费284.57万吨，超额完成煤炭压减任务；持续淘汰落后燃煤机组，大力推进单机容量30万千瓦以下煤电机组关停整合，已完成新升热电厂1</w:t>
      </w:r>
      <w:r>
        <w:rPr>
          <w:rFonts w:hint="eastAsia" w:ascii="仿宋_GB2312" w:hAnsi="仿宋" w:cstheme="minorBidi"/>
          <w:szCs w:val="32"/>
          <w:vertAlign w:val="superscript"/>
        </w:rPr>
        <w:t>#</w:t>
      </w:r>
      <w:r>
        <w:rPr>
          <w:rFonts w:hint="eastAsia" w:ascii="仿宋_GB2312" w:hAnsi="仿宋" w:cstheme="minorBidi"/>
          <w:szCs w:val="32"/>
        </w:rPr>
        <w:t>机组（0.6万千瓦）、日月化工1</w:t>
      </w:r>
      <w:r>
        <w:rPr>
          <w:rFonts w:hint="eastAsia" w:ascii="仿宋_GB2312" w:hAnsi="仿宋" w:cstheme="minorBidi"/>
          <w:szCs w:val="32"/>
          <w:vertAlign w:val="superscript"/>
        </w:rPr>
        <w:t>#</w:t>
      </w:r>
      <w:r>
        <w:rPr>
          <w:rFonts w:hint="eastAsia" w:ascii="仿宋_GB2312" w:hAnsi="仿宋" w:cstheme="minorBidi"/>
          <w:szCs w:val="32"/>
        </w:rPr>
        <w:t>机组（0.6万千瓦）关停。推进农村平原地区清洁取暖改造，对暂不具备清洁采暖条件的区域采用“洁净煤炭+节能环保炉具”模式。二是清洁能源利用规模不断扩大，积极推进整区屋顶分布式光伏开发试点工作，大力开发风电、生物质能。2022年，全区可再生能源发电装机容量达350.4MW；建设南曹范LNG调峰储配站项目，提升供气保障能力，2022年全区天然气供气量为30457.09万立方米。</w:t>
      </w:r>
    </w:p>
    <w:p>
      <w:pPr>
        <w:snapToGrid/>
        <w:ind w:firstLine="640"/>
        <w:contextualSpacing/>
        <w:rPr>
          <w:rFonts w:ascii="仿宋_GB2312" w:hAnsi="仿宋" w:cstheme="minorBidi"/>
          <w:szCs w:val="32"/>
        </w:rPr>
      </w:pPr>
      <w:r>
        <w:rPr>
          <w:rFonts w:hint="eastAsia" w:ascii="仿宋_GB2312" w:hAnsi="楷体" w:cs="楷体"/>
          <w:szCs w:val="32"/>
        </w:rPr>
        <w:t>3.低碳产业。</w:t>
      </w:r>
      <w:r>
        <w:rPr>
          <w:rFonts w:hint="eastAsia" w:ascii="仿宋_GB2312" w:hAnsi="仿宋" w:cstheme="minorBidi"/>
          <w:szCs w:val="32"/>
        </w:rPr>
        <w:t>一是大力推进“两高”行业能效提升，除甲醇行业外，煤电、水泥、氮肥、铸造行业能效达标杆水平的产能比例均超过30%。二是一般工业固体废物综合利用率逐年升高，已达到2025年93%的指标要求。其中，粉煤灰重点企业有华电章丘发电有限公司等6家企业，年产粉煤灰约81万吨；脱硫石膏重点企业有华电章丘发电有限公司等3家企业，年产脱硫石膏约21万吨，全部综合利用。三是2家氮肥制造企业拟开展碳捕集与利用。明水化工碳回收项目生产液体二氧化碳用于出售，设计产能24万吨/年；日月新材料有限公司捕集二氧化碳提纯后用于生产尿素，设计产能9万吨/年。</w:t>
      </w:r>
    </w:p>
    <w:p>
      <w:pPr>
        <w:snapToGrid/>
        <w:ind w:firstLine="640"/>
        <w:contextualSpacing/>
        <w:rPr>
          <w:rFonts w:ascii="仿宋_GB2312" w:hAnsi="仿宋" w:cstheme="minorBidi"/>
          <w:szCs w:val="32"/>
        </w:rPr>
      </w:pPr>
      <w:r>
        <w:rPr>
          <w:rFonts w:hint="eastAsia" w:ascii="仿宋_GB2312" w:hAnsi="楷体" w:cs="楷体"/>
          <w:szCs w:val="32"/>
        </w:rPr>
        <w:t>4.低碳建筑。</w:t>
      </w:r>
      <w:r>
        <w:rPr>
          <w:rFonts w:hint="eastAsia" w:ascii="仿宋_GB2312" w:hAnsi="仿宋" w:cstheme="minorBidi"/>
          <w:szCs w:val="32"/>
        </w:rPr>
        <w:t>一是2020-2022年，新建绿色建筑面积占新建建筑总面积比重为100%，实现绿色建筑全覆盖。二是积极推进整区屋顶分布式光伏开发试点建设工作，2020-2022年，新建公共机构、新建厂房屋顶光伏覆盖率达42.03%。</w:t>
      </w:r>
    </w:p>
    <w:p>
      <w:pPr>
        <w:snapToGrid/>
        <w:ind w:firstLine="640"/>
        <w:contextualSpacing/>
        <w:rPr>
          <w:rFonts w:ascii="仿宋_GB2312" w:hAnsi="仿宋" w:cstheme="minorBidi"/>
          <w:szCs w:val="32"/>
        </w:rPr>
      </w:pPr>
      <w:r>
        <w:rPr>
          <w:rFonts w:hint="eastAsia" w:ascii="仿宋_GB2312" w:hAnsi="楷体" w:cs="楷体"/>
          <w:szCs w:val="32"/>
        </w:rPr>
        <w:t>5.低碳交通。</w:t>
      </w:r>
      <w:r>
        <w:rPr>
          <w:rFonts w:hint="eastAsia" w:ascii="仿宋_GB2312" w:hAnsi="仿宋" w:cstheme="minorBidi"/>
          <w:szCs w:val="32"/>
        </w:rPr>
        <w:t>2022年，公共交通机动化出行分担率达10%，公共交通覆盖面不断扩大，公交出行分担率不断提高。</w:t>
      </w:r>
    </w:p>
    <w:p>
      <w:pPr>
        <w:snapToGrid/>
        <w:ind w:firstLine="640"/>
        <w:contextualSpacing/>
        <w:rPr>
          <w:rFonts w:ascii="仿宋_GB2312" w:hAnsi="仿宋" w:cstheme="minorBidi"/>
          <w:szCs w:val="32"/>
        </w:rPr>
      </w:pPr>
      <w:r>
        <w:rPr>
          <w:rFonts w:hint="eastAsia" w:ascii="仿宋_GB2312" w:hAnsi="楷体" w:cs="楷体"/>
          <w:szCs w:val="32"/>
        </w:rPr>
        <w:t>6.低碳生活。</w:t>
      </w:r>
      <w:r>
        <w:rPr>
          <w:rFonts w:hint="eastAsia" w:ascii="仿宋_GB2312" w:hAnsi="仿宋" w:cstheme="minorBidi"/>
          <w:szCs w:val="32"/>
        </w:rPr>
        <w:t>一是改造提升垃圾分类亭120个，新增密闭式分类投放厢房150座。40余个小区村居率先开展“撤桶并点、定时投放”全覆盖投放模式；270余个村居开展了“撤桶并点、上门收集”工作。二是建立建筑垃圾管理制度和环境污染防治计划。2022年共计产生建筑垃圾46万余立方，治理历史遗留建筑垃圾共计117万余立方，建筑垃圾管理走上正轨。</w:t>
      </w:r>
    </w:p>
    <w:p>
      <w:pPr>
        <w:snapToGrid/>
        <w:ind w:firstLine="640"/>
        <w:contextualSpacing/>
        <w:rPr>
          <w:rFonts w:ascii="仿宋_GB2312" w:hAnsi="仿宋" w:cstheme="minorBidi"/>
          <w:szCs w:val="32"/>
        </w:rPr>
      </w:pPr>
      <w:r>
        <w:rPr>
          <w:rFonts w:hint="eastAsia" w:ascii="仿宋_GB2312" w:hAnsi="楷体" w:cs="楷体"/>
          <w:szCs w:val="32"/>
        </w:rPr>
        <w:t>7.低碳农业。</w:t>
      </w:r>
      <w:r>
        <w:rPr>
          <w:rFonts w:hint="eastAsia" w:ascii="仿宋_GB2312" w:hAnsi="仿宋" w:cstheme="minorBidi"/>
          <w:szCs w:val="32"/>
        </w:rPr>
        <w:t>一是推广使用高效低毒低残留农药和高效植保机械，2022年农药使用量较2020年使用量降低4.23%，实现了农药使用量零增长。二是2020-2022年秸秆综合利用率保持在96%以上，秸秆综合利用工作走在全省前列。三是通过畜禽养殖与种养需求有效结合，大力发展生态养殖、绿色养殖，推广绿色循环利用模式，2022年畜禽粪污综合利用率保持在90%以上。</w:t>
      </w:r>
    </w:p>
    <w:p>
      <w:pPr>
        <w:snapToGrid/>
        <w:ind w:firstLine="640"/>
        <w:contextualSpacing/>
        <w:rPr>
          <w:rFonts w:ascii="仿宋_GB2312" w:hAnsi="仿宋" w:cstheme="minorBidi"/>
          <w:szCs w:val="32"/>
        </w:rPr>
      </w:pPr>
      <w:r>
        <w:rPr>
          <w:rFonts w:hint="eastAsia" w:ascii="仿宋_GB2312" w:hAnsi="楷体" w:cs="楷体"/>
          <w:szCs w:val="32"/>
        </w:rPr>
        <w:t>8.碳汇与碳抵消。</w:t>
      </w:r>
      <w:r>
        <w:rPr>
          <w:rFonts w:hint="eastAsia" w:ascii="仿宋_GB2312" w:hAnsi="仿宋" w:cstheme="minorBidi"/>
          <w:szCs w:val="32"/>
        </w:rPr>
        <w:t>一是国土绿化取得新突破。2020-2022年，分别完成造林绿化2.2万亩、2万亩、0.24万亩；实施森林抚育分别为0.1万亩、1万亩、1.5万亩。二是以湿地面积不减少、质量有提升为目标，落实总量管控措施。</w:t>
      </w:r>
    </w:p>
    <w:p>
      <w:pPr>
        <w:adjustRightInd/>
        <w:snapToGrid/>
        <w:ind w:firstLine="640"/>
        <w:contextualSpacing/>
        <w:rPr>
          <w:rFonts w:ascii="黑体" w:hAnsi="黑体" w:eastAsia="黑体" w:cs="黑体"/>
          <w:szCs w:val="32"/>
        </w:rPr>
      </w:pPr>
      <w:bookmarkStart w:id="15" w:name="_Toc23700"/>
      <w:bookmarkStart w:id="16" w:name="_Toc9981"/>
      <w:bookmarkStart w:id="17" w:name="_Toc152749939"/>
      <w:r>
        <w:rPr>
          <w:rFonts w:hint="eastAsia" w:ascii="黑体" w:hAnsi="黑体" w:eastAsia="黑体" w:cs="黑体"/>
          <w:szCs w:val="32"/>
        </w:rPr>
        <w:t>二、形势分析</w:t>
      </w:r>
      <w:bookmarkEnd w:id="15"/>
      <w:bookmarkEnd w:id="16"/>
      <w:bookmarkEnd w:id="17"/>
    </w:p>
    <w:p>
      <w:pPr>
        <w:pStyle w:val="4"/>
        <w:snapToGrid/>
        <w:ind w:firstLine="640"/>
        <w:contextualSpacing/>
        <w:rPr>
          <w:rFonts w:ascii="楷体_GB2312" w:hAnsi="楷体" w:cs="楷体"/>
          <w:szCs w:val="32"/>
        </w:rPr>
      </w:pPr>
      <w:bookmarkStart w:id="18" w:name="_Toc31637"/>
      <w:bookmarkStart w:id="19" w:name="_Toc2395"/>
      <w:bookmarkStart w:id="20" w:name="_Toc152749940"/>
      <w:bookmarkStart w:id="21" w:name="_Toc12525"/>
      <w:bookmarkStart w:id="22" w:name="_Toc3048"/>
      <w:bookmarkStart w:id="23" w:name="_Toc9408"/>
      <w:bookmarkStart w:id="24" w:name="_Toc23719"/>
      <w:bookmarkStart w:id="25" w:name="_Toc10204"/>
      <w:bookmarkStart w:id="26" w:name="_Toc26484"/>
      <w:bookmarkStart w:id="27" w:name="_Toc16154"/>
      <w:bookmarkStart w:id="28" w:name="_Toc7493"/>
      <w:bookmarkStart w:id="29" w:name="_Toc19326"/>
      <w:bookmarkStart w:id="30" w:name="_Toc8354"/>
      <w:bookmarkStart w:id="31" w:name="_Toc8240"/>
      <w:bookmarkStart w:id="32" w:name="_Toc7371"/>
      <w:bookmarkStart w:id="33" w:name="_Toc32070"/>
      <w:r>
        <w:rPr>
          <w:rFonts w:hint="eastAsia" w:ascii="楷体_GB2312" w:hAnsi="楷体" w:cs="楷体"/>
          <w:szCs w:val="32"/>
        </w:rPr>
        <w:t>（一）存在的问题</w:t>
      </w:r>
      <w:bookmarkEnd w:id="18"/>
      <w:bookmarkEnd w:id="19"/>
      <w:bookmarkEnd w:id="20"/>
    </w:p>
    <w:bookmarkEnd w:id="21"/>
    <w:bookmarkEnd w:id="22"/>
    <w:bookmarkEnd w:id="23"/>
    <w:bookmarkEnd w:id="24"/>
    <w:bookmarkEnd w:id="25"/>
    <w:bookmarkEnd w:id="26"/>
    <w:bookmarkEnd w:id="27"/>
    <w:bookmarkEnd w:id="28"/>
    <w:bookmarkEnd w:id="29"/>
    <w:bookmarkEnd w:id="30"/>
    <w:bookmarkEnd w:id="31"/>
    <w:bookmarkEnd w:id="32"/>
    <w:bookmarkEnd w:id="33"/>
    <w:p>
      <w:pPr>
        <w:snapToGrid/>
        <w:ind w:firstLine="640"/>
        <w:contextualSpacing/>
        <w:rPr>
          <w:rFonts w:ascii="仿宋_GB2312" w:hAnsi="仿宋" w:cstheme="minorBidi"/>
          <w:szCs w:val="32"/>
        </w:rPr>
      </w:pPr>
      <w:r>
        <w:rPr>
          <w:rFonts w:hint="eastAsia" w:ascii="仿宋_GB2312" w:hAnsi="楷体" w:cs="楷体"/>
          <w:szCs w:val="32"/>
        </w:rPr>
        <w:t>1.低碳管理工作基础相对薄弱。</w:t>
      </w:r>
      <w:r>
        <w:rPr>
          <w:rFonts w:hint="eastAsia" w:ascii="仿宋_GB2312" w:hAnsi="仿宋" w:cstheme="minorBidi"/>
          <w:szCs w:val="32"/>
        </w:rPr>
        <w:t>双碳战略尚未充分融入低碳发展全过程，低碳管理体制、运行机制尚未健全，碳排放统计体系尚未实现。尚未编制区域温室气体排放清单，温室气体排放家底尚未摸清，重点控制领域和行业尚不明确。碳普惠推广应用、国家核证自愿减排项目等领域尚未开展工作，零碳建筑技术标准尚未正式实施，绿色建筑尚未形成体系化，亟需探索开展具有地区特色的创新性工作。</w:t>
      </w:r>
    </w:p>
    <w:p>
      <w:pPr>
        <w:snapToGrid/>
        <w:ind w:firstLine="640"/>
        <w:contextualSpacing/>
        <w:rPr>
          <w:rFonts w:ascii="仿宋_GB2312" w:hAnsi="仿宋" w:cstheme="minorBidi"/>
          <w:szCs w:val="32"/>
        </w:rPr>
      </w:pPr>
      <w:r>
        <w:rPr>
          <w:rFonts w:hint="eastAsia" w:ascii="仿宋_GB2312" w:hAnsi="楷体" w:cs="楷体"/>
          <w:szCs w:val="32"/>
        </w:rPr>
        <w:t>2.产业结构和能源结构短期内难以根本性改变。</w:t>
      </w:r>
      <w:r>
        <w:rPr>
          <w:rFonts w:hint="eastAsia" w:ascii="仿宋_GB2312" w:hAnsi="仿宋" w:cstheme="minorBidi"/>
          <w:szCs w:val="32"/>
        </w:rPr>
        <w:t>全区重工业能耗压力大，资源、能源整体消耗相对粗放，结构性环保压力高居不下，产业结构偏重，化工、煤电等高耗能、高耗煤产业的煤炭消费占全区规模以上企业煤炭消费比重仍然较高，尤其是发电用煤占工业生产消费能耗量的一半，以煤为主的能源结构无法在短期内发生根本性改变。</w:t>
      </w:r>
    </w:p>
    <w:p>
      <w:pPr>
        <w:snapToGrid/>
        <w:ind w:firstLine="640"/>
        <w:contextualSpacing/>
        <w:rPr>
          <w:rFonts w:ascii="仿宋_GB2312"/>
        </w:rPr>
      </w:pPr>
      <w:r>
        <w:rPr>
          <w:rFonts w:hint="eastAsia" w:ascii="仿宋_GB2312" w:hAnsi="楷体" w:cs="楷体"/>
          <w:szCs w:val="32"/>
        </w:rPr>
        <w:t>3.非化石能源比重较低。</w:t>
      </w:r>
      <w:r>
        <w:rPr>
          <w:rFonts w:hint="eastAsia" w:ascii="仿宋_GB2312" w:hAnsi="仿宋" w:cstheme="minorBidi"/>
          <w:szCs w:val="32"/>
        </w:rPr>
        <w:t>全区地处内陆，不具备水电、核电发展能力，光伏、风电、生物质等可再生能源尚未形成规模化，限制了非化石能源的发展。能源利用效率、电能储存等方面技术尚未完全成熟，制约了可再生能源的广泛应用。</w:t>
      </w:r>
    </w:p>
    <w:p>
      <w:pPr>
        <w:snapToGrid/>
        <w:ind w:firstLine="640"/>
        <w:contextualSpacing/>
        <w:rPr>
          <w:rFonts w:ascii="仿宋_GB2312" w:hAnsi="仿宋" w:cstheme="minorBidi"/>
          <w:szCs w:val="32"/>
        </w:rPr>
      </w:pPr>
      <w:r>
        <w:rPr>
          <w:rFonts w:hint="eastAsia" w:ascii="仿宋_GB2312" w:hAnsi="楷体" w:cs="楷体"/>
          <w:szCs w:val="32"/>
        </w:rPr>
        <w:t>4.低碳生活方式尚未形成。</w:t>
      </w:r>
      <w:r>
        <w:rPr>
          <w:rFonts w:hint="eastAsia" w:ascii="仿宋_GB2312" w:hAnsi="仿宋" w:cstheme="minorBidi"/>
          <w:szCs w:val="32"/>
        </w:rPr>
        <w:t>随着生活消费领域碳排放逐年增加，“自上而下”任务分解式的居民减碳行动面临一定阻力，尚未形成全社会内生性的自觉行动，绿色生产和低碳消费并未蔚然成风，仍然存在较多与低碳理念相悖的消费行为。全区尚未有效统筹垃圾投放、收集、运输、处理全过程管控，尚未落实垃圾分类一分到底，不分类投放或分类投放后不分类处置的现象时有发生。</w:t>
      </w:r>
      <w:bookmarkStart w:id="34" w:name="_Toc12342"/>
      <w:bookmarkStart w:id="35" w:name="_Toc152749941"/>
    </w:p>
    <w:p>
      <w:pPr>
        <w:snapToGrid/>
        <w:ind w:firstLine="640"/>
        <w:contextualSpacing/>
        <w:rPr>
          <w:rFonts w:ascii="楷体_GB2312" w:hAnsi="楷体" w:cs="楷体"/>
          <w:szCs w:val="32"/>
        </w:rPr>
      </w:pPr>
      <w:r>
        <w:rPr>
          <w:rFonts w:hint="eastAsia" w:ascii="楷体_GB2312" w:hAnsi="楷体" w:cs="楷体"/>
          <w:szCs w:val="32"/>
        </w:rPr>
        <w:t>（二）面临机遇</w:t>
      </w:r>
      <w:bookmarkEnd w:id="34"/>
      <w:bookmarkEnd w:id="35"/>
    </w:p>
    <w:p>
      <w:pPr>
        <w:snapToGrid/>
        <w:ind w:firstLine="640"/>
        <w:contextualSpacing/>
        <w:rPr>
          <w:rFonts w:ascii="仿宋_GB2312" w:hAnsi="仿宋" w:cstheme="minorBidi"/>
          <w:szCs w:val="32"/>
        </w:rPr>
      </w:pPr>
      <w:r>
        <w:rPr>
          <w:rFonts w:hint="eastAsia" w:ascii="仿宋_GB2312" w:hAnsi="楷体" w:cs="楷体"/>
          <w:szCs w:val="32"/>
        </w:rPr>
        <w:t>1.</w:t>
      </w:r>
      <w:r>
        <w:rPr>
          <w:rFonts w:hint="eastAsia" w:ascii="仿宋_GB2312" w:hAnsi="仿宋" w:cstheme="minorBidi"/>
          <w:szCs w:val="32"/>
        </w:rPr>
        <w:t>党的十八大以来，以习近平同志为核心的党中央站在全局和战略的高度，对生态文明建设提出一系列新思想、新战略、新要求，以前所未有的力度推进生态文明建设。“十四五”时期，我国生态文明建设进入了以降碳为重点战略方向、推动减污降碳协同增效、促进经济社会发展全面绿色转型时期。</w:t>
      </w:r>
    </w:p>
    <w:p>
      <w:pPr>
        <w:snapToGrid/>
        <w:ind w:firstLine="640"/>
        <w:contextualSpacing/>
        <w:rPr>
          <w:rFonts w:ascii="仿宋_GB2312" w:hAnsi="仿宋" w:cstheme="minorBidi"/>
          <w:szCs w:val="32"/>
        </w:rPr>
      </w:pPr>
      <w:r>
        <w:rPr>
          <w:rFonts w:hint="eastAsia" w:ascii="仿宋_GB2312" w:hAnsi="楷体" w:cs="楷体"/>
          <w:szCs w:val="32"/>
        </w:rPr>
        <w:t>2.</w:t>
      </w:r>
      <w:r>
        <w:rPr>
          <w:rFonts w:hint="eastAsia" w:ascii="仿宋_GB2312" w:hAnsi="仿宋" w:cstheme="minorBidi"/>
          <w:szCs w:val="32"/>
        </w:rPr>
        <w:t>2021年10月，中共中央、国务院印发的《关于完整准确全面贯彻新发展理念做好碳达峰碳中和工作的意见》，这是党中央对碳达峰碳中和工作进行的系统谋划和总体部署，是总管长远的顶层设计。在“双碳”顶层设计框架明确之后，各有关部门制定了分领域分行业实施方案和支撑保障政策，各省（区、市）制定了本地区碳达峰实施方案，目前碳达峰碳中和“1+N”政策体系已经建立，指导省、市、区制定各领域碳达峰方案。</w:t>
      </w:r>
    </w:p>
    <w:p>
      <w:pPr>
        <w:snapToGrid/>
        <w:ind w:firstLine="640"/>
        <w:contextualSpacing/>
        <w:rPr>
          <w:rFonts w:ascii="仿宋_GB2312" w:hAnsi="仿宋" w:cstheme="minorBidi"/>
          <w:szCs w:val="32"/>
        </w:rPr>
      </w:pPr>
      <w:r>
        <w:rPr>
          <w:rFonts w:hint="eastAsia" w:ascii="仿宋_GB2312" w:hAnsi="楷体" w:cs="楷体"/>
          <w:szCs w:val="32"/>
        </w:rPr>
        <w:t>3.</w:t>
      </w:r>
      <w:r>
        <w:rPr>
          <w:rFonts w:hint="eastAsia" w:ascii="仿宋_GB2312" w:hAnsi="仿宋" w:cstheme="minorBidi"/>
          <w:szCs w:val="32"/>
        </w:rPr>
        <w:t>国家发改委等3部门联合印发《关于加快建立统一规范的碳排放统计核算体系实施方案》，建立全国及地方碳排放统计核算制度、完善行业企业碳排放核算机制、建立健全重点产品碳排放核算方法、完善国家温室气体清单编制机制；市场监管总局等11部门联合印发了《碳达峰碳中和标准体系建设指南》，明确了碳达峰碳中和标准化工作重点，支撑能源、工业、交通运输、居民生活等重点行业和领域实现绿色低碳发展，推动实现各类标准协调发展。</w:t>
      </w:r>
    </w:p>
    <w:p>
      <w:pPr>
        <w:snapToGrid/>
        <w:ind w:firstLine="640"/>
        <w:contextualSpacing/>
        <w:rPr>
          <w:rFonts w:ascii="仿宋_GB2312" w:hAnsi="仿宋" w:cstheme="minorBidi"/>
          <w:szCs w:val="32"/>
        </w:rPr>
      </w:pPr>
      <w:r>
        <w:rPr>
          <w:rFonts w:hint="eastAsia" w:ascii="仿宋_GB2312" w:hAnsi="楷体" w:cs="楷体"/>
          <w:szCs w:val="32"/>
        </w:rPr>
        <w:t>4.</w:t>
      </w:r>
      <w:r>
        <w:rPr>
          <w:rFonts w:hint="eastAsia" w:ascii="仿宋_GB2312" w:hAnsi="仿宋" w:cstheme="minorBidi"/>
          <w:szCs w:val="32"/>
        </w:rPr>
        <w:t>国务院印发《关于支持山东深化新旧动能转换推动绿色低碳高质量发展的意见》（国发〔2022〕18号），支持山东建设绿色低碳高质量发展先行区，这是全国第一个以绿色低碳高质量发展为主题的战略布局，第一个以国发文件赋予山东的重大战略任务，为加快新时代社会主义现代化强省建设提供了重大机遇，注入了强劲动力。山东省坚定不移落实国家“双碳”战略，推动发电企业参与碳排放权交易并完成履约，为碳排放权交易市场扩容准备；推动能源双控向碳排放双控转变；推进新一轮“四减四增”三年行动方案落地；全力推动碳足迹评价和碳普惠、近零碳示范创建，在全社会营造绿色低碳发展氛围。</w:t>
      </w:r>
    </w:p>
    <w:p>
      <w:pPr>
        <w:snapToGrid/>
        <w:ind w:firstLine="640"/>
        <w:contextualSpacing/>
        <w:rPr>
          <w:rFonts w:ascii="仿宋_GB2312" w:hAnsi="仿宋" w:cstheme="minorBidi"/>
          <w:szCs w:val="32"/>
        </w:rPr>
      </w:pPr>
      <w:r>
        <w:rPr>
          <w:rFonts w:hint="eastAsia" w:ascii="仿宋_GB2312" w:hAnsi="楷体" w:cs="楷体"/>
          <w:szCs w:val="32"/>
        </w:rPr>
        <w:t>5.</w:t>
      </w:r>
      <w:r>
        <w:rPr>
          <w:rFonts w:hint="eastAsia" w:ascii="仿宋_GB2312" w:hAnsi="仿宋" w:cstheme="minorBidi"/>
          <w:szCs w:val="32"/>
        </w:rPr>
        <w:t>山东省先后印发了各个领域的碳达峰方案，《山东省碳达峰实施方案》提出，推动化工行业碳达峰，严格执行炼化产业产能置换比例，确保全省炼油产能只减不增。严格项目准入，稳妥推进企业兼并重组，推进炼化一体化发展；推进“外电入鲁”提质增效，加快陇东至山东±800千伏特高压直流输变电工程建设，配套建设千万千瓦级风光火储一体化电源基地，适时启动第四条特高压直流通道论证建设。“陇电入鲁”工程配套调峰煤电项目的实施不仅为“特高压+风光火储”一体化模式提供了典型解决方案，同时对黄河流域高质量发展、保障电力安全可靠供应、加快能源清洁低碳转型、助力新型能源体系规划建设、实现碳达峰碳中和带来新的发展机遇。</w:t>
      </w:r>
    </w:p>
    <w:p>
      <w:pPr>
        <w:snapToGrid/>
        <w:ind w:firstLine="640"/>
        <w:contextualSpacing/>
        <w:rPr>
          <w:rFonts w:ascii="仿宋_GB2312" w:hAnsi="仿宋" w:cstheme="minorBidi"/>
          <w:szCs w:val="32"/>
        </w:rPr>
      </w:pPr>
      <w:r>
        <w:rPr>
          <w:rFonts w:hint="eastAsia" w:ascii="仿宋_GB2312" w:hAnsi="楷体" w:cs="楷体"/>
          <w:szCs w:val="32"/>
        </w:rPr>
        <w:t>6.</w:t>
      </w:r>
      <w:r>
        <w:rPr>
          <w:rFonts w:hint="eastAsia" w:ascii="仿宋_GB2312" w:hAnsi="仿宋" w:cstheme="minorBidi"/>
          <w:szCs w:val="32"/>
        </w:rPr>
        <w:t>我区紧跟省、市步伐，陆续印发《济南市章丘区“十四五”绿色低碳循环发展规划》、《济南市章丘区铸造行业综合整治提升行动实施方案》、《济南市章丘区“十四五”节能减排工作实施方案》、《济南市章丘区碳达峰实施方案》等规划、方案，对绿色低碳、铸造行业提升、节能减排和“双碳”工作进行了部署。</w:t>
      </w:r>
    </w:p>
    <w:p>
      <w:pPr>
        <w:snapToGrid/>
        <w:ind w:firstLine="640"/>
        <w:contextualSpacing/>
        <w:rPr>
          <w:rFonts w:ascii="仿宋_GB2312" w:hAnsi="仿宋" w:cstheme="minorBidi"/>
          <w:szCs w:val="32"/>
        </w:rPr>
      </w:pPr>
      <w:r>
        <w:rPr>
          <w:rFonts w:hint="eastAsia" w:ascii="仿宋_GB2312" w:hAnsi="楷体" w:cs="楷体"/>
          <w:szCs w:val="32"/>
        </w:rPr>
        <w:t>7.</w:t>
      </w:r>
      <w:r>
        <w:rPr>
          <w:rFonts w:hint="eastAsia" w:ascii="仿宋_GB2312" w:hAnsi="仿宋" w:cstheme="minorBidi"/>
          <w:szCs w:val="32"/>
        </w:rPr>
        <w:t>全民节能低碳意识逐渐提高。山东省生态环境厅通过多种形式，积极开展节能宣传周和低碳日活动，倡导选择低碳、节约的绿色生活方式和消费模式，形成人人、事事、时时崇尚生态文明的社会新风尚，进一步增强全民碳普惠意识。</w:t>
      </w:r>
    </w:p>
    <w:p>
      <w:pPr>
        <w:snapToGrid/>
        <w:ind w:firstLine="640"/>
        <w:contextualSpacing/>
        <w:rPr>
          <w:rFonts w:ascii="仿宋_GB2312" w:hAnsi="仿宋" w:cstheme="minorBidi"/>
          <w:szCs w:val="32"/>
        </w:rPr>
      </w:pPr>
      <w:r>
        <w:rPr>
          <w:rFonts w:hint="eastAsia" w:ascii="仿宋_GB2312" w:hAnsi="楷体" w:cs="楷体"/>
          <w:szCs w:val="32"/>
        </w:rPr>
        <w:t>8.</w:t>
      </w:r>
      <w:r>
        <w:rPr>
          <w:rFonts w:hint="eastAsia" w:ascii="仿宋_GB2312" w:hAnsi="仿宋" w:cstheme="minorBidi"/>
          <w:szCs w:val="32"/>
        </w:rPr>
        <w:t>济南作为国家战略发展大局、生态文明建设全局和区域协调发展布局的高点定位，为章丘区跨越发展带来了前所未有的机遇。当好“东强”先锋官、排头兵、引领者，培育绿色产业体系，加快推动生产生活方式绿色转型，严格控制煤炭消费，打造清洁能源供应体系，成为我区面临的新的机遇和挑战</w:t>
      </w:r>
      <w:bookmarkStart w:id="36" w:name="_Toc26648"/>
      <w:bookmarkStart w:id="37" w:name="_Toc26604"/>
      <w:bookmarkStart w:id="38" w:name="_Toc152749942"/>
      <w:r>
        <w:rPr>
          <w:rFonts w:hint="eastAsia" w:ascii="仿宋_GB2312" w:hAnsi="仿宋" w:cstheme="minorBidi"/>
          <w:szCs w:val="32"/>
        </w:rPr>
        <w:t>。</w:t>
      </w:r>
    </w:p>
    <w:p>
      <w:pPr>
        <w:adjustRightInd/>
        <w:snapToGrid/>
        <w:ind w:firstLine="640"/>
        <w:contextualSpacing/>
        <w:rPr>
          <w:rFonts w:ascii="黑体" w:hAnsi="黑体" w:eastAsia="黑体" w:cs="黑体"/>
          <w:szCs w:val="32"/>
        </w:rPr>
      </w:pPr>
      <w:r>
        <w:rPr>
          <w:rFonts w:hint="eastAsia" w:ascii="黑体" w:hAnsi="黑体" w:eastAsia="黑体" w:cs="黑体"/>
          <w:szCs w:val="32"/>
        </w:rPr>
        <w:t>三、总体要求</w:t>
      </w:r>
      <w:bookmarkEnd w:id="36"/>
      <w:bookmarkEnd w:id="37"/>
      <w:bookmarkEnd w:id="38"/>
    </w:p>
    <w:p>
      <w:pPr>
        <w:pStyle w:val="4"/>
        <w:snapToGrid/>
        <w:ind w:firstLine="640"/>
        <w:contextualSpacing/>
        <w:rPr>
          <w:rFonts w:ascii="楷体_GB2312" w:hAnsi="楷体" w:cs="楷体"/>
          <w:szCs w:val="32"/>
        </w:rPr>
      </w:pPr>
      <w:bookmarkStart w:id="39" w:name="_Toc152749943"/>
      <w:bookmarkStart w:id="40" w:name="_Toc24334"/>
      <w:bookmarkStart w:id="41" w:name="_Toc21269"/>
      <w:r>
        <w:rPr>
          <w:rFonts w:hint="eastAsia" w:ascii="楷体_GB2312" w:hAnsi="楷体" w:cs="楷体"/>
          <w:szCs w:val="32"/>
        </w:rPr>
        <w:t>（一）指导思想</w:t>
      </w:r>
      <w:bookmarkEnd w:id="39"/>
      <w:bookmarkEnd w:id="40"/>
      <w:bookmarkEnd w:id="41"/>
    </w:p>
    <w:p>
      <w:pPr>
        <w:snapToGrid/>
        <w:ind w:firstLine="640"/>
        <w:contextualSpacing/>
        <w:rPr>
          <w:rFonts w:ascii="仿宋_GB2312" w:hAnsi="仿宋" w:cstheme="minorBidi"/>
          <w:szCs w:val="32"/>
        </w:rPr>
      </w:pPr>
      <w:r>
        <w:rPr>
          <w:rFonts w:hint="eastAsia" w:ascii="仿宋_GB2312" w:hAnsi="仿宋" w:cstheme="minorBidi"/>
          <w:szCs w:val="32"/>
        </w:rPr>
        <w:t>以习近平新时代中国特色社会主义思想为指导，认真贯彻落实党的二十大、全国生态环境保护大会精神，紧紧围绕“双碳”战略和省委、省政府决策部署，坚定不移走生态优先、绿色发展道路，推动能源、产业、交通、建筑等领域绿色低碳发展，倡导低碳生活，全方位健全绿色发展制度体系，全链条推动循环经济发展，全领域夯实绿色发展底色。加快形成节约资源和保护环境的空间格局、产业结构、生产方式、生活方式，为产业结构绿色转型赋予新动能，为黄河流域生态保护和高质量发展贡献力量，为全区经济社会高质量发展提供重要支撑。</w:t>
      </w:r>
    </w:p>
    <w:p>
      <w:pPr>
        <w:pStyle w:val="4"/>
        <w:snapToGrid/>
        <w:ind w:firstLine="640"/>
        <w:contextualSpacing/>
        <w:rPr>
          <w:rFonts w:ascii="楷体_GB2312" w:hAnsi="楷体" w:cs="楷体"/>
          <w:szCs w:val="32"/>
        </w:rPr>
      </w:pPr>
      <w:bookmarkStart w:id="42" w:name="_Toc152749944"/>
      <w:bookmarkStart w:id="43" w:name="_Toc32397"/>
      <w:bookmarkStart w:id="44" w:name="_Toc21850"/>
      <w:r>
        <w:rPr>
          <w:rFonts w:hint="eastAsia" w:ascii="楷体_GB2312" w:hAnsi="楷体" w:cs="楷体"/>
          <w:szCs w:val="32"/>
        </w:rPr>
        <w:t>（二）建设目标</w:t>
      </w:r>
      <w:bookmarkEnd w:id="42"/>
      <w:bookmarkEnd w:id="43"/>
      <w:bookmarkEnd w:id="44"/>
    </w:p>
    <w:p>
      <w:pPr>
        <w:pStyle w:val="7"/>
        <w:snapToGrid/>
        <w:contextualSpacing/>
        <w:rPr>
          <w:rFonts w:ascii="仿宋_GB2312" w:hAnsi="仿宋" w:cstheme="minorBidi"/>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474" w:header="851" w:footer="992" w:gutter="0"/>
          <w:pgNumType w:fmt="numberInDash" w:start="1"/>
          <w:cols w:space="425" w:num="1"/>
          <w:docGrid w:type="lines" w:linePitch="312" w:charSpace="0"/>
        </w:sectPr>
      </w:pPr>
      <w:r>
        <w:rPr>
          <w:rFonts w:hint="eastAsia" w:ascii="仿宋_GB2312" w:hAnsi="仿宋" w:cstheme="minorBidi"/>
          <w:szCs w:val="32"/>
        </w:rPr>
        <w:t>到2025年，全区绿色低碳循环发展取得阶段性成果，绿色低碳循环发展经济体系基本建立，绿色经济活力充分释放；循环型生产方式全面推行，覆盖全社会的资源循环利用体系基本建成，资源能源综合利用能力显著提升；能耗强度和碳强度持续双降，夯实碳排放达峰基础，打造绿色低碳循环发展标杆。</w:t>
      </w:r>
    </w:p>
    <w:p>
      <w:pPr>
        <w:ind w:firstLine="0" w:firstLineChars="0"/>
        <w:jc w:val="center"/>
        <w:rPr>
          <w:rFonts w:ascii="黑体" w:hAnsi="黑体" w:eastAsia="黑体"/>
          <w:szCs w:val="32"/>
        </w:rPr>
      </w:pPr>
      <w:r>
        <w:rPr>
          <w:rFonts w:hint="eastAsia" w:ascii="黑体" w:hAnsi="黑体" w:eastAsia="黑体"/>
          <w:szCs w:val="32"/>
        </w:rPr>
        <w:t>济南市</w:t>
      </w:r>
      <w:r>
        <w:rPr>
          <w:rFonts w:ascii="黑体" w:hAnsi="黑体" w:eastAsia="黑体"/>
          <w:szCs w:val="32"/>
        </w:rPr>
        <w:t>章丘区近零碳城市示范创建主要指标</w:t>
      </w:r>
    </w:p>
    <w:tbl>
      <w:tblPr>
        <w:tblStyle w:val="19"/>
        <w:tblW w:w="151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3" w:type="dxa"/>
          <w:bottom w:w="0" w:type="dxa"/>
          <w:right w:w="23" w:type="dxa"/>
        </w:tblCellMar>
      </w:tblPr>
      <w:tblGrid>
        <w:gridCol w:w="700"/>
        <w:gridCol w:w="451"/>
        <w:gridCol w:w="2236"/>
        <w:gridCol w:w="993"/>
        <w:gridCol w:w="1511"/>
        <w:gridCol w:w="1584"/>
        <w:gridCol w:w="1524"/>
        <w:gridCol w:w="2232"/>
        <w:gridCol w:w="1224"/>
        <w:gridCol w:w="960"/>
        <w:gridCol w:w="1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tblHeader/>
          <w:jc w:val="center"/>
        </w:trPr>
        <w:tc>
          <w:tcPr>
            <w:tcW w:w="700" w:type="dxa"/>
            <w:vAlign w:val="center"/>
          </w:tcPr>
          <w:p>
            <w:pPr>
              <w:pStyle w:val="27"/>
              <w:widowControl/>
              <w:rPr>
                <w:rFonts w:ascii="黑体" w:hAnsi="黑体" w:eastAsia="黑体" w:cs="仿宋"/>
                <w:sz w:val="28"/>
                <w:szCs w:val="28"/>
              </w:rPr>
            </w:pPr>
            <w:r>
              <w:rPr>
                <w:rFonts w:hint="eastAsia" w:ascii="黑体" w:hAnsi="黑体" w:eastAsia="黑体" w:cs="仿宋"/>
                <w:sz w:val="28"/>
                <w:szCs w:val="28"/>
              </w:rPr>
              <w:t>指标</w:t>
            </w:r>
          </w:p>
          <w:p>
            <w:pPr>
              <w:pStyle w:val="27"/>
              <w:widowControl/>
              <w:rPr>
                <w:rFonts w:ascii="黑体" w:hAnsi="黑体" w:eastAsia="黑体" w:cs="仿宋"/>
                <w:sz w:val="28"/>
                <w:szCs w:val="28"/>
              </w:rPr>
            </w:pPr>
            <w:r>
              <w:rPr>
                <w:rFonts w:hint="eastAsia" w:ascii="黑体" w:hAnsi="黑体" w:eastAsia="黑体" w:cs="仿宋"/>
                <w:sz w:val="28"/>
                <w:szCs w:val="28"/>
              </w:rPr>
              <w:t>类别</w:t>
            </w:r>
          </w:p>
        </w:tc>
        <w:tc>
          <w:tcPr>
            <w:tcW w:w="451" w:type="dxa"/>
            <w:vAlign w:val="center"/>
          </w:tcPr>
          <w:p>
            <w:pPr>
              <w:pStyle w:val="27"/>
              <w:widowControl/>
              <w:rPr>
                <w:rFonts w:ascii="黑体" w:hAnsi="黑体" w:eastAsia="黑体" w:cs="仿宋"/>
                <w:sz w:val="28"/>
                <w:szCs w:val="28"/>
              </w:rPr>
            </w:pPr>
            <w:r>
              <w:rPr>
                <w:rFonts w:hint="eastAsia" w:ascii="黑体" w:hAnsi="黑体" w:eastAsia="黑体" w:cs="仿宋"/>
                <w:sz w:val="28"/>
                <w:szCs w:val="28"/>
              </w:rPr>
              <w:t>序</w:t>
            </w:r>
          </w:p>
          <w:p>
            <w:pPr>
              <w:pStyle w:val="27"/>
              <w:widowControl/>
              <w:rPr>
                <w:rFonts w:ascii="黑体" w:hAnsi="黑体" w:eastAsia="黑体" w:cs="仿宋"/>
                <w:sz w:val="28"/>
                <w:szCs w:val="28"/>
              </w:rPr>
            </w:pPr>
            <w:r>
              <w:rPr>
                <w:rFonts w:hint="eastAsia" w:ascii="黑体" w:hAnsi="黑体" w:eastAsia="黑体" w:cs="仿宋"/>
                <w:sz w:val="28"/>
                <w:szCs w:val="28"/>
              </w:rPr>
              <w:t>号</w:t>
            </w:r>
          </w:p>
        </w:tc>
        <w:tc>
          <w:tcPr>
            <w:tcW w:w="2236" w:type="dxa"/>
            <w:vAlign w:val="center"/>
          </w:tcPr>
          <w:p>
            <w:pPr>
              <w:pStyle w:val="27"/>
              <w:widowControl/>
              <w:rPr>
                <w:rFonts w:ascii="黑体" w:hAnsi="黑体" w:eastAsia="黑体" w:cs="仿宋"/>
                <w:sz w:val="28"/>
                <w:szCs w:val="28"/>
              </w:rPr>
            </w:pPr>
            <w:r>
              <w:rPr>
                <w:rFonts w:hint="eastAsia" w:ascii="黑体" w:hAnsi="黑体" w:eastAsia="黑体" w:cs="仿宋"/>
                <w:sz w:val="28"/>
                <w:szCs w:val="28"/>
              </w:rPr>
              <w:t>指标名称</w:t>
            </w:r>
          </w:p>
        </w:tc>
        <w:tc>
          <w:tcPr>
            <w:tcW w:w="993" w:type="dxa"/>
            <w:vAlign w:val="center"/>
          </w:tcPr>
          <w:p>
            <w:pPr>
              <w:pStyle w:val="27"/>
              <w:widowControl/>
              <w:rPr>
                <w:rFonts w:ascii="黑体" w:hAnsi="黑体" w:eastAsia="黑体" w:cs="仿宋"/>
                <w:sz w:val="28"/>
                <w:szCs w:val="28"/>
              </w:rPr>
            </w:pPr>
            <w:r>
              <w:rPr>
                <w:rFonts w:hint="eastAsia" w:ascii="黑体" w:hAnsi="黑体" w:eastAsia="黑体" w:cs="仿宋"/>
                <w:sz w:val="28"/>
                <w:szCs w:val="28"/>
              </w:rPr>
              <w:t>单位</w:t>
            </w:r>
          </w:p>
        </w:tc>
        <w:tc>
          <w:tcPr>
            <w:tcW w:w="1511" w:type="dxa"/>
            <w:vAlign w:val="center"/>
          </w:tcPr>
          <w:p>
            <w:pPr>
              <w:pStyle w:val="27"/>
              <w:widowControl/>
              <w:rPr>
                <w:rFonts w:ascii="黑体" w:hAnsi="黑体" w:eastAsia="黑体" w:cs="仿宋"/>
                <w:sz w:val="28"/>
                <w:szCs w:val="28"/>
              </w:rPr>
            </w:pPr>
            <w:r>
              <w:rPr>
                <w:rFonts w:hint="eastAsia" w:ascii="黑体" w:hAnsi="黑体" w:eastAsia="黑体" w:cs="仿宋"/>
                <w:sz w:val="28"/>
                <w:szCs w:val="28"/>
              </w:rPr>
              <w:t>2020年</w:t>
            </w:r>
          </w:p>
        </w:tc>
        <w:tc>
          <w:tcPr>
            <w:tcW w:w="1584" w:type="dxa"/>
            <w:vAlign w:val="center"/>
          </w:tcPr>
          <w:p>
            <w:pPr>
              <w:pStyle w:val="27"/>
              <w:widowControl/>
              <w:rPr>
                <w:rFonts w:ascii="黑体" w:hAnsi="黑体" w:eastAsia="黑体" w:cs="仿宋"/>
                <w:sz w:val="28"/>
                <w:szCs w:val="28"/>
              </w:rPr>
            </w:pPr>
            <w:r>
              <w:rPr>
                <w:rFonts w:hint="eastAsia" w:ascii="黑体" w:hAnsi="黑体" w:eastAsia="黑体" w:cs="仿宋"/>
                <w:sz w:val="28"/>
                <w:szCs w:val="28"/>
              </w:rPr>
              <w:t>2021年</w:t>
            </w:r>
          </w:p>
        </w:tc>
        <w:tc>
          <w:tcPr>
            <w:tcW w:w="1524" w:type="dxa"/>
            <w:vAlign w:val="center"/>
          </w:tcPr>
          <w:p>
            <w:pPr>
              <w:pStyle w:val="27"/>
              <w:widowControl/>
              <w:rPr>
                <w:rFonts w:ascii="黑体" w:hAnsi="黑体" w:eastAsia="黑体" w:cs="仿宋"/>
                <w:sz w:val="28"/>
                <w:szCs w:val="28"/>
              </w:rPr>
            </w:pPr>
            <w:r>
              <w:rPr>
                <w:rFonts w:hint="eastAsia" w:ascii="黑体" w:hAnsi="黑体" w:eastAsia="黑体" w:cs="仿宋"/>
                <w:sz w:val="28"/>
                <w:szCs w:val="28"/>
              </w:rPr>
              <w:t>2022年</w:t>
            </w:r>
          </w:p>
        </w:tc>
        <w:tc>
          <w:tcPr>
            <w:tcW w:w="2232" w:type="dxa"/>
            <w:vAlign w:val="center"/>
          </w:tcPr>
          <w:p>
            <w:pPr>
              <w:pStyle w:val="27"/>
              <w:widowControl/>
              <w:rPr>
                <w:rFonts w:ascii="黑体" w:hAnsi="黑体" w:eastAsia="黑体" w:cs="仿宋"/>
                <w:sz w:val="28"/>
                <w:szCs w:val="28"/>
              </w:rPr>
            </w:pPr>
            <w:r>
              <w:rPr>
                <w:rFonts w:hint="eastAsia" w:ascii="黑体" w:hAnsi="黑体" w:eastAsia="黑体" w:cs="仿宋"/>
                <w:sz w:val="28"/>
                <w:szCs w:val="28"/>
              </w:rPr>
              <w:t>2025年</w:t>
            </w:r>
          </w:p>
        </w:tc>
        <w:tc>
          <w:tcPr>
            <w:tcW w:w="1224" w:type="dxa"/>
            <w:vAlign w:val="center"/>
          </w:tcPr>
          <w:p>
            <w:pPr>
              <w:pStyle w:val="27"/>
              <w:widowControl/>
              <w:rPr>
                <w:rFonts w:ascii="黑体" w:hAnsi="黑体" w:eastAsia="黑体" w:cs="仿宋"/>
                <w:sz w:val="28"/>
                <w:szCs w:val="28"/>
              </w:rPr>
            </w:pPr>
            <w:r>
              <w:rPr>
                <w:rFonts w:hint="eastAsia" w:ascii="黑体" w:hAnsi="黑体" w:eastAsia="黑体" w:cs="仿宋"/>
                <w:sz w:val="28"/>
                <w:szCs w:val="28"/>
              </w:rPr>
              <w:t>指标</w:t>
            </w:r>
          </w:p>
          <w:p>
            <w:pPr>
              <w:pStyle w:val="27"/>
              <w:widowControl/>
              <w:rPr>
                <w:rFonts w:ascii="黑体" w:hAnsi="黑体" w:eastAsia="黑体" w:cs="仿宋"/>
                <w:sz w:val="28"/>
                <w:szCs w:val="28"/>
              </w:rPr>
            </w:pPr>
            <w:r>
              <w:rPr>
                <w:rFonts w:hint="eastAsia" w:ascii="黑体" w:hAnsi="黑体" w:eastAsia="黑体" w:cs="仿宋"/>
                <w:sz w:val="28"/>
                <w:szCs w:val="28"/>
              </w:rPr>
              <w:t>属性</w:t>
            </w:r>
          </w:p>
        </w:tc>
        <w:tc>
          <w:tcPr>
            <w:tcW w:w="960" w:type="dxa"/>
            <w:vAlign w:val="center"/>
          </w:tcPr>
          <w:p>
            <w:pPr>
              <w:pStyle w:val="27"/>
              <w:widowControl/>
              <w:rPr>
                <w:rFonts w:ascii="黑体" w:hAnsi="黑体" w:eastAsia="黑体" w:cs="仿宋"/>
                <w:sz w:val="28"/>
                <w:szCs w:val="28"/>
              </w:rPr>
            </w:pPr>
            <w:r>
              <w:rPr>
                <w:rFonts w:hint="eastAsia" w:ascii="黑体" w:hAnsi="黑体" w:eastAsia="黑体" w:cs="仿宋"/>
                <w:sz w:val="28"/>
                <w:szCs w:val="28"/>
              </w:rPr>
              <w:t>完成</w:t>
            </w:r>
          </w:p>
          <w:p>
            <w:pPr>
              <w:pStyle w:val="27"/>
              <w:widowControl/>
              <w:rPr>
                <w:rFonts w:ascii="黑体" w:hAnsi="黑体" w:eastAsia="黑体" w:cs="仿宋"/>
                <w:sz w:val="28"/>
                <w:szCs w:val="28"/>
              </w:rPr>
            </w:pPr>
            <w:r>
              <w:rPr>
                <w:rFonts w:hint="eastAsia" w:ascii="黑体" w:hAnsi="黑体" w:eastAsia="黑体" w:cs="仿宋"/>
                <w:sz w:val="28"/>
                <w:szCs w:val="28"/>
              </w:rPr>
              <w:t>情况</w:t>
            </w:r>
          </w:p>
        </w:tc>
        <w:tc>
          <w:tcPr>
            <w:tcW w:w="1715" w:type="dxa"/>
            <w:vAlign w:val="center"/>
          </w:tcPr>
          <w:p>
            <w:pPr>
              <w:pStyle w:val="27"/>
              <w:widowControl/>
              <w:rPr>
                <w:rFonts w:ascii="黑体" w:hAnsi="黑体" w:eastAsia="黑体" w:cs="仿宋"/>
                <w:sz w:val="28"/>
                <w:szCs w:val="28"/>
              </w:rPr>
            </w:pPr>
            <w:r>
              <w:rPr>
                <w:rFonts w:hint="eastAsia" w:ascii="黑体" w:hAnsi="黑体" w:eastAsia="黑体" w:cs="仿宋"/>
                <w:sz w:val="28"/>
                <w:szCs w:val="28"/>
              </w:rPr>
              <w:t>责任部门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817" w:hRule="atLeast"/>
          <w:jc w:val="center"/>
        </w:trPr>
        <w:tc>
          <w:tcPr>
            <w:tcW w:w="700" w:type="dxa"/>
            <w:vMerge w:val="restart"/>
            <w:vAlign w:val="center"/>
          </w:tcPr>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r>
              <w:rPr>
                <w:rFonts w:hint="eastAsia" w:ascii="仿宋_GB2312" w:hAnsi="仿宋" w:cs="仿宋"/>
                <w:sz w:val="28"/>
                <w:szCs w:val="28"/>
              </w:rPr>
              <w:t>低碳管理</w:t>
            </w: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r>
              <w:rPr>
                <w:rFonts w:hint="eastAsia" w:ascii="仿宋_GB2312" w:hAnsi="仿宋" w:cs="仿宋"/>
                <w:sz w:val="28"/>
                <w:szCs w:val="28"/>
              </w:rPr>
              <w:t>低碳管理</w:t>
            </w:r>
          </w:p>
          <w:p>
            <w:pPr>
              <w:pStyle w:val="27"/>
              <w:widowControl/>
              <w:rPr>
                <w:rFonts w:ascii="仿宋_GB2312" w:hAnsi="仿宋" w:cs="仿宋"/>
                <w:sz w:val="28"/>
                <w:szCs w:val="28"/>
              </w:rPr>
            </w:pPr>
          </w:p>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1</w:t>
            </w:r>
          </w:p>
        </w:tc>
        <w:tc>
          <w:tcPr>
            <w:tcW w:w="2236" w:type="dxa"/>
            <w:vAlign w:val="center"/>
          </w:tcPr>
          <w:p>
            <w:pPr>
              <w:pStyle w:val="27"/>
              <w:widowControl/>
              <w:rPr>
                <w:rFonts w:ascii="仿宋_GB2312" w:hAnsi="仿宋" w:cs="仿宋"/>
                <w:sz w:val="28"/>
                <w:szCs w:val="28"/>
              </w:rPr>
            </w:pPr>
            <w:r>
              <w:rPr>
                <w:rFonts w:hint="eastAsia" w:ascii="仿宋_GB2312" w:hAnsi="仿宋" w:cs="仿宋"/>
                <w:sz w:val="28"/>
                <w:szCs w:val="28"/>
              </w:rPr>
              <w:t>二氧化碳排放总量</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吨</w:t>
            </w:r>
          </w:p>
        </w:tc>
        <w:tc>
          <w:tcPr>
            <w:tcW w:w="1511" w:type="dxa"/>
            <w:vAlign w:val="center"/>
          </w:tcPr>
          <w:p>
            <w:pPr>
              <w:widowControl/>
              <w:spacing w:line="240" w:lineRule="auto"/>
              <w:ind w:firstLine="0" w:firstLineChars="0"/>
              <w:jc w:val="center"/>
              <w:textAlignment w:val="center"/>
              <w:rPr>
                <w:rFonts w:ascii="仿宋_GB2312" w:hAnsi="仿宋" w:cs="仿宋"/>
                <w:bCs/>
                <w:spacing w:val="-5"/>
                <w:sz w:val="28"/>
                <w:szCs w:val="28"/>
              </w:rPr>
            </w:pPr>
            <w:r>
              <w:rPr>
                <w:rFonts w:hint="eastAsia" w:ascii="仿宋_GB2312" w:hAnsi="仿宋" w:cs="仿宋"/>
                <w:bCs/>
                <w:spacing w:val="-5"/>
                <w:sz w:val="28"/>
                <w:szCs w:val="28"/>
              </w:rPr>
              <w:t>9290749.01</w:t>
            </w:r>
          </w:p>
        </w:tc>
        <w:tc>
          <w:tcPr>
            <w:tcW w:w="1584" w:type="dxa"/>
            <w:vAlign w:val="center"/>
          </w:tcPr>
          <w:p>
            <w:pPr>
              <w:widowControl/>
              <w:spacing w:line="240" w:lineRule="auto"/>
              <w:ind w:firstLine="0" w:firstLineChars="0"/>
              <w:jc w:val="center"/>
              <w:textAlignment w:val="center"/>
              <w:rPr>
                <w:rFonts w:ascii="仿宋_GB2312" w:hAnsi="仿宋" w:cs="仿宋"/>
                <w:bCs/>
                <w:spacing w:val="-5"/>
                <w:sz w:val="28"/>
                <w:szCs w:val="28"/>
              </w:rPr>
            </w:pPr>
            <w:r>
              <w:rPr>
                <w:rFonts w:hint="eastAsia" w:ascii="仿宋_GB2312" w:hAnsi="仿宋" w:cs="仿宋"/>
                <w:bCs/>
                <w:spacing w:val="-5"/>
                <w:sz w:val="28"/>
                <w:szCs w:val="28"/>
              </w:rPr>
              <w:t>10048799.38</w:t>
            </w:r>
          </w:p>
        </w:tc>
        <w:tc>
          <w:tcPr>
            <w:tcW w:w="1524" w:type="dxa"/>
            <w:vAlign w:val="center"/>
          </w:tcPr>
          <w:p>
            <w:pPr>
              <w:widowControl/>
              <w:spacing w:line="240" w:lineRule="auto"/>
              <w:ind w:firstLine="0" w:firstLineChars="0"/>
              <w:jc w:val="center"/>
              <w:textAlignment w:val="center"/>
              <w:rPr>
                <w:rFonts w:ascii="仿宋_GB2312" w:hAnsi="仿宋" w:cs="仿宋"/>
                <w:bCs/>
                <w:spacing w:val="-5"/>
                <w:sz w:val="28"/>
                <w:szCs w:val="28"/>
              </w:rPr>
            </w:pPr>
            <w:r>
              <w:rPr>
                <w:rFonts w:hint="eastAsia" w:ascii="仿宋_GB2312" w:hAnsi="仿宋" w:cs="仿宋"/>
                <w:bCs/>
                <w:spacing w:val="-5"/>
                <w:sz w:val="28"/>
                <w:szCs w:val="28"/>
              </w:rPr>
              <w:t>8537813.87</w:t>
            </w:r>
          </w:p>
        </w:tc>
        <w:tc>
          <w:tcPr>
            <w:tcW w:w="2232" w:type="dxa"/>
            <w:vAlign w:val="center"/>
          </w:tcPr>
          <w:p>
            <w:pPr>
              <w:pStyle w:val="27"/>
              <w:widowControl/>
              <w:rPr>
                <w:rFonts w:ascii="仿宋_GB2312" w:hAnsi="仿宋" w:cs="仿宋"/>
                <w:sz w:val="28"/>
                <w:szCs w:val="28"/>
              </w:rPr>
            </w:pPr>
            <w:r>
              <w:rPr>
                <w:rFonts w:hint="eastAsia" w:ascii="仿宋_GB2312" w:hAnsi="仿宋" w:cs="仿宋"/>
                <w:sz w:val="28"/>
                <w:szCs w:val="28"/>
              </w:rPr>
              <w:t>较2020年下降</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完成</w:t>
            </w:r>
          </w:p>
        </w:tc>
        <w:tc>
          <w:tcPr>
            <w:tcW w:w="1715" w:type="dxa"/>
            <w:vMerge w:val="restart"/>
            <w:vAlign w:val="center"/>
          </w:tcPr>
          <w:p>
            <w:pPr>
              <w:snapToGrid/>
              <w:spacing w:line="380" w:lineRule="exact"/>
              <w:ind w:firstLine="0" w:firstLineChars="0"/>
              <w:contextualSpacing/>
              <w:jc w:val="center"/>
              <w:textAlignment w:val="center"/>
              <w:rPr>
                <w:rFonts w:ascii="仿宋_GB2312" w:hAnsi="仿宋" w:cs="仿宋"/>
                <w:sz w:val="28"/>
                <w:szCs w:val="28"/>
              </w:rPr>
            </w:pPr>
            <w:r>
              <w:rPr>
                <w:rFonts w:hint="eastAsia" w:ascii="仿宋_GB2312" w:hAnsi="仿宋" w:cs="仿宋"/>
                <w:sz w:val="28"/>
                <w:szCs w:val="28"/>
              </w:rPr>
              <w:t>区工信局、住建局、统计局、供电公司负责提供基础数据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739"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2</w:t>
            </w:r>
          </w:p>
        </w:tc>
        <w:tc>
          <w:tcPr>
            <w:tcW w:w="2236" w:type="dxa"/>
            <w:vAlign w:val="center"/>
          </w:tcPr>
          <w:p>
            <w:pPr>
              <w:pStyle w:val="27"/>
              <w:widowControl/>
              <w:rPr>
                <w:rFonts w:ascii="仿宋_GB2312" w:hAnsi="仿宋" w:cs="仿宋"/>
                <w:sz w:val="28"/>
                <w:szCs w:val="28"/>
              </w:rPr>
            </w:pPr>
            <w:r>
              <w:rPr>
                <w:rFonts w:hint="eastAsia" w:ascii="仿宋_GB2312" w:hAnsi="仿宋" w:cs="仿宋"/>
                <w:sz w:val="28"/>
                <w:szCs w:val="28"/>
              </w:rPr>
              <w:t>人均二氧化碳排放</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吨/人</w:t>
            </w:r>
          </w:p>
        </w:tc>
        <w:tc>
          <w:tcPr>
            <w:tcW w:w="1511" w:type="dxa"/>
            <w:vAlign w:val="center"/>
          </w:tcPr>
          <w:p>
            <w:pPr>
              <w:widowControl/>
              <w:spacing w:line="240" w:lineRule="auto"/>
              <w:ind w:firstLine="0" w:firstLineChars="0"/>
              <w:jc w:val="center"/>
              <w:textAlignment w:val="center"/>
              <w:rPr>
                <w:rFonts w:ascii="仿宋_GB2312" w:hAnsi="仿宋" w:cs="仿宋"/>
                <w:bCs/>
                <w:spacing w:val="-5"/>
                <w:sz w:val="28"/>
                <w:szCs w:val="28"/>
              </w:rPr>
            </w:pPr>
            <w:r>
              <w:rPr>
                <w:rFonts w:hint="eastAsia" w:ascii="仿宋_GB2312" w:hAnsi="仿宋" w:cs="仿宋"/>
                <w:bCs/>
                <w:spacing w:val="-5"/>
                <w:sz w:val="28"/>
                <w:szCs w:val="28"/>
              </w:rPr>
              <w:t>8.60</w:t>
            </w:r>
          </w:p>
        </w:tc>
        <w:tc>
          <w:tcPr>
            <w:tcW w:w="1584" w:type="dxa"/>
            <w:vAlign w:val="center"/>
          </w:tcPr>
          <w:p>
            <w:pPr>
              <w:widowControl/>
              <w:spacing w:line="240" w:lineRule="auto"/>
              <w:ind w:firstLine="0" w:firstLineChars="0"/>
              <w:jc w:val="center"/>
              <w:textAlignment w:val="center"/>
              <w:rPr>
                <w:rFonts w:ascii="仿宋_GB2312" w:hAnsi="仿宋" w:cs="仿宋"/>
                <w:bCs/>
                <w:spacing w:val="-5"/>
                <w:sz w:val="28"/>
                <w:szCs w:val="28"/>
              </w:rPr>
            </w:pPr>
            <w:r>
              <w:rPr>
                <w:rFonts w:hint="eastAsia" w:ascii="仿宋_GB2312" w:hAnsi="仿宋" w:cs="仿宋"/>
                <w:bCs/>
                <w:spacing w:val="-5"/>
                <w:sz w:val="28"/>
                <w:szCs w:val="28"/>
              </w:rPr>
              <w:t>9.19</w:t>
            </w:r>
          </w:p>
        </w:tc>
        <w:tc>
          <w:tcPr>
            <w:tcW w:w="1524" w:type="dxa"/>
            <w:vAlign w:val="center"/>
          </w:tcPr>
          <w:p>
            <w:pPr>
              <w:widowControl/>
              <w:spacing w:line="240" w:lineRule="auto"/>
              <w:ind w:firstLine="0" w:firstLineChars="0"/>
              <w:jc w:val="center"/>
              <w:textAlignment w:val="center"/>
              <w:rPr>
                <w:rFonts w:ascii="仿宋_GB2312" w:hAnsi="仿宋" w:cs="仿宋"/>
                <w:bCs/>
                <w:spacing w:val="-5"/>
                <w:sz w:val="28"/>
                <w:szCs w:val="28"/>
              </w:rPr>
            </w:pPr>
            <w:r>
              <w:rPr>
                <w:rFonts w:hint="eastAsia" w:ascii="仿宋_GB2312" w:hAnsi="仿宋" w:cs="仿宋"/>
                <w:bCs/>
                <w:spacing w:val="-5"/>
                <w:sz w:val="28"/>
                <w:szCs w:val="28"/>
              </w:rPr>
              <w:t>7.76</w:t>
            </w:r>
          </w:p>
        </w:tc>
        <w:tc>
          <w:tcPr>
            <w:tcW w:w="2232" w:type="dxa"/>
            <w:vAlign w:val="center"/>
          </w:tcPr>
          <w:p>
            <w:pPr>
              <w:pStyle w:val="27"/>
              <w:widowControl/>
              <w:rPr>
                <w:rFonts w:ascii="仿宋_GB2312" w:hAnsi="仿宋" w:cs="仿宋"/>
                <w:sz w:val="28"/>
                <w:szCs w:val="28"/>
              </w:rPr>
            </w:pPr>
            <w:r>
              <w:rPr>
                <w:rFonts w:hint="eastAsia" w:ascii="仿宋_GB2312" w:hAnsi="仿宋" w:cs="仿宋"/>
                <w:sz w:val="28"/>
                <w:szCs w:val="28"/>
              </w:rPr>
              <w:t>较2020年下降</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完成</w:t>
            </w:r>
          </w:p>
        </w:tc>
        <w:tc>
          <w:tcPr>
            <w:tcW w:w="1715" w:type="dxa"/>
            <w:vMerge w:val="continue"/>
            <w:vAlign w:val="center"/>
          </w:tcPr>
          <w:p>
            <w:pPr>
              <w:spacing w:line="240" w:lineRule="auto"/>
              <w:ind w:firstLine="56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1488"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3</w:t>
            </w:r>
          </w:p>
        </w:tc>
        <w:tc>
          <w:tcPr>
            <w:tcW w:w="2236" w:type="dxa"/>
            <w:vAlign w:val="center"/>
          </w:tcPr>
          <w:p>
            <w:pPr>
              <w:pStyle w:val="27"/>
              <w:widowControl/>
              <w:jc w:val="left"/>
              <w:rPr>
                <w:rFonts w:ascii="仿宋_GB2312" w:hAnsi="仿宋" w:cs="仿宋"/>
                <w:sz w:val="28"/>
                <w:szCs w:val="28"/>
              </w:rPr>
            </w:pPr>
            <w:r>
              <w:rPr>
                <w:rFonts w:hint="eastAsia" w:ascii="仿宋_GB2312" w:hAnsi="仿宋" w:cs="仿宋"/>
                <w:sz w:val="28"/>
                <w:szCs w:val="28"/>
              </w:rPr>
              <w:t>单位地区生产总值二氧化碳排放</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吨/万元</w:t>
            </w:r>
          </w:p>
        </w:tc>
        <w:tc>
          <w:tcPr>
            <w:tcW w:w="1511" w:type="dxa"/>
            <w:vAlign w:val="center"/>
          </w:tcPr>
          <w:p>
            <w:pPr>
              <w:widowControl/>
              <w:spacing w:line="240" w:lineRule="auto"/>
              <w:ind w:firstLine="0" w:firstLineChars="0"/>
              <w:jc w:val="center"/>
              <w:textAlignment w:val="center"/>
              <w:rPr>
                <w:rFonts w:ascii="仿宋_GB2312" w:hAnsi="仿宋" w:cs="仿宋"/>
                <w:bCs/>
                <w:spacing w:val="-5"/>
                <w:sz w:val="28"/>
                <w:szCs w:val="28"/>
              </w:rPr>
            </w:pPr>
            <w:r>
              <w:rPr>
                <w:rFonts w:hint="eastAsia" w:ascii="仿宋_GB2312" w:hAnsi="仿宋" w:cs="仿宋"/>
                <w:bCs/>
                <w:spacing w:val="-5"/>
                <w:sz w:val="28"/>
                <w:szCs w:val="28"/>
              </w:rPr>
              <w:t>0.92</w:t>
            </w:r>
          </w:p>
        </w:tc>
        <w:tc>
          <w:tcPr>
            <w:tcW w:w="1584" w:type="dxa"/>
            <w:vAlign w:val="center"/>
          </w:tcPr>
          <w:p>
            <w:pPr>
              <w:widowControl/>
              <w:spacing w:line="240" w:lineRule="auto"/>
              <w:ind w:firstLine="0" w:firstLineChars="0"/>
              <w:jc w:val="center"/>
              <w:textAlignment w:val="center"/>
              <w:rPr>
                <w:rFonts w:ascii="仿宋_GB2312" w:hAnsi="仿宋" w:cs="仿宋"/>
                <w:bCs/>
                <w:spacing w:val="-5"/>
                <w:sz w:val="28"/>
                <w:szCs w:val="28"/>
              </w:rPr>
            </w:pPr>
            <w:r>
              <w:rPr>
                <w:rFonts w:hint="eastAsia" w:ascii="仿宋_GB2312" w:hAnsi="仿宋" w:cs="仿宋"/>
                <w:bCs/>
                <w:spacing w:val="-5"/>
                <w:sz w:val="28"/>
                <w:szCs w:val="28"/>
              </w:rPr>
              <w:t>0.90</w:t>
            </w:r>
          </w:p>
        </w:tc>
        <w:tc>
          <w:tcPr>
            <w:tcW w:w="1524" w:type="dxa"/>
            <w:vAlign w:val="center"/>
          </w:tcPr>
          <w:p>
            <w:pPr>
              <w:widowControl/>
              <w:spacing w:line="240" w:lineRule="auto"/>
              <w:ind w:firstLine="0" w:firstLineChars="0"/>
              <w:jc w:val="center"/>
              <w:textAlignment w:val="center"/>
              <w:rPr>
                <w:rFonts w:ascii="仿宋_GB2312" w:hAnsi="仿宋" w:cs="仿宋"/>
                <w:bCs/>
                <w:spacing w:val="-5"/>
                <w:sz w:val="28"/>
                <w:szCs w:val="28"/>
              </w:rPr>
            </w:pPr>
            <w:r>
              <w:rPr>
                <w:rFonts w:hint="eastAsia" w:ascii="仿宋_GB2312" w:hAnsi="仿宋" w:cs="仿宋"/>
                <w:bCs/>
                <w:spacing w:val="-5"/>
                <w:sz w:val="28"/>
                <w:szCs w:val="28"/>
              </w:rPr>
              <w:t>0.76</w:t>
            </w:r>
          </w:p>
        </w:tc>
        <w:tc>
          <w:tcPr>
            <w:tcW w:w="2232" w:type="dxa"/>
            <w:vAlign w:val="center"/>
          </w:tcPr>
          <w:p>
            <w:pPr>
              <w:pStyle w:val="27"/>
              <w:widowControl/>
              <w:rPr>
                <w:rFonts w:ascii="仿宋_GB2312" w:hAnsi="仿宋" w:cs="仿宋"/>
                <w:sz w:val="28"/>
                <w:szCs w:val="28"/>
              </w:rPr>
            </w:pPr>
            <w:r>
              <w:rPr>
                <w:rFonts w:hint="eastAsia" w:ascii="仿宋_GB2312" w:hAnsi="仿宋" w:cs="仿宋"/>
                <w:sz w:val="28"/>
                <w:szCs w:val="28"/>
              </w:rPr>
              <w:t>较2020年下降20.5%</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未完成</w:t>
            </w:r>
          </w:p>
        </w:tc>
        <w:tc>
          <w:tcPr>
            <w:tcW w:w="1715" w:type="dxa"/>
            <w:vMerge w:val="continue"/>
            <w:vAlign w:val="center"/>
          </w:tcPr>
          <w:p>
            <w:pPr>
              <w:widowControl/>
              <w:spacing w:line="240" w:lineRule="auto"/>
              <w:ind w:firstLine="0" w:firstLineChars="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592"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4</w:t>
            </w:r>
          </w:p>
        </w:tc>
        <w:tc>
          <w:tcPr>
            <w:tcW w:w="2236" w:type="dxa"/>
            <w:vAlign w:val="center"/>
          </w:tcPr>
          <w:p>
            <w:pPr>
              <w:pStyle w:val="27"/>
              <w:widowControl/>
              <w:jc w:val="left"/>
              <w:rPr>
                <w:rFonts w:ascii="仿宋_GB2312" w:hAnsi="仿宋" w:cs="仿宋"/>
                <w:sz w:val="28"/>
                <w:szCs w:val="28"/>
              </w:rPr>
            </w:pPr>
            <w:r>
              <w:rPr>
                <w:rFonts w:hint="eastAsia" w:ascii="仿宋_GB2312" w:hAnsi="仿宋" w:cs="仿宋"/>
                <w:sz w:val="28"/>
                <w:szCs w:val="28"/>
              </w:rPr>
              <w:t>“两高”项目碳排放减量替代政策</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rPr>
                <w:rFonts w:ascii="仿宋_GB2312" w:hAnsi="仿宋" w:cs="仿宋"/>
                <w:sz w:val="28"/>
                <w:szCs w:val="28"/>
              </w:rPr>
            </w:pPr>
            <w:r>
              <w:rPr>
                <w:rFonts w:hint="eastAsia" w:ascii="仿宋_GB2312" w:hAnsi="仿宋" w:cs="仿宋"/>
                <w:sz w:val="28"/>
                <w:szCs w:val="28"/>
              </w:rPr>
              <w:t>已落实相关碳减量替代政策</w:t>
            </w:r>
          </w:p>
        </w:tc>
        <w:tc>
          <w:tcPr>
            <w:tcW w:w="2232" w:type="dxa"/>
            <w:vAlign w:val="center"/>
          </w:tcPr>
          <w:p>
            <w:pPr>
              <w:pStyle w:val="27"/>
              <w:widowControl/>
              <w:rPr>
                <w:rFonts w:ascii="仿宋_GB2312" w:hAnsi="仿宋" w:cs="仿宋"/>
                <w:sz w:val="28"/>
                <w:szCs w:val="28"/>
              </w:rPr>
            </w:pPr>
            <w:r>
              <w:rPr>
                <w:rFonts w:hint="eastAsia" w:ascii="仿宋_GB2312" w:hAnsi="仿宋" w:cs="仿宋"/>
                <w:sz w:val="28"/>
                <w:szCs w:val="28"/>
              </w:rPr>
              <w:t>100%执行减量替代</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完成</w:t>
            </w:r>
          </w:p>
        </w:tc>
        <w:tc>
          <w:tcPr>
            <w:tcW w:w="1715" w:type="dxa"/>
            <w:vMerge w:val="restart"/>
            <w:vAlign w:val="center"/>
          </w:tcPr>
          <w:p>
            <w:pPr>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区生态环境分局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580"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5</w:t>
            </w:r>
          </w:p>
        </w:tc>
        <w:tc>
          <w:tcPr>
            <w:tcW w:w="2236" w:type="dxa"/>
            <w:vAlign w:val="center"/>
          </w:tcPr>
          <w:p>
            <w:pPr>
              <w:pStyle w:val="27"/>
              <w:widowControl/>
              <w:jc w:val="left"/>
              <w:rPr>
                <w:rFonts w:ascii="仿宋_GB2312" w:hAnsi="仿宋" w:cs="仿宋"/>
                <w:sz w:val="28"/>
                <w:szCs w:val="28"/>
              </w:rPr>
            </w:pPr>
            <w:r>
              <w:rPr>
                <w:rFonts w:hint="eastAsia" w:ascii="仿宋_GB2312" w:hAnsi="仿宋" w:cs="仿宋"/>
                <w:sz w:val="28"/>
                <w:szCs w:val="28"/>
              </w:rPr>
              <w:t>重点排放单位碳排放报告与核查制度</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widowControl/>
              <w:rPr>
                <w:rFonts w:ascii="仿宋_GB2312" w:hAnsi="仿宋" w:cs="仿宋"/>
                <w:sz w:val="28"/>
                <w:szCs w:val="28"/>
              </w:rPr>
            </w:pPr>
            <w:r>
              <w:rPr>
                <w:rFonts w:hint="eastAsia" w:ascii="仿宋_GB2312" w:hAnsi="仿宋" w:cs="仿宋"/>
                <w:sz w:val="28"/>
                <w:szCs w:val="28"/>
              </w:rPr>
              <w:t>已落实制度</w:t>
            </w:r>
          </w:p>
        </w:tc>
        <w:tc>
          <w:tcPr>
            <w:tcW w:w="2232" w:type="dxa"/>
            <w:vAlign w:val="center"/>
          </w:tcPr>
          <w:p>
            <w:pPr>
              <w:pStyle w:val="27"/>
              <w:widowControl/>
              <w:rPr>
                <w:rFonts w:ascii="仿宋_GB2312" w:hAnsi="仿宋" w:cs="仿宋"/>
                <w:sz w:val="28"/>
                <w:szCs w:val="28"/>
              </w:rPr>
            </w:pPr>
            <w:r>
              <w:rPr>
                <w:rFonts w:hint="eastAsia" w:ascii="仿宋_GB2312" w:hAnsi="仿宋" w:cs="仿宋"/>
                <w:sz w:val="28"/>
                <w:szCs w:val="28"/>
              </w:rPr>
              <w:t>全面落实</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完成</w:t>
            </w:r>
          </w:p>
        </w:tc>
        <w:tc>
          <w:tcPr>
            <w:tcW w:w="1715" w:type="dxa"/>
            <w:vMerge w:val="continue"/>
            <w:vAlign w:val="center"/>
          </w:tcPr>
          <w:p>
            <w:pPr>
              <w:spacing w:line="240" w:lineRule="auto"/>
              <w:ind w:firstLine="56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568"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6</w:t>
            </w:r>
          </w:p>
        </w:tc>
        <w:tc>
          <w:tcPr>
            <w:tcW w:w="2236" w:type="dxa"/>
            <w:vAlign w:val="center"/>
          </w:tcPr>
          <w:p>
            <w:pPr>
              <w:pStyle w:val="27"/>
              <w:widowControl/>
              <w:jc w:val="left"/>
              <w:rPr>
                <w:rFonts w:ascii="仿宋_GB2312" w:hAnsi="仿宋" w:cs="仿宋"/>
                <w:sz w:val="28"/>
                <w:szCs w:val="28"/>
              </w:rPr>
            </w:pPr>
            <w:r>
              <w:rPr>
                <w:rFonts w:hint="eastAsia" w:ascii="仿宋_GB2312" w:hAnsi="仿宋" w:cs="仿宋"/>
                <w:sz w:val="28"/>
                <w:szCs w:val="28"/>
              </w:rPr>
              <w:t>开展碳普惠相关应用场景</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widowControl/>
              <w:rPr>
                <w:rFonts w:ascii="仿宋_GB2312" w:hAnsi="仿宋" w:cs="仿宋"/>
                <w:sz w:val="28"/>
                <w:szCs w:val="28"/>
              </w:rPr>
            </w:pPr>
            <w:r>
              <w:rPr>
                <w:rFonts w:hint="eastAsia" w:ascii="仿宋_GB2312" w:hAnsi="仿宋" w:cs="仿宋"/>
                <w:sz w:val="28"/>
                <w:szCs w:val="28"/>
              </w:rPr>
              <w:t>尚未开展碳普惠相关应用场景</w:t>
            </w:r>
          </w:p>
        </w:tc>
        <w:tc>
          <w:tcPr>
            <w:tcW w:w="2232" w:type="dxa"/>
            <w:vAlign w:val="center"/>
          </w:tcPr>
          <w:p>
            <w:pPr>
              <w:pStyle w:val="27"/>
              <w:widowControl/>
              <w:rPr>
                <w:rFonts w:ascii="仿宋_GB2312" w:hAnsi="仿宋" w:cs="仿宋"/>
                <w:sz w:val="28"/>
                <w:szCs w:val="28"/>
              </w:rPr>
            </w:pPr>
            <w:r>
              <w:rPr>
                <w:rFonts w:hint="eastAsia" w:ascii="仿宋_GB2312" w:hAnsi="仿宋" w:cs="仿宋"/>
                <w:sz w:val="28"/>
                <w:szCs w:val="28"/>
              </w:rPr>
              <w:t>至少2个</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未完成</w:t>
            </w:r>
          </w:p>
        </w:tc>
        <w:tc>
          <w:tcPr>
            <w:tcW w:w="1715" w:type="dxa"/>
            <w:vMerge w:val="continue"/>
            <w:vAlign w:val="center"/>
          </w:tcPr>
          <w:p>
            <w:pPr>
              <w:spacing w:line="240" w:lineRule="auto"/>
              <w:ind w:firstLine="56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616"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7</w:t>
            </w:r>
          </w:p>
        </w:tc>
        <w:tc>
          <w:tcPr>
            <w:tcW w:w="2236" w:type="dxa"/>
            <w:vAlign w:val="center"/>
          </w:tcPr>
          <w:p>
            <w:pPr>
              <w:pStyle w:val="27"/>
              <w:widowControl/>
              <w:jc w:val="left"/>
              <w:rPr>
                <w:rFonts w:ascii="仿宋_GB2312" w:hAnsi="仿宋" w:cs="仿宋"/>
                <w:sz w:val="28"/>
                <w:szCs w:val="28"/>
              </w:rPr>
            </w:pPr>
            <w:r>
              <w:rPr>
                <w:rFonts w:hint="eastAsia" w:ascii="仿宋_GB2312" w:hAnsi="仿宋" w:cs="仿宋"/>
                <w:sz w:val="28"/>
                <w:szCs w:val="28"/>
              </w:rPr>
              <w:t>清洁生产审核情况</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widowControl/>
              <w:rPr>
                <w:rFonts w:ascii="仿宋_GB2312" w:hAnsi="仿宋" w:cs="仿宋"/>
                <w:sz w:val="28"/>
                <w:szCs w:val="28"/>
              </w:rPr>
            </w:pPr>
            <w:r>
              <w:rPr>
                <w:rFonts w:hint="eastAsia" w:ascii="仿宋_GB2312" w:hAnsi="仿宋" w:cs="仿宋"/>
                <w:sz w:val="28"/>
                <w:szCs w:val="28"/>
              </w:rPr>
              <w:t>已100%完成清洁生产审核工作</w:t>
            </w:r>
          </w:p>
        </w:tc>
        <w:tc>
          <w:tcPr>
            <w:tcW w:w="2232" w:type="dxa"/>
            <w:vAlign w:val="center"/>
          </w:tcPr>
          <w:p>
            <w:pPr>
              <w:pStyle w:val="27"/>
              <w:widowControl/>
              <w:rPr>
                <w:rFonts w:ascii="仿宋_GB2312" w:hAnsi="仿宋" w:cs="仿宋"/>
                <w:sz w:val="28"/>
                <w:szCs w:val="28"/>
              </w:rPr>
            </w:pPr>
            <w:r>
              <w:rPr>
                <w:rFonts w:hint="eastAsia" w:ascii="仿宋_GB2312" w:hAnsi="仿宋" w:cs="仿宋"/>
                <w:sz w:val="28"/>
                <w:szCs w:val="28"/>
              </w:rPr>
              <w:t>成效明显</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完成</w:t>
            </w:r>
          </w:p>
        </w:tc>
        <w:tc>
          <w:tcPr>
            <w:tcW w:w="1715" w:type="dxa"/>
            <w:vMerge w:val="continue"/>
            <w:vAlign w:val="center"/>
          </w:tcPr>
          <w:p>
            <w:pPr>
              <w:widowControl/>
              <w:spacing w:line="240" w:lineRule="auto"/>
              <w:ind w:firstLine="0" w:firstLineChars="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8</w:t>
            </w:r>
          </w:p>
        </w:tc>
        <w:tc>
          <w:tcPr>
            <w:tcW w:w="2236" w:type="dxa"/>
            <w:vAlign w:val="center"/>
          </w:tcPr>
          <w:p>
            <w:pPr>
              <w:pStyle w:val="27"/>
              <w:widowControl/>
              <w:jc w:val="left"/>
              <w:rPr>
                <w:rFonts w:ascii="仿宋_GB2312" w:hAnsi="仿宋" w:cs="仿宋"/>
                <w:sz w:val="28"/>
                <w:szCs w:val="28"/>
              </w:rPr>
            </w:pPr>
            <w:r>
              <w:rPr>
                <w:rFonts w:hint="eastAsia" w:ascii="仿宋_GB2312" w:hAnsi="仿宋" w:cs="仿宋"/>
                <w:sz w:val="28"/>
                <w:szCs w:val="28"/>
              </w:rPr>
              <w:t>绿色金融与专项资金</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w:t>
            </w:r>
          </w:p>
        </w:tc>
        <w:tc>
          <w:tcPr>
            <w:tcW w:w="1511" w:type="dxa"/>
            <w:vAlign w:val="center"/>
          </w:tcPr>
          <w:p>
            <w:pPr>
              <w:pStyle w:val="27"/>
              <w:widowControl/>
              <w:rPr>
                <w:rFonts w:ascii="仿宋_GB2312" w:hAnsi="仿宋" w:cs="仿宋"/>
                <w:sz w:val="28"/>
                <w:szCs w:val="28"/>
              </w:rPr>
            </w:pPr>
            <w:r>
              <w:rPr>
                <w:rFonts w:hint="eastAsia" w:ascii="仿宋_GB2312" w:hAnsi="仿宋" w:cs="仿宋"/>
                <w:sz w:val="28"/>
                <w:szCs w:val="28"/>
              </w:rPr>
              <w:t>无</w:t>
            </w:r>
          </w:p>
        </w:tc>
        <w:tc>
          <w:tcPr>
            <w:tcW w:w="1584" w:type="dxa"/>
            <w:vAlign w:val="center"/>
          </w:tcPr>
          <w:p>
            <w:pPr>
              <w:pStyle w:val="27"/>
              <w:widowControl/>
              <w:rPr>
                <w:rFonts w:ascii="仿宋_GB2312" w:hAnsi="仿宋" w:cs="仿宋"/>
                <w:sz w:val="28"/>
                <w:szCs w:val="28"/>
              </w:rPr>
            </w:pPr>
            <w:r>
              <w:rPr>
                <w:rFonts w:hint="eastAsia" w:ascii="仿宋_GB2312" w:hAnsi="仿宋" w:cs="仿宋"/>
                <w:sz w:val="28"/>
                <w:szCs w:val="28"/>
              </w:rPr>
              <w:t>无</w:t>
            </w:r>
          </w:p>
        </w:tc>
        <w:tc>
          <w:tcPr>
            <w:tcW w:w="1524" w:type="dxa"/>
            <w:vAlign w:val="center"/>
          </w:tcPr>
          <w:p>
            <w:pPr>
              <w:pStyle w:val="27"/>
              <w:widowControl/>
              <w:jc w:val="left"/>
              <w:rPr>
                <w:rFonts w:ascii="仿宋_GB2312" w:hAnsi="仿宋" w:cs="仿宋"/>
                <w:sz w:val="28"/>
                <w:szCs w:val="28"/>
              </w:rPr>
            </w:pPr>
            <w:r>
              <w:rPr>
                <w:rFonts w:hint="eastAsia" w:ascii="仿宋_GB2312" w:hAnsi="仿宋" w:cs="仿宋"/>
                <w:sz w:val="28"/>
                <w:szCs w:val="28"/>
              </w:rPr>
              <w:t>绿色贷款余额98亿元，新增52亿元</w:t>
            </w:r>
          </w:p>
        </w:tc>
        <w:tc>
          <w:tcPr>
            <w:tcW w:w="2232" w:type="dxa"/>
            <w:vAlign w:val="center"/>
          </w:tcPr>
          <w:p>
            <w:pPr>
              <w:pStyle w:val="27"/>
              <w:widowControl/>
              <w:jc w:val="left"/>
              <w:rPr>
                <w:rFonts w:ascii="仿宋_GB2312" w:hAnsi="仿宋" w:cs="仿宋"/>
                <w:sz w:val="28"/>
                <w:szCs w:val="28"/>
              </w:rPr>
            </w:pPr>
            <w:r>
              <w:rPr>
                <w:rFonts w:hint="eastAsia" w:ascii="仿宋_GB2312" w:hAnsi="仿宋" w:cs="仿宋"/>
                <w:sz w:val="28"/>
                <w:szCs w:val="28"/>
              </w:rPr>
              <w:t>使用绿色金融工具，申请专项资金</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完成</w:t>
            </w:r>
          </w:p>
        </w:tc>
        <w:tc>
          <w:tcPr>
            <w:tcW w:w="1715" w:type="dxa"/>
            <w:vAlign w:val="center"/>
          </w:tcPr>
          <w:p>
            <w:pPr>
              <w:widowControl/>
              <w:spacing w:line="240" w:lineRule="auto"/>
              <w:ind w:firstLine="0" w:firstLineChars="0"/>
              <w:textAlignment w:val="center"/>
              <w:rPr>
                <w:rFonts w:ascii="仿宋_GB2312" w:hAnsi="仿宋" w:cs="仿宋"/>
                <w:sz w:val="28"/>
                <w:szCs w:val="28"/>
              </w:rPr>
            </w:pPr>
            <w:r>
              <w:rPr>
                <w:rFonts w:hint="eastAsia" w:ascii="仿宋_GB2312" w:hAnsi="仿宋" w:cs="仿宋"/>
                <w:sz w:val="28"/>
                <w:szCs w:val="28"/>
              </w:rPr>
              <w:t>区发改局、财政局、生态环境分局、金融事业发展中心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9</w:t>
            </w:r>
          </w:p>
        </w:tc>
        <w:tc>
          <w:tcPr>
            <w:tcW w:w="2236"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温室气体排放清单</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尚未编制温室气体排放清单</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2024年编制完成</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未完成</w:t>
            </w:r>
          </w:p>
        </w:tc>
        <w:tc>
          <w:tcPr>
            <w:tcW w:w="1715" w:type="dxa"/>
            <w:vAlign w:val="center"/>
          </w:tcPr>
          <w:p>
            <w:pPr>
              <w:widowControl/>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区生态环境分局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769" w:hRule="atLeast"/>
          <w:jc w:val="center"/>
        </w:trPr>
        <w:tc>
          <w:tcPr>
            <w:tcW w:w="700" w:type="dxa"/>
            <w:vMerge w:val="restart"/>
            <w:vAlign w:val="center"/>
          </w:tcPr>
          <w:p>
            <w:pPr>
              <w:pStyle w:val="27"/>
              <w:widowControl/>
              <w:rPr>
                <w:rFonts w:ascii="仿宋_GB2312" w:hAnsi="仿宋" w:cs="仿宋"/>
                <w:sz w:val="28"/>
                <w:szCs w:val="28"/>
              </w:rPr>
            </w:pPr>
            <w:r>
              <w:rPr>
                <w:rFonts w:hint="eastAsia" w:ascii="仿宋_GB2312" w:hAnsi="仿宋" w:cs="仿宋"/>
                <w:sz w:val="28"/>
                <w:szCs w:val="28"/>
              </w:rPr>
              <w:t>低碳能源</w:t>
            </w: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10</w:t>
            </w:r>
          </w:p>
        </w:tc>
        <w:tc>
          <w:tcPr>
            <w:tcW w:w="2236"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化石能源消费总量</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万吨</w:t>
            </w:r>
          </w:p>
          <w:p>
            <w:pPr>
              <w:pStyle w:val="27"/>
              <w:widowControl/>
              <w:spacing w:line="320" w:lineRule="exact"/>
              <w:rPr>
                <w:rFonts w:ascii="仿宋_GB2312" w:hAnsi="仿宋" w:cs="仿宋"/>
                <w:sz w:val="28"/>
                <w:szCs w:val="28"/>
              </w:rPr>
            </w:pPr>
            <w:r>
              <w:rPr>
                <w:rFonts w:hint="eastAsia" w:ascii="仿宋_GB2312" w:hAnsi="仿宋" w:cs="仿宋"/>
                <w:sz w:val="28"/>
                <w:szCs w:val="28"/>
              </w:rPr>
              <w:t>标准煤</w:t>
            </w:r>
          </w:p>
        </w:tc>
        <w:tc>
          <w:tcPr>
            <w:tcW w:w="1511"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 xml:space="preserve">400.73 </w:t>
            </w:r>
          </w:p>
        </w:tc>
        <w:tc>
          <w:tcPr>
            <w:tcW w:w="1584"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 xml:space="preserve">404.04 </w:t>
            </w:r>
          </w:p>
        </w:tc>
        <w:tc>
          <w:tcPr>
            <w:tcW w:w="1524"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 xml:space="preserve">385.55 </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完成上级下达</w:t>
            </w:r>
          </w:p>
          <w:p>
            <w:pPr>
              <w:pStyle w:val="27"/>
              <w:widowControl/>
              <w:spacing w:line="320" w:lineRule="exact"/>
              <w:rPr>
                <w:rFonts w:ascii="仿宋_GB2312" w:hAnsi="仿宋" w:cs="仿宋"/>
                <w:sz w:val="28"/>
                <w:szCs w:val="28"/>
              </w:rPr>
            </w:pPr>
            <w:r>
              <w:rPr>
                <w:rFonts w:hint="eastAsia" w:ascii="仿宋_GB2312" w:hAnsi="仿宋" w:cs="仿宋"/>
                <w:sz w:val="28"/>
                <w:szCs w:val="28"/>
              </w:rPr>
              <w:t>目标任务</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完成</w:t>
            </w:r>
          </w:p>
        </w:tc>
        <w:tc>
          <w:tcPr>
            <w:tcW w:w="1715" w:type="dxa"/>
            <w:vMerge w:val="restart"/>
            <w:vAlign w:val="center"/>
          </w:tcPr>
          <w:p>
            <w:pPr>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区发改局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11</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非化石能源消费比重</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5.73</w:t>
            </w:r>
          </w:p>
        </w:tc>
        <w:tc>
          <w:tcPr>
            <w:tcW w:w="1584"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6.34</w:t>
            </w:r>
          </w:p>
        </w:tc>
        <w:tc>
          <w:tcPr>
            <w:tcW w:w="1524"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6.21</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完成上级下达</w:t>
            </w:r>
          </w:p>
          <w:p>
            <w:pPr>
              <w:pStyle w:val="27"/>
              <w:widowControl/>
              <w:spacing w:line="320" w:lineRule="exact"/>
              <w:rPr>
                <w:rFonts w:ascii="仿宋_GB2312" w:hAnsi="仿宋" w:cs="仿宋"/>
                <w:sz w:val="28"/>
                <w:szCs w:val="28"/>
              </w:rPr>
            </w:pPr>
            <w:r>
              <w:rPr>
                <w:rFonts w:hint="eastAsia" w:ascii="仿宋_GB2312" w:hAnsi="仿宋" w:cs="仿宋"/>
                <w:sz w:val="28"/>
                <w:szCs w:val="28"/>
              </w:rPr>
              <w:t>目标任务</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未完成</w:t>
            </w:r>
          </w:p>
        </w:tc>
        <w:tc>
          <w:tcPr>
            <w:tcW w:w="1715" w:type="dxa"/>
            <w:vMerge w:val="continue"/>
            <w:vAlign w:val="center"/>
          </w:tcPr>
          <w:p>
            <w:pPr>
              <w:spacing w:line="240" w:lineRule="auto"/>
              <w:ind w:firstLine="56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789"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12</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可再生能源利用、余热回收利用项目</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先后建成8个风电、光伏项目；1个余热利用项目</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实施若干项目</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未完成</w:t>
            </w:r>
          </w:p>
        </w:tc>
        <w:tc>
          <w:tcPr>
            <w:tcW w:w="1715" w:type="dxa"/>
            <w:vMerge w:val="continue"/>
            <w:vAlign w:val="center"/>
          </w:tcPr>
          <w:p>
            <w:pPr>
              <w:spacing w:line="240" w:lineRule="auto"/>
              <w:ind w:firstLine="56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restart"/>
            <w:vAlign w:val="center"/>
          </w:tcPr>
          <w:p>
            <w:pPr>
              <w:pStyle w:val="27"/>
              <w:widowControl/>
              <w:rPr>
                <w:rFonts w:ascii="仿宋_GB2312" w:hAnsi="仿宋" w:cs="仿宋"/>
                <w:sz w:val="28"/>
                <w:szCs w:val="28"/>
              </w:rPr>
            </w:pPr>
          </w:p>
          <w:p>
            <w:pPr>
              <w:pStyle w:val="27"/>
              <w:widowControl/>
              <w:rPr>
                <w:rFonts w:ascii="仿宋_GB2312" w:hAnsi="仿宋" w:cs="仿宋"/>
                <w:sz w:val="28"/>
                <w:szCs w:val="28"/>
              </w:rPr>
            </w:pPr>
            <w:r>
              <w:rPr>
                <w:rFonts w:hint="eastAsia" w:ascii="仿宋_GB2312" w:hAnsi="仿宋" w:cs="仿宋"/>
                <w:sz w:val="28"/>
                <w:szCs w:val="28"/>
              </w:rPr>
              <w:t>低碳产业</w:t>
            </w: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r>
              <w:rPr>
                <w:rFonts w:hint="eastAsia" w:ascii="仿宋_GB2312" w:hAnsi="仿宋" w:cs="仿宋"/>
                <w:sz w:val="28"/>
                <w:szCs w:val="28"/>
              </w:rPr>
              <w:t>低碳产业</w:t>
            </w: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13</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单位工业增加值二氧化碳排放</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吨/</w:t>
            </w:r>
          </w:p>
          <w:p>
            <w:pPr>
              <w:pStyle w:val="27"/>
              <w:widowControl/>
              <w:spacing w:line="320" w:lineRule="exact"/>
              <w:rPr>
                <w:rFonts w:ascii="仿宋_GB2312" w:hAnsi="仿宋" w:cs="仿宋"/>
                <w:sz w:val="28"/>
                <w:szCs w:val="28"/>
              </w:rPr>
            </w:pPr>
            <w:r>
              <w:rPr>
                <w:rFonts w:hint="eastAsia" w:ascii="仿宋_GB2312" w:hAnsi="仿宋" w:cs="仿宋"/>
                <w:sz w:val="28"/>
                <w:szCs w:val="28"/>
              </w:rPr>
              <w:t>万元</w:t>
            </w:r>
          </w:p>
        </w:tc>
        <w:tc>
          <w:tcPr>
            <w:tcW w:w="151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 xml:space="preserve">2.01 </w:t>
            </w:r>
          </w:p>
        </w:tc>
        <w:tc>
          <w:tcPr>
            <w:tcW w:w="158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 xml:space="preserve">1.96 </w:t>
            </w:r>
          </w:p>
        </w:tc>
        <w:tc>
          <w:tcPr>
            <w:tcW w:w="1524"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 xml:space="preserve">1.79 </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较2020年下降</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完成</w:t>
            </w:r>
          </w:p>
        </w:tc>
        <w:tc>
          <w:tcPr>
            <w:tcW w:w="1715" w:type="dxa"/>
            <w:vAlign w:val="center"/>
          </w:tcPr>
          <w:p>
            <w:pPr>
              <w:widowControl/>
              <w:spacing w:line="380" w:lineRule="exact"/>
              <w:ind w:firstLine="0" w:firstLineChars="0"/>
              <w:jc w:val="center"/>
              <w:textAlignment w:val="center"/>
              <w:rPr>
                <w:rFonts w:ascii="仿宋_GB2312" w:hAnsi="仿宋" w:cs="仿宋"/>
                <w:sz w:val="28"/>
                <w:szCs w:val="28"/>
              </w:rPr>
            </w:pPr>
            <w:r>
              <w:rPr>
                <w:rFonts w:hint="eastAsia" w:ascii="仿宋_GB2312" w:hAnsi="仿宋" w:cs="仿宋"/>
                <w:sz w:val="28"/>
                <w:szCs w:val="28"/>
              </w:rPr>
              <w:t>区工信局、住建局、统计局、供电公司负责提供基础数据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1125"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14</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开展产品碳足迹核算重点工业企业数量占比</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0</w:t>
            </w:r>
          </w:p>
        </w:tc>
        <w:tc>
          <w:tcPr>
            <w:tcW w:w="1584"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0</w:t>
            </w:r>
          </w:p>
        </w:tc>
        <w:tc>
          <w:tcPr>
            <w:tcW w:w="152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已开展</w:t>
            </w:r>
          </w:p>
          <w:p>
            <w:pPr>
              <w:pStyle w:val="27"/>
              <w:widowControl/>
              <w:spacing w:line="320" w:lineRule="exact"/>
              <w:rPr>
                <w:rFonts w:ascii="仿宋_GB2312" w:hAnsi="仿宋" w:cs="仿宋"/>
                <w:sz w:val="28"/>
                <w:szCs w:val="28"/>
              </w:rPr>
            </w:pPr>
            <w:r>
              <w:rPr>
                <w:rFonts w:hint="eastAsia" w:ascii="仿宋_GB2312" w:hAnsi="仿宋" w:cs="仿宋"/>
                <w:sz w:val="28"/>
                <w:szCs w:val="28"/>
              </w:rPr>
              <w:t>2家企业</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≥5</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未完成</w:t>
            </w:r>
          </w:p>
        </w:tc>
        <w:tc>
          <w:tcPr>
            <w:tcW w:w="1715" w:type="dxa"/>
            <w:vAlign w:val="center"/>
          </w:tcPr>
          <w:p>
            <w:pPr>
              <w:widowControl/>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区生态环境分局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1194"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15</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“两高”行业能效</w:t>
            </w:r>
          </w:p>
          <w:p>
            <w:pPr>
              <w:pStyle w:val="27"/>
              <w:widowControl/>
              <w:spacing w:line="320" w:lineRule="exact"/>
              <w:jc w:val="left"/>
              <w:rPr>
                <w:rFonts w:ascii="仿宋_GB2312" w:hAnsi="仿宋" w:cs="仿宋"/>
                <w:sz w:val="28"/>
                <w:szCs w:val="28"/>
              </w:rPr>
            </w:pPr>
            <w:r>
              <w:rPr>
                <w:rFonts w:hint="eastAsia" w:ascii="仿宋_GB2312" w:hAnsi="仿宋" w:cs="仿宋"/>
                <w:sz w:val="28"/>
                <w:szCs w:val="28"/>
              </w:rPr>
              <w:t>达到标杆水平的产能比例</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widowControl/>
              <w:spacing w:line="320" w:lineRule="exact"/>
              <w:jc w:val="left"/>
              <w:rPr>
                <w:rFonts w:ascii="仿宋_GB2312" w:hAnsi="仿宋" w:cs="仿宋"/>
                <w:bCs w:val="0"/>
                <w:spacing w:val="0"/>
                <w:kern w:val="0"/>
                <w:sz w:val="28"/>
                <w:szCs w:val="28"/>
                <w:lang w:bidi="ar"/>
              </w:rPr>
            </w:pPr>
            <w:r>
              <w:rPr>
                <w:rFonts w:hint="eastAsia" w:ascii="仿宋_GB2312" w:hAnsi="仿宋" w:cs="仿宋"/>
                <w:sz w:val="28"/>
                <w:szCs w:val="28"/>
              </w:rPr>
              <w:t>煤电行业为100%，</w:t>
            </w:r>
            <w:r>
              <w:rPr>
                <w:rFonts w:hint="eastAsia" w:ascii="仿宋_GB2312" w:hAnsi="仿宋" w:cs="仿宋"/>
                <w:sz w:val="28"/>
                <w:szCs w:val="28"/>
                <w:lang w:bidi="ar"/>
              </w:rPr>
              <w:t>水泥行业50%，甲醇行业0%，氮肥行业35%，铸造行业61.2%</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＞30</w:t>
            </w:r>
          </w:p>
        </w:tc>
        <w:tc>
          <w:tcPr>
            <w:tcW w:w="1224" w:type="dxa"/>
            <w:vAlign w:val="center"/>
          </w:tcPr>
          <w:p>
            <w:pPr>
              <w:pStyle w:val="27"/>
              <w:widowControl/>
              <w:autoSpaceDE w:val="0"/>
              <w:autoSpaceDN w:val="0"/>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autoSpaceDE w:val="0"/>
              <w:autoSpaceDN w:val="0"/>
              <w:rPr>
                <w:rFonts w:ascii="仿宋_GB2312" w:hAnsi="仿宋" w:cs="仿宋"/>
                <w:sz w:val="28"/>
                <w:szCs w:val="28"/>
              </w:rPr>
            </w:pPr>
            <w:r>
              <w:rPr>
                <w:rFonts w:hint="eastAsia" w:ascii="仿宋_GB2312" w:hAnsi="仿宋" w:cs="仿宋"/>
                <w:sz w:val="28"/>
                <w:szCs w:val="28"/>
              </w:rPr>
              <w:t>未完成</w:t>
            </w:r>
          </w:p>
        </w:tc>
        <w:tc>
          <w:tcPr>
            <w:tcW w:w="1715" w:type="dxa"/>
            <w:vAlign w:val="center"/>
          </w:tcPr>
          <w:p>
            <w:pPr>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区发改局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264"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16</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一般工业固体废物综合利用率</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kern w:val="0"/>
                <w:sz w:val="28"/>
                <w:szCs w:val="28"/>
                <w:lang w:bidi="ar"/>
              </w:rPr>
              <w:t>91.29</w:t>
            </w:r>
          </w:p>
        </w:tc>
        <w:tc>
          <w:tcPr>
            <w:tcW w:w="1584"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kern w:val="0"/>
                <w:sz w:val="28"/>
                <w:szCs w:val="28"/>
                <w:lang w:bidi="ar"/>
              </w:rPr>
              <w:t>96.53</w:t>
            </w:r>
          </w:p>
        </w:tc>
        <w:tc>
          <w:tcPr>
            <w:tcW w:w="1524"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kern w:val="0"/>
                <w:sz w:val="28"/>
                <w:szCs w:val="28"/>
                <w:lang w:bidi="ar"/>
              </w:rPr>
              <w:t>98.34</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完成上级下达</w:t>
            </w:r>
          </w:p>
          <w:p>
            <w:pPr>
              <w:pStyle w:val="27"/>
              <w:widowControl/>
              <w:spacing w:line="320" w:lineRule="exact"/>
              <w:rPr>
                <w:rFonts w:ascii="仿宋_GB2312" w:hAnsi="仿宋" w:cs="仿宋"/>
                <w:sz w:val="28"/>
                <w:szCs w:val="28"/>
              </w:rPr>
            </w:pPr>
            <w:r>
              <w:rPr>
                <w:rFonts w:hint="eastAsia" w:ascii="仿宋_GB2312" w:hAnsi="仿宋" w:cs="仿宋"/>
                <w:sz w:val="28"/>
                <w:szCs w:val="28"/>
              </w:rPr>
              <w:t>目标任务</w:t>
            </w:r>
          </w:p>
        </w:tc>
        <w:tc>
          <w:tcPr>
            <w:tcW w:w="1224" w:type="dxa"/>
            <w:vAlign w:val="center"/>
          </w:tcPr>
          <w:p>
            <w:pPr>
              <w:pStyle w:val="27"/>
              <w:widowControl/>
              <w:autoSpaceDE w:val="0"/>
              <w:autoSpaceDN w:val="0"/>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autoSpaceDE w:val="0"/>
              <w:autoSpaceDN w:val="0"/>
              <w:rPr>
                <w:rFonts w:ascii="仿宋_GB2312" w:hAnsi="仿宋" w:cs="仿宋"/>
                <w:sz w:val="28"/>
                <w:szCs w:val="28"/>
              </w:rPr>
            </w:pPr>
            <w:r>
              <w:rPr>
                <w:rFonts w:hint="eastAsia" w:ascii="仿宋_GB2312" w:hAnsi="仿宋" w:cs="仿宋"/>
                <w:sz w:val="28"/>
                <w:szCs w:val="28"/>
              </w:rPr>
              <w:t>完成</w:t>
            </w:r>
          </w:p>
        </w:tc>
        <w:tc>
          <w:tcPr>
            <w:tcW w:w="1715" w:type="dxa"/>
            <w:vAlign w:val="center"/>
          </w:tcPr>
          <w:p>
            <w:pPr>
              <w:widowControl/>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区生态环境分局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color w:val="000000" w:themeColor="text1"/>
                <w:sz w:val="28"/>
                <w:szCs w:val="28"/>
                <w14:textFill>
                  <w14:solidFill>
                    <w14:schemeClr w14:val="tx1"/>
                  </w14:solidFill>
                </w14:textFill>
              </w:rPr>
            </w:pPr>
            <w:r>
              <w:rPr>
                <w:rFonts w:hint="eastAsia" w:ascii="仿宋_GB2312" w:hAnsi="仿宋" w:cs="仿宋"/>
                <w:color w:val="000000" w:themeColor="text1"/>
                <w:sz w:val="28"/>
                <w:szCs w:val="28"/>
                <w14:textFill>
                  <w14:solidFill>
                    <w14:schemeClr w14:val="tx1"/>
                  </w14:solidFill>
                </w14:textFill>
              </w:rPr>
              <w:t>17</w:t>
            </w:r>
          </w:p>
        </w:tc>
        <w:tc>
          <w:tcPr>
            <w:tcW w:w="2236" w:type="dxa"/>
            <w:vAlign w:val="center"/>
          </w:tcPr>
          <w:p>
            <w:pPr>
              <w:pStyle w:val="27"/>
              <w:widowControl/>
              <w:spacing w:line="320" w:lineRule="exact"/>
              <w:jc w:val="left"/>
              <w:rPr>
                <w:rFonts w:ascii="仿宋_GB2312" w:hAnsi="仿宋" w:cs="仿宋"/>
                <w:color w:val="000000" w:themeColor="text1"/>
                <w:sz w:val="28"/>
                <w:szCs w:val="28"/>
                <w14:textFill>
                  <w14:solidFill>
                    <w14:schemeClr w14:val="tx1"/>
                  </w14:solidFill>
                </w14:textFill>
              </w:rPr>
            </w:pPr>
            <w:r>
              <w:rPr>
                <w:rFonts w:hint="eastAsia" w:ascii="仿宋_GB2312" w:hAnsi="仿宋" w:cs="仿宋"/>
                <w:color w:val="000000" w:themeColor="text1"/>
                <w:sz w:val="28"/>
                <w:szCs w:val="28"/>
                <w14:textFill>
                  <w14:solidFill>
                    <w14:schemeClr w14:val="tx1"/>
                  </w14:solidFill>
                </w14:textFill>
              </w:rPr>
              <w:t>规模以上工业企业可再生能源利用比例</w:t>
            </w:r>
          </w:p>
        </w:tc>
        <w:tc>
          <w:tcPr>
            <w:tcW w:w="993" w:type="dxa"/>
            <w:vAlign w:val="center"/>
          </w:tcPr>
          <w:p>
            <w:pPr>
              <w:pStyle w:val="27"/>
              <w:widowControl/>
              <w:spacing w:line="320" w:lineRule="exact"/>
              <w:rPr>
                <w:rFonts w:ascii="仿宋_GB2312" w:hAnsi="仿宋" w:cs="仿宋"/>
                <w:color w:val="000000" w:themeColor="text1"/>
                <w:sz w:val="28"/>
                <w:szCs w:val="28"/>
                <w14:textFill>
                  <w14:solidFill>
                    <w14:schemeClr w14:val="tx1"/>
                  </w14:solidFill>
                </w14:textFill>
              </w:rPr>
            </w:pPr>
            <w:r>
              <w:rPr>
                <w:rFonts w:hint="eastAsia" w:ascii="仿宋_GB2312" w:hAnsi="仿宋" w:cs="仿宋"/>
                <w:color w:val="000000" w:themeColor="text1"/>
                <w:sz w:val="28"/>
                <w:szCs w:val="28"/>
                <w14:textFill>
                  <w14:solidFill>
                    <w14:schemeClr w14:val="tx1"/>
                  </w14:solidFill>
                </w14:textFill>
              </w:rPr>
              <w:t>%</w:t>
            </w:r>
          </w:p>
        </w:tc>
        <w:tc>
          <w:tcPr>
            <w:tcW w:w="1511" w:type="dxa"/>
            <w:tcBorders>
              <w:right w:val="single" w:color="auto" w:sz="4" w:space="0"/>
            </w:tcBorders>
            <w:vAlign w:val="center"/>
          </w:tcPr>
          <w:p>
            <w:pPr>
              <w:pStyle w:val="27"/>
              <w:widowControl/>
              <w:spacing w:line="320" w:lineRule="exact"/>
              <w:rPr>
                <w:rFonts w:ascii="仿宋_GB2312" w:hAnsi="仿宋" w:cs="仿宋"/>
                <w:color w:val="000000" w:themeColor="text1"/>
                <w:sz w:val="28"/>
                <w:szCs w:val="28"/>
                <w14:textFill>
                  <w14:solidFill>
                    <w14:schemeClr w14:val="tx1"/>
                  </w14:solidFill>
                </w14:textFill>
              </w:rPr>
            </w:pPr>
            <w:r>
              <w:rPr>
                <w:rFonts w:hint="eastAsia" w:ascii="仿宋_GB2312" w:hAnsi="仿宋" w:cs="仿宋"/>
                <w:color w:val="000000" w:themeColor="text1"/>
                <w:sz w:val="28"/>
                <w:szCs w:val="28"/>
                <w14:textFill>
                  <w14:solidFill>
                    <w14:schemeClr w14:val="tx1"/>
                  </w14:solidFill>
                </w14:textFill>
              </w:rPr>
              <w:t>0.11</w:t>
            </w:r>
          </w:p>
        </w:tc>
        <w:tc>
          <w:tcPr>
            <w:tcW w:w="1584" w:type="dxa"/>
            <w:tcBorders>
              <w:left w:val="single" w:color="auto" w:sz="4" w:space="0"/>
              <w:right w:val="single" w:color="auto" w:sz="4" w:space="0"/>
            </w:tcBorders>
            <w:vAlign w:val="center"/>
          </w:tcPr>
          <w:p>
            <w:pPr>
              <w:pStyle w:val="27"/>
              <w:widowControl/>
              <w:spacing w:line="320" w:lineRule="exact"/>
              <w:rPr>
                <w:rFonts w:ascii="仿宋_GB2312" w:hAnsi="仿宋" w:cs="仿宋"/>
                <w:color w:val="000000" w:themeColor="text1"/>
                <w:sz w:val="28"/>
                <w:szCs w:val="28"/>
                <w14:textFill>
                  <w14:solidFill>
                    <w14:schemeClr w14:val="tx1"/>
                  </w14:solidFill>
                </w14:textFill>
              </w:rPr>
            </w:pPr>
            <w:r>
              <w:rPr>
                <w:rFonts w:hint="eastAsia" w:ascii="仿宋_GB2312" w:hAnsi="仿宋" w:cs="仿宋"/>
                <w:color w:val="000000" w:themeColor="text1"/>
                <w:sz w:val="28"/>
                <w:szCs w:val="28"/>
                <w14:textFill>
                  <w14:solidFill>
                    <w14:schemeClr w14:val="tx1"/>
                  </w14:solidFill>
                </w14:textFill>
              </w:rPr>
              <w:t>0.11</w:t>
            </w:r>
          </w:p>
        </w:tc>
        <w:tc>
          <w:tcPr>
            <w:tcW w:w="1524" w:type="dxa"/>
            <w:tcBorders>
              <w:left w:val="single" w:color="auto" w:sz="4" w:space="0"/>
            </w:tcBorders>
            <w:vAlign w:val="center"/>
          </w:tcPr>
          <w:p>
            <w:pPr>
              <w:pStyle w:val="27"/>
              <w:widowControl/>
              <w:spacing w:line="320" w:lineRule="exact"/>
              <w:rPr>
                <w:rFonts w:ascii="仿宋_GB2312" w:hAnsi="仿宋" w:cs="仿宋"/>
                <w:color w:val="000000" w:themeColor="text1"/>
                <w:sz w:val="28"/>
                <w:szCs w:val="28"/>
                <w14:textFill>
                  <w14:solidFill>
                    <w14:schemeClr w14:val="tx1"/>
                  </w14:solidFill>
                </w14:textFill>
              </w:rPr>
            </w:pPr>
            <w:r>
              <w:rPr>
                <w:rFonts w:hint="eastAsia" w:ascii="仿宋_GB2312" w:hAnsi="仿宋" w:cs="仿宋"/>
                <w:color w:val="000000" w:themeColor="text1"/>
                <w:sz w:val="28"/>
                <w:szCs w:val="28"/>
                <w14:textFill>
                  <w14:solidFill>
                    <w14:schemeClr w14:val="tx1"/>
                  </w14:solidFill>
                </w14:textFill>
              </w:rPr>
              <w:t>0.20</w:t>
            </w:r>
          </w:p>
        </w:tc>
        <w:tc>
          <w:tcPr>
            <w:tcW w:w="2232" w:type="dxa"/>
            <w:vAlign w:val="center"/>
          </w:tcPr>
          <w:p>
            <w:pPr>
              <w:pStyle w:val="27"/>
              <w:widowControl/>
              <w:spacing w:line="320" w:lineRule="exact"/>
              <w:rPr>
                <w:rFonts w:ascii="仿宋_GB2312" w:hAnsi="仿宋" w:cs="仿宋"/>
                <w:color w:val="000000" w:themeColor="text1"/>
                <w:sz w:val="28"/>
                <w:szCs w:val="28"/>
                <w14:textFill>
                  <w14:solidFill>
                    <w14:schemeClr w14:val="tx1"/>
                  </w14:solidFill>
                </w14:textFill>
              </w:rPr>
            </w:pPr>
            <w:r>
              <w:rPr>
                <w:rFonts w:hint="eastAsia" w:ascii="仿宋_GB2312" w:hAnsi="仿宋" w:cs="仿宋"/>
                <w:color w:val="000000" w:themeColor="text1"/>
                <w:sz w:val="28"/>
                <w:szCs w:val="28"/>
                <w14:textFill>
                  <w14:solidFill>
                    <w14:schemeClr w14:val="tx1"/>
                  </w14:solidFill>
                </w14:textFill>
              </w:rPr>
              <w:t>较2020年上升</w:t>
            </w:r>
          </w:p>
        </w:tc>
        <w:tc>
          <w:tcPr>
            <w:tcW w:w="1224" w:type="dxa"/>
            <w:vAlign w:val="center"/>
          </w:tcPr>
          <w:p>
            <w:pPr>
              <w:pStyle w:val="27"/>
              <w:widowControl/>
              <w:autoSpaceDE w:val="0"/>
              <w:autoSpaceDN w:val="0"/>
              <w:spacing w:line="320" w:lineRule="exact"/>
              <w:rPr>
                <w:rFonts w:ascii="仿宋_GB2312" w:hAnsi="仿宋" w:cs="仿宋"/>
                <w:color w:val="000000" w:themeColor="text1"/>
                <w:sz w:val="28"/>
                <w:szCs w:val="28"/>
                <w14:textFill>
                  <w14:solidFill>
                    <w14:schemeClr w14:val="tx1"/>
                  </w14:solidFill>
                </w14:textFill>
              </w:rPr>
            </w:pPr>
            <w:r>
              <w:rPr>
                <w:rFonts w:hint="eastAsia" w:ascii="仿宋_GB2312" w:hAnsi="仿宋" w:cs="仿宋"/>
                <w:color w:val="000000" w:themeColor="text1"/>
                <w:sz w:val="28"/>
                <w:szCs w:val="28"/>
                <w14:textFill>
                  <w14:solidFill>
                    <w14:schemeClr w14:val="tx1"/>
                  </w14:solidFill>
                </w14:textFill>
              </w:rPr>
              <w:t>约束指标</w:t>
            </w:r>
          </w:p>
        </w:tc>
        <w:tc>
          <w:tcPr>
            <w:tcW w:w="960" w:type="dxa"/>
            <w:vAlign w:val="center"/>
          </w:tcPr>
          <w:p>
            <w:pPr>
              <w:pStyle w:val="27"/>
              <w:widowControl/>
              <w:autoSpaceDE w:val="0"/>
              <w:autoSpaceDN w:val="0"/>
              <w:spacing w:line="320" w:lineRule="exact"/>
              <w:rPr>
                <w:rFonts w:ascii="仿宋_GB2312" w:hAnsi="仿宋" w:cs="仿宋"/>
                <w:color w:val="000000" w:themeColor="text1"/>
                <w:sz w:val="28"/>
                <w:szCs w:val="28"/>
                <w14:textFill>
                  <w14:solidFill>
                    <w14:schemeClr w14:val="tx1"/>
                  </w14:solidFill>
                </w14:textFill>
              </w:rPr>
            </w:pPr>
            <w:r>
              <w:rPr>
                <w:rFonts w:hint="eastAsia" w:ascii="仿宋_GB2312" w:hAnsi="仿宋" w:cs="仿宋"/>
                <w:color w:val="000000" w:themeColor="text1"/>
                <w:sz w:val="28"/>
                <w:szCs w:val="28"/>
                <w14:textFill>
                  <w14:solidFill>
                    <w14:schemeClr w14:val="tx1"/>
                  </w14:solidFill>
                </w14:textFill>
              </w:rPr>
              <w:t>完成</w:t>
            </w:r>
          </w:p>
        </w:tc>
        <w:tc>
          <w:tcPr>
            <w:tcW w:w="1715" w:type="dxa"/>
            <w:vAlign w:val="center"/>
          </w:tcPr>
          <w:p>
            <w:pPr>
              <w:spacing w:line="240" w:lineRule="auto"/>
              <w:ind w:firstLine="0" w:firstLineChars="0"/>
              <w:jc w:val="center"/>
              <w:textAlignment w:val="center"/>
              <w:rPr>
                <w:rFonts w:ascii="仿宋_GB2312" w:hAnsi="仿宋" w:cs="仿宋"/>
                <w:color w:val="000000" w:themeColor="text1"/>
                <w:sz w:val="28"/>
                <w:szCs w:val="28"/>
                <w14:textFill>
                  <w14:solidFill>
                    <w14:schemeClr w14:val="tx1"/>
                  </w14:solidFill>
                </w14:textFill>
              </w:rPr>
            </w:pPr>
            <w:r>
              <w:rPr>
                <w:rFonts w:hint="eastAsia" w:ascii="仿宋_GB2312" w:hAnsi="仿宋" w:cs="仿宋"/>
                <w:sz w:val="28"/>
                <w:szCs w:val="28"/>
              </w:rPr>
              <w:t>区发改局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18</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碳捕集、利用与封存（CCUS）项目</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0</w:t>
            </w:r>
          </w:p>
        </w:tc>
        <w:tc>
          <w:tcPr>
            <w:tcW w:w="158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0</w:t>
            </w:r>
          </w:p>
        </w:tc>
        <w:tc>
          <w:tcPr>
            <w:tcW w:w="152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2家企业开展碳捕集与利用</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建成1个碳捕集</w:t>
            </w:r>
          </w:p>
          <w:p>
            <w:pPr>
              <w:pStyle w:val="27"/>
              <w:widowControl/>
              <w:spacing w:line="320" w:lineRule="exact"/>
              <w:rPr>
                <w:rFonts w:ascii="仿宋_GB2312" w:hAnsi="仿宋" w:cs="仿宋"/>
                <w:sz w:val="28"/>
                <w:szCs w:val="28"/>
              </w:rPr>
            </w:pPr>
            <w:r>
              <w:rPr>
                <w:rFonts w:hint="eastAsia" w:ascii="仿宋_GB2312" w:hAnsi="仿宋" w:cs="仿宋"/>
                <w:sz w:val="28"/>
                <w:szCs w:val="28"/>
              </w:rPr>
              <w:t>与利用项目</w:t>
            </w:r>
          </w:p>
        </w:tc>
        <w:tc>
          <w:tcPr>
            <w:tcW w:w="1224"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未完成</w:t>
            </w:r>
          </w:p>
        </w:tc>
        <w:tc>
          <w:tcPr>
            <w:tcW w:w="1715" w:type="dxa"/>
            <w:vAlign w:val="center"/>
          </w:tcPr>
          <w:p>
            <w:pPr>
              <w:widowControl/>
              <w:spacing w:line="320" w:lineRule="exact"/>
              <w:ind w:firstLine="0" w:firstLineChars="0"/>
              <w:jc w:val="center"/>
              <w:textAlignment w:val="center"/>
              <w:rPr>
                <w:rFonts w:ascii="仿宋_GB2312" w:hAnsi="仿宋" w:cs="仿宋"/>
                <w:sz w:val="28"/>
                <w:szCs w:val="28"/>
              </w:rPr>
            </w:pPr>
            <w:r>
              <w:rPr>
                <w:rFonts w:hint="eastAsia" w:ascii="仿宋_GB2312" w:hAnsi="仿宋" w:cs="仿宋"/>
                <w:sz w:val="28"/>
                <w:szCs w:val="28"/>
              </w:rPr>
              <w:t>区生态环境分局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757" w:hRule="atLeast"/>
          <w:jc w:val="center"/>
        </w:trPr>
        <w:tc>
          <w:tcPr>
            <w:tcW w:w="700" w:type="dxa"/>
            <w:vMerge w:val="restart"/>
            <w:vAlign w:val="center"/>
          </w:tcPr>
          <w:p>
            <w:pPr>
              <w:pStyle w:val="27"/>
              <w:widowControl/>
              <w:rPr>
                <w:rFonts w:ascii="仿宋_GB2312" w:hAnsi="仿宋" w:cs="仿宋"/>
                <w:sz w:val="28"/>
                <w:szCs w:val="28"/>
              </w:rPr>
            </w:pPr>
            <w:r>
              <w:rPr>
                <w:rFonts w:hint="eastAsia" w:ascii="仿宋_GB2312" w:hAnsi="仿宋" w:cs="仿宋"/>
                <w:sz w:val="28"/>
                <w:szCs w:val="28"/>
              </w:rPr>
              <w:t>低碳建筑</w:t>
            </w: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r>
              <w:rPr>
                <w:rFonts w:hint="eastAsia" w:ascii="仿宋_GB2312" w:hAnsi="仿宋" w:cs="仿宋"/>
                <w:sz w:val="28"/>
                <w:szCs w:val="28"/>
              </w:rPr>
              <w:t>低碳建筑</w:t>
            </w:r>
          </w:p>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19</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绿色建筑占城镇新建建筑面积比例</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100</w:t>
            </w:r>
          </w:p>
        </w:tc>
        <w:tc>
          <w:tcPr>
            <w:tcW w:w="158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100</w:t>
            </w:r>
          </w:p>
        </w:tc>
        <w:tc>
          <w:tcPr>
            <w:tcW w:w="152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100</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100</w:t>
            </w:r>
          </w:p>
        </w:tc>
        <w:tc>
          <w:tcPr>
            <w:tcW w:w="1224"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完成</w:t>
            </w:r>
          </w:p>
        </w:tc>
        <w:tc>
          <w:tcPr>
            <w:tcW w:w="1715" w:type="dxa"/>
            <w:vMerge w:val="restart"/>
            <w:vAlign w:val="center"/>
          </w:tcPr>
          <w:p>
            <w:pPr>
              <w:widowControl/>
              <w:spacing w:line="320" w:lineRule="exact"/>
              <w:ind w:firstLine="0" w:firstLineChars="0"/>
              <w:jc w:val="center"/>
              <w:textAlignment w:val="center"/>
              <w:rPr>
                <w:rFonts w:ascii="仿宋_GB2312" w:hAnsi="仿宋" w:cs="仿宋"/>
                <w:sz w:val="28"/>
                <w:szCs w:val="28"/>
              </w:rPr>
            </w:pPr>
            <w:r>
              <w:rPr>
                <w:rFonts w:hint="eastAsia" w:ascii="仿宋_GB2312" w:hAnsi="仿宋" w:cs="仿宋"/>
                <w:sz w:val="28"/>
                <w:szCs w:val="28"/>
              </w:rPr>
              <w:t>区住建局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20</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新建建筑中超低能耗、近零能耗建筑与低碳、零碳建筑比例</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0</w:t>
            </w:r>
          </w:p>
        </w:tc>
        <w:tc>
          <w:tcPr>
            <w:tcW w:w="158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0</w:t>
            </w:r>
          </w:p>
        </w:tc>
        <w:tc>
          <w:tcPr>
            <w:tcW w:w="152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0</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≥5</w:t>
            </w:r>
          </w:p>
        </w:tc>
        <w:tc>
          <w:tcPr>
            <w:tcW w:w="1224"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未完成</w:t>
            </w:r>
          </w:p>
        </w:tc>
        <w:tc>
          <w:tcPr>
            <w:tcW w:w="1715" w:type="dxa"/>
            <w:vMerge w:val="continue"/>
            <w:vAlign w:val="center"/>
          </w:tcPr>
          <w:p>
            <w:pPr>
              <w:widowControl/>
              <w:spacing w:line="320" w:lineRule="exact"/>
              <w:ind w:firstLine="56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745"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21</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星级绿色建筑占城镇新建建筑比例</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2.3</w:t>
            </w:r>
          </w:p>
        </w:tc>
        <w:tc>
          <w:tcPr>
            <w:tcW w:w="158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3</w:t>
            </w:r>
          </w:p>
        </w:tc>
        <w:tc>
          <w:tcPr>
            <w:tcW w:w="152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lang w:bidi="ar"/>
              </w:rPr>
              <w:t>4</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≥5</w:t>
            </w:r>
          </w:p>
        </w:tc>
        <w:tc>
          <w:tcPr>
            <w:tcW w:w="1224"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未完成</w:t>
            </w:r>
          </w:p>
        </w:tc>
        <w:tc>
          <w:tcPr>
            <w:tcW w:w="1715" w:type="dxa"/>
            <w:vMerge w:val="continue"/>
            <w:vAlign w:val="center"/>
          </w:tcPr>
          <w:p>
            <w:pPr>
              <w:widowControl/>
              <w:spacing w:line="320" w:lineRule="exact"/>
              <w:ind w:firstLine="0" w:firstLineChars="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22</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新建公共机构建筑、新建厂房屋顶光伏覆盖率</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42.03</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≥50</w:t>
            </w:r>
          </w:p>
        </w:tc>
        <w:tc>
          <w:tcPr>
            <w:tcW w:w="1224"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autoSpaceDE w:val="0"/>
              <w:autoSpaceDN w:val="0"/>
              <w:spacing w:line="320" w:lineRule="exact"/>
              <w:rPr>
                <w:rFonts w:ascii="仿宋_GB2312" w:hAnsi="仿宋" w:cs="仿宋"/>
                <w:sz w:val="28"/>
                <w:szCs w:val="28"/>
              </w:rPr>
            </w:pPr>
            <w:r>
              <w:rPr>
                <w:rFonts w:hint="eastAsia" w:ascii="仿宋_GB2312" w:hAnsi="仿宋" w:cs="仿宋"/>
                <w:sz w:val="28"/>
                <w:szCs w:val="28"/>
              </w:rPr>
              <w:t>未完成</w:t>
            </w:r>
          </w:p>
        </w:tc>
        <w:tc>
          <w:tcPr>
            <w:tcW w:w="1715" w:type="dxa"/>
            <w:vAlign w:val="center"/>
          </w:tcPr>
          <w:p>
            <w:pPr>
              <w:spacing w:line="240" w:lineRule="auto"/>
              <w:ind w:firstLine="0" w:firstLineChars="0"/>
              <w:textAlignment w:val="center"/>
              <w:rPr>
                <w:rFonts w:ascii="仿宋_GB2312" w:hAnsi="仿宋" w:cs="仿宋"/>
                <w:sz w:val="28"/>
                <w:szCs w:val="28"/>
              </w:rPr>
            </w:pPr>
            <w:r>
              <w:rPr>
                <w:rFonts w:hint="eastAsia" w:ascii="仿宋_GB2312" w:hAnsi="仿宋" w:cs="仿宋"/>
                <w:sz w:val="28"/>
                <w:szCs w:val="28"/>
              </w:rPr>
              <w:t>区发改局、住建局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restart"/>
            <w:vAlign w:val="center"/>
          </w:tcPr>
          <w:p>
            <w:pPr>
              <w:pStyle w:val="27"/>
              <w:widowControl/>
              <w:rPr>
                <w:rFonts w:ascii="仿宋_GB2312" w:hAnsi="仿宋" w:cs="仿宋"/>
                <w:sz w:val="28"/>
                <w:szCs w:val="28"/>
              </w:rPr>
            </w:pPr>
            <w:r>
              <w:rPr>
                <w:rFonts w:hint="eastAsia" w:ascii="仿宋_GB2312" w:hAnsi="仿宋" w:cs="仿宋"/>
                <w:sz w:val="28"/>
                <w:szCs w:val="28"/>
              </w:rPr>
              <w:t>低碳交通</w:t>
            </w: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23</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城市公共交通机动化出行分担率</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6</w:t>
            </w:r>
          </w:p>
        </w:tc>
        <w:tc>
          <w:tcPr>
            <w:tcW w:w="1584"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8</w:t>
            </w:r>
          </w:p>
        </w:tc>
        <w:tc>
          <w:tcPr>
            <w:tcW w:w="1524"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10</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较2020年上升</w:t>
            </w:r>
          </w:p>
        </w:tc>
        <w:tc>
          <w:tcPr>
            <w:tcW w:w="122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完成</w:t>
            </w:r>
          </w:p>
        </w:tc>
        <w:tc>
          <w:tcPr>
            <w:tcW w:w="1715" w:type="dxa"/>
            <w:vMerge w:val="restart"/>
            <w:vAlign w:val="center"/>
          </w:tcPr>
          <w:p>
            <w:pPr>
              <w:widowControl/>
              <w:spacing w:line="320" w:lineRule="exact"/>
              <w:ind w:firstLine="0" w:firstLineChars="0"/>
              <w:jc w:val="center"/>
              <w:textAlignment w:val="center"/>
              <w:rPr>
                <w:rFonts w:ascii="仿宋_GB2312" w:hAnsi="仿宋" w:cs="仿宋"/>
                <w:sz w:val="28"/>
                <w:szCs w:val="28"/>
              </w:rPr>
            </w:pPr>
            <w:r>
              <w:rPr>
                <w:rFonts w:hint="eastAsia" w:ascii="仿宋_GB2312" w:hAnsi="仿宋" w:cs="仿宋"/>
                <w:sz w:val="28"/>
                <w:szCs w:val="28"/>
              </w:rPr>
              <w:t>区城乡交运局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24</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推广新能源公交车</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辆</w:t>
            </w:r>
          </w:p>
        </w:tc>
        <w:tc>
          <w:tcPr>
            <w:tcW w:w="1511"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273</w:t>
            </w:r>
          </w:p>
        </w:tc>
        <w:tc>
          <w:tcPr>
            <w:tcW w:w="1584"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273</w:t>
            </w:r>
          </w:p>
        </w:tc>
        <w:tc>
          <w:tcPr>
            <w:tcW w:w="1524" w:type="dxa"/>
            <w:vAlign w:val="center"/>
          </w:tcPr>
          <w:p>
            <w:pPr>
              <w:widowControl/>
              <w:spacing w:line="320" w:lineRule="exact"/>
              <w:ind w:firstLine="0" w:firstLineChars="0"/>
              <w:jc w:val="center"/>
              <w:rPr>
                <w:rFonts w:ascii="仿宋_GB2312" w:hAnsi="仿宋" w:cs="仿宋"/>
                <w:sz w:val="28"/>
                <w:szCs w:val="28"/>
              </w:rPr>
            </w:pPr>
            <w:r>
              <w:rPr>
                <w:rFonts w:hint="eastAsia" w:ascii="仿宋_GB2312" w:hAnsi="仿宋" w:cs="仿宋"/>
                <w:sz w:val="28"/>
                <w:szCs w:val="28"/>
              </w:rPr>
              <w:t>273</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较2020年上升</w:t>
            </w:r>
          </w:p>
        </w:tc>
        <w:tc>
          <w:tcPr>
            <w:tcW w:w="122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未完成</w:t>
            </w:r>
          </w:p>
        </w:tc>
        <w:tc>
          <w:tcPr>
            <w:tcW w:w="1715" w:type="dxa"/>
            <w:vMerge w:val="continue"/>
            <w:vAlign w:val="center"/>
          </w:tcPr>
          <w:p>
            <w:pPr>
              <w:widowControl/>
              <w:spacing w:line="320" w:lineRule="exact"/>
              <w:ind w:firstLine="0" w:firstLineChars="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33" w:hRule="atLeast"/>
          <w:jc w:val="center"/>
        </w:trPr>
        <w:tc>
          <w:tcPr>
            <w:tcW w:w="700" w:type="dxa"/>
            <w:vMerge w:val="restart"/>
            <w:vAlign w:val="center"/>
          </w:tcPr>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r>
              <w:rPr>
                <w:rFonts w:hint="eastAsia" w:ascii="仿宋_GB2312" w:hAnsi="仿宋" w:cs="仿宋"/>
                <w:sz w:val="28"/>
                <w:szCs w:val="28"/>
              </w:rPr>
              <w:t>低碳生活</w:t>
            </w: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ascii="仿宋_GB2312" w:hAnsi="仿宋" w:cs="仿宋"/>
                <w:sz w:val="28"/>
                <w:szCs w:val="28"/>
              </w:rPr>
            </w:pPr>
          </w:p>
          <w:p>
            <w:pPr>
              <w:pStyle w:val="27"/>
              <w:widowControl/>
              <w:rPr>
                <w:rFonts w:hint="eastAsia" w:ascii="仿宋_GB2312" w:hAnsi="仿宋" w:cs="仿宋"/>
                <w:sz w:val="28"/>
                <w:szCs w:val="28"/>
              </w:rPr>
            </w:pPr>
          </w:p>
          <w:p>
            <w:pPr>
              <w:pStyle w:val="27"/>
              <w:widowControl/>
              <w:rPr>
                <w:rFonts w:hint="eastAsia" w:ascii="仿宋_GB2312" w:hAnsi="仿宋" w:cs="仿宋"/>
                <w:sz w:val="28"/>
                <w:szCs w:val="28"/>
              </w:rPr>
            </w:pPr>
            <w:r>
              <w:rPr>
                <w:rFonts w:hint="eastAsia" w:ascii="仿宋_GB2312" w:hAnsi="仿宋" w:cs="仿宋"/>
                <w:sz w:val="28"/>
                <w:szCs w:val="28"/>
              </w:rPr>
              <w:t>低碳生活</w:t>
            </w:r>
          </w:p>
        </w:tc>
        <w:tc>
          <w:tcPr>
            <w:tcW w:w="451"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25</w:t>
            </w:r>
          </w:p>
        </w:tc>
        <w:tc>
          <w:tcPr>
            <w:tcW w:w="2236" w:type="dxa"/>
            <w:vAlign w:val="center"/>
          </w:tcPr>
          <w:p>
            <w:pPr>
              <w:pStyle w:val="27"/>
              <w:widowControl/>
              <w:spacing w:line="320" w:lineRule="exact"/>
              <w:jc w:val="left"/>
              <w:rPr>
                <w:rFonts w:ascii="仿宋_GB2312" w:hAnsi="仿宋" w:cs="仿宋"/>
                <w:sz w:val="28"/>
                <w:szCs w:val="28"/>
              </w:rPr>
            </w:pPr>
            <w:r>
              <w:rPr>
                <w:rFonts w:hint="eastAsia" w:ascii="仿宋_GB2312" w:hAnsi="仿宋" w:cs="仿宋"/>
                <w:sz w:val="28"/>
                <w:szCs w:val="28"/>
              </w:rPr>
              <w:t>人均绿地面积</w:t>
            </w:r>
          </w:p>
        </w:tc>
        <w:tc>
          <w:tcPr>
            <w:tcW w:w="993"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m</w:t>
            </w:r>
            <w:r>
              <w:rPr>
                <w:rFonts w:hint="eastAsia" w:ascii="仿宋_GB2312" w:hAnsi="仿宋" w:cs="仿宋"/>
                <w:sz w:val="28"/>
                <w:szCs w:val="28"/>
                <w:vertAlign w:val="superscript"/>
              </w:rPr>
              <w:t>2</w:t>
            </w:r>
            <w:r>
              <w:rPr>
                <w:rFonts w:hint="eastAsia" w:ascii="仿宋_GB2312" w:hAnsi="仿宋" w:cs="仿宋"/>
                <w:sz w:val="28"/>
                <w:szCs w:val="28"/>
              </w:rPr>
              <w:t>/人</w:t>
            </w:r>
          </w:p>
        </w:tc>
        <w:tc>
          <w:tcPr>
            <w:tcW w:w="1511" w:type="dxa"/>
            <w:vAlign w:val="center"/>
          </w:tcPr>
          <w:p>
            <w:pPr>
              <w:widowControl/>
              <w:adjustRightInd/>
              <w:snapToGrid/>
              <w:spacing w:line="320" w:lineRule="exact"/>
              <w:ind w:firstLine="0" w:firstLineChars="0"/>
              <w:jc w:val="center"/>
              <w:textAlignment w:val="center"/>
              <w:rPr>
                <w:rFonts w:ascii="仿宋_GB2312" w:hAnsi="仿宋" w:cs="仿宋"/>
                <w:sz w:val="28"/>
                <w:szCs w:val="28"/>
              </w:rPr>
            </w:pPr>
            <w:r>
              <w:rPr>
                <w:rFonts w:hint="eastAsia" w:ascii="仿宋_GB2312" w:hAnsi="仿宋" w:cs="仿宋"/>
                <w:kern w:val="0"/>
                <w:sz w:val="28"/>
                <w:szCs w:val="28"/>
                <w:lang w:bidi="ar"/>
              </w:rPr>
              <w:t>75.62</w:t>
            </w:r>
          </w:p>
        </w:tc>
        <w:tc>
          <w:tcPr>
            <w:tcW w:w="1584" w:type="dxa"/>
            <w:vAlign w:val="center"/>
          </w:tcPr>
          <w:p>
            <w:pPr>
              <w:widowControl/>
              <w:adjustRightInd/>
              <w:snapToGrid/>
              <w:spacing w:line="320" w:lineRule="exact"/>
              <w:ind w:firstLine="0" w:firstLineChars="0"/>
              <w:jc w:val="center"/>
              <w:textAlignment w:val="center"/>
              <w:rPr>
                <w:rFonts w:ascii="仿宋_GB2312" w:hAnsi="仿宋" w:cs="仿宋"/>
                <w:sz w:val="28"/>
                <w:szCs w:val="28"/>
              </w:rPr>
            </w:pPr>
            <w:r>
              <w:rPr>
                <w:rFonts w:hint="eastAsia" w:ascii="仿宋_GB2312" w:hAnsi="仿宋" w:cs="仿宋"/>
                <w:kern w:val="0"/>
                <w:sz w:val="28"/>
                <w:szCs w:val="28"/>
                <w:lang w:bidi="ar"/>
              </w:rPr>
              <w:t>76.29</w:t>
            </w:r>
          </w:p>
        </w:tc>
        <w:tc>
          <w:tcPr>
            <w:tcW w:w="1524" w:type="dxa"/>
            <w:vAlign w:val="center"/>
          </w:tcPr>
          <w:p>
            <w:pPr>
              <w:widowControl/>
              <w:adjustRightInd/>
              <w:snapToGrid/>
              <w:spacing w:line="320" w:lineRule="exact"/>
              <w:ind w:firstLine="0" w:firstLineChars="0"/>
              <w:jc w:val="center"/>
              <w:textAlignment w:val="center"/>
              <w:rPr>
                <w:rFonts w:ascii="仿宋_GB2312" w:hAnsi="仿宋" w:cs="仿宋"/>
                <w:sz w:val="28"/>
                <w:szCs w:val="28"/>
              </w:rPr>
            </w:pPr>
            <w:r>
              <w:rPr>
                <w:rFonts w:hint="eastAsia" w:ascii="仿宋_GB2312" w:hAnsi="仿宋" w:cs="仿宋"/>
                <w:kern w:val="0"/>
                <w:sz w:val="28"/>
                <w:szCs w:val="28"/>
                <w:lang w:bidi="ar"/>
              </w:rPr>
              <w:t>77.08</w:t>
            </w:r>
          </w:p>
        </w:tc>
        <w:tc>
          <w:tcPr>
            <w:tcW w:w="2232"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较2020年上升</w:t>
            </w:r>
          </w:p>
        </w:tc>
        <w:tc>
          <w:tcPr>
            <w:tcW w:w="1224"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spacing w:line="320" w:lineRule="exact"/>
              <w:rPr>
                <w:rFonts w:ascii="仿宋_GB2312" w:hAnsi="仿宋" w:cs="仿宋"/>
                <w:sz w:val="28"/>
                <w:szCs w:val="28"/>
              </w:rPr>
            </w:pPr>
            <w:r>
              <w:rPr>
                <w:rFonts w:hint="eastAsia" w:ascii="仿宋_GB2312" w:hAnsi="仿宋" w:cs="仿宋"/>
                <w:sz w:val="28"/>
                <w:szCs w:val="28"/>
              </w:rPr>
              <w:t>完成</w:t>
            </w:r>
          </w:p>
        </w:tc>
        <w:tc>
          <w:tcPr>
            <w:tcW w:w="1715" w:type="dxa"/>
            <w:vAlign w:val="center"/>
          </w:tcPr>
          <w:p>
            <w:pPr>
              <w:widowControl/>
              <w:spacing w:line="320" w:lineRule="exact"/>
              <w:ind w:firstLine="0" w:firstLineChars="0"/>
              <w:jc w:val="center"/>
              <w:textAlignment w:val="center"/>
              <w:rPr>
                <w:rFonts w:ascii="仿宋_GB2312" w:hAnsi="仿宋" w:cs="仿宋"/>
                <w:sz w:val="28"/>
                <w:szCs w:val="28"/>
              </w:rPr>
            </w:pPr>
            <w:r>
              <w:rPr>
                <w:rFonts w:hint="eastAsia" w:ascii="仿宋_GB2312" w:hAnsi="仿宋" w:cs="仿宋"/>
                <w:sz w:val="28"/>
                <w:szCs w:val="28"/>
              </w:rPr>
              <w:t>区园林和林业绿化局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90"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26</w:t>
            </w:r>
          </w:p>
        </w:tc>
        <w:tc>
          <w:tcPr>
            <w:tcW w:w="2236" w:type="dxa"/>
            <w:vAlign w:val="center"/>
          </w:tcPr>
          <w:p>
            <w:pPr>
              <w:pStyle w:val="27"/>
              <w:widowControl/>
              <w:spacing w:line="300" w:lineRule="exact"/>
              <w:jc w:val="left"/>
              <w:rPr>
                <w:rFonts w:ascii="仿宋_GB2312" w:hAnsi="仿宋" w:cs="仿宋"/>
                <w:sz w:val="28"/>
                <w:szCs w:val="28"/>
              </w:rPr>
            </w:pPr>
            <w:r>
              <w:rPr>
                <w:rFonts w:hint="eastAsia" w:ascii="仿宋_GB2312" w:hAnsi="仿宋" w:cs="仿宋"/>
                <w:sz w:val="28"/>
                <w:szCs w:val="28"/>
              </w:rPr>
              <w:t>生活垃圾分类</w:t>
            </w:r>
          </w:p>
        </w:tc>
        <w:tc>
          <w:tcPr>
            <w:tcW w:w="993" w:type="dxa"/>
            <w:vAlign w:val="center"/>
          </w:tcPr>
          <w:p>
            <w:pPr>
              <w:pStyle w:val="27"/>
              <w:widowControl/>
              <w:spacing w:line="30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spacing w:line="300" w:lineRule="exact"/>
              <w:ind w:firstLine="0" w:firstLineChars="0"/>
              <w:jc w:val="center"/>
              <w:rPr>
                <w:rFonts w:ascii="仿宋_GB2312" w:hAnsi="仿宋" w:cs="仿宋"/>
                <w:bCs/>
                <w:spacing w:val="-5"/>
                <w:sz w:val="28"/>
                <w:szCs w:val="28"/>
              </w:rPr>
            </w:pPr>
            <w:r>
              <w:rPr>
                <w:rFonts w:hint="eastAsia" w:ascii="仿宋_GB2312" w:hAnsi="仿宋" w:cs="仿宋"/>
                <w:bCs/>
                <w:spacing w:val="-5"/>
                <w:sz w:val="28"/>
                <w:szCs w:val="28"/>
              </w:rPr>
              <w:t>确定试点先行先试，通过夯实基础设施、健全管理制度、广泛宣传引导等完成了生活垃圾分类全覆盖</w:t>
            </w:r>
          </w:p>
        </w:tc>
        <w:tc>
          <w:tcPr>
            <w:tcW w:w="1584" w:type="dxa"/>
            <w:vAlign w:val="center"/>
          </w:tcPr>
          <w:p>
            <w:pPr>
              <w:spacing w:line="300" w:lineRule="exact"/>
              <w:ind w:firstLine="0" w:firstLineChars="0"/>
              <w:jc w:val="left"/>
              <w:rPr>
                <w:rFonts w:ascii="仿宋_GB2312" w:hAnsi="仿宋" w:cs="仿宋"/>
                <w:sz w:val="28"/>
                <w:szCs w:val="28"/>
              </w:rPr>
            </w:pPr>
            <w:r>
              <w:rPr>
                <w:rFonts w:hint="eastAsia" w:ascii="仿宋_GB2312" w:hAnsi="仿宋" w:cs="仿宋"/>
                <w:bCs/>
                <w:spacing w:val="-5"/>
                <w:sz w:val="28"/>
                <w:szCs w:val="28"/>
              </w:rPr>
              <w:t>撤除零散投放点3100处、归整集中分类投放点1300余处，新增厨余垃圾专运车89辆，日厨余垃圾处理能力超90吨</w:t>
            </w:r>
          </w:p>
        </w:tc>
        <w:tc>
          <w:tcPr>
            <w:tcW w:w="1524" w:type="dxa"/>
            <w:vAlign w:val="center"/>
          </w:tcPr>
          <w:p>
            <w:pPr>
              <w:spacing w:line="300" w:lineRule="exact"/>
              <w:ind w:firstLine="0" w:firstLineChars="0"/>
              <w:jc w:val="left"/>
              <w:rPr>
                <w:rFonts w:ascii="仿宋_GB2312" w:hAnsi="仿宋" w:cs="仿宋"/>
                <w:bCs/>
                <w:spacing w:val="-5"/>
                <w:sz w:val="28"/>
                <w:szCs w:val="28"/>
              </w:rPr>
            </w:pPr>
            <w:r>
              <w:rPr>
                <w:rFonts w:hint="eastAsia" w:ascii="仿宋_GB2312" w:hAnsi="仿宋" w:cs="仿宋"/>
                <w:bCs/>
                <w:spacing w:val="-5"/>
                <w:sz w:val="28"/>
                <w:szCs w:val="28"/>
              </w:rPr>
              <w:t>改造垃圾分类亭120个，新增投放厢房150座。40余个小区村居开展“定时投放”模式；270余个村居开展了“上门收集”工作</w:t>
            </w:r>
          </w:p>
        </w:tc>
        <w:tc>
          <w:tcPr>
            <w:tcW w:w="2232" w:type="dxa"/>
            <w:vAlign w:val="center"/>
          </w:tcPr>
          <w:p>
            <w:pPr>
              <w:spacing w:line="300" w:lineRule="exact"/>
              <w:ind w:firstLine="0" w:firstLineChars="0"/>
              <w:jc w:val="left"/>
              <w:rPr>
                <w:rFonts w:ascii="仿宋_GB2312" w:hAnsi="仿宋" w:cs="仿宋"/>
                <w:bCs/>
                <w:spacing w:val="-5"/>
                <w:sz w:val="28"/>
                <w:szCs w:val="28"/>
              </w:rPr>
            </w:pPr>
            <w:r>
              <w:rPr>
                <w:rFonts w:hint="eastAsia" w:ascii="仿宋_GB2312" w:hAnsi="仿宋" w:cs="仿宋"/>
                <w:bCs/>
                <w:spacing w:val="-5"/>
                <w:sz w:val="28"/>
                <w:szCs w:val="28"/>
              </w:rPr>
              <w:t>居民生活垃圾分类知晓度、参与度分别达到100%、90%；生活垃圾实现全过程分类运输；垃圾分类处理率达到100%。</w:t>
            </w:r>
          </w:p>
        </w:tc>
        <w:tc>
          <w:tcPr>
            <w:tcW w:w="1224" w:type="dxa"/>
            <w:vAlign w:val="center"/>
          </w:tcPr>
          <w:p>
            <w:pPr>
              <w:pStyle w:val="27"/>
              <w:widowControl/>
              <w:spacing w:line="300" w:lineRule="exact"/>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spacing w:line="300" w:lineRule="exact"/>
              <w:rPr>
                <w:rFonts w:ascii="仿宋_GB2312" w:hAnsi="仿宋" w:cs="仿宋"/>
                <w:sz w:val="28"/>
                <w:szCs w:val="28"/>
              </w:rPr>
            </w:pPr>
            <w:r>
              <w:rPr>
                <w:rFonts w:hint="eastAsia" w:ascii="仿宋_GB2312" w:hAnsi="仿宋" w:cs="仿宋"/>
                <w:sz w:val="28"/>
                <w:szCs w:val="28"/>
              </w:rPr>
              <w:t>完成</w:t>
            </w:r>
          </w:p>
        </w:tc>
        <w:tc>
          <w:tcPr>
            <w:tcW w:w="1715" w:type="dxa"/>
            <w:tcBorders>
              <w:bottom w:val="single" w:color="auto" w:sz="4" w:space="0"/>
            </w:tcBorders>
            <w:vAlign w:val="center"/>
          </w:tcPr>
          <w:p>
            <w:pPr>
              <w:widowControl/>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区城市管理局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27</w:t>
            </w:r>
          </w:p>
        </w:tc>
        <w:tc>
          <w:tcPr>
            <w:tcW w:w="2236" w:type="dxa"/>
            <w:vAlign w:val="center"/>
          </w:tcPr>
          <w:p>
            <w:pPr>
              <w:pStyle w:val="27"/>
              <w:widowControl/>
              <w:rPr>
                <w:rFonts w:ascii="仿宋_GB2312" w:hAnsi="仿宋" w:cs="仿宋"/>
                <w:sz w:val="28"/>
                <w:szCs w:val="28"/>
              </w:rPr>
            </w:pPr>
            <w:r>
              <w:rPr>
                <w:rFonts w:hint="eastAsia" w:ascii="仿宋_GB2312" w:hAnsi="仿宋" w:cs="仿宋"/>
                <w:sz w:val="28"/>
                <w:szCs w:val="28"/>
              </w:rPr>
              <w:t>建筑垃圾治理情况</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w:t>
            </w:r>
          </w:p>
        </w:tc>
        <w:tc>
          <w:tcPr>
            <w:tcW w:w="1511" w:type="dxa"/>
            <w:vAlign w:val="center"/>
          </w:tcPr>
          <w:p>
            <w:pPr>
              <w:spacing w:line="240" w:lineRule="auto"/>
              <w:ind w:firstLine="0" w:firstLineChars="0"/>
              <w:jc w:val="left"/>
              <w:rPr>
                <w:rFonts w:ascii="仿宋_GB2312" w:hAnsi="仿宋" w:cs="仿宋"/>
                <w:bCs/>
                <w:spacing w:val="-5"/>
                <w:sz w:val="28"/>
                <w:szCs w:val="28"/>
              </w:rPr>
            </w:pPr>
            <w:r>
              <w:rPr>
                <w:rFonts w:hint="eastAsia" w:ascii="仿宋_GB2312" w:hAnsi="仿宋" w:cs="仿宋"/>
                <w:bCs/>
                <w:spacing w:val="-5"/>
                <w:sz w:val="28"/>
                <w:szCs w:val="28"/>
              </w:rPr>
              <w:t xml:space="preserve">产生和治理建筑垃圾275万余立方 </w:t>
            </w:r>
          </w:p>
        </w:tc>
        <w:tc>
          <w:tcPr>
            <w:tcW w:w="1584" w:type="dxa"/>
            <w:vAlign w:val="center"/>
          </w:tcPr>
          <w:p>
            <w:pPr>
              <w:spacing w:line="240" w:lineRule="auto"/>
              <w:ind w:firstLine="0" w:firstLineChars="0"/>
              <w:jc w:val="left"/>
              <w:rPr>
                <w:rFonts w:ascii="仿宋_GB2312" w:hAnsi="仿宋" w:cs="仿宋"/>
                <w:bCs/>
                <w:spacing w:val="-5"/>
                <w:sz w:val="28"/>
                <w:szCs w:val="28"/>
              </w:rPr>
            </w:pPr>
            <w:r>
              <w:rPr>
                <w:rFonts w:hint="eastAsia" w:ascii="仿宋_GB2312" w:hAnsi="仿宋" w:cs="仿宋"/>
                <w:bCs/>
                <w:spacing w:val="-5"/>
                <w:sz w:val="28"/>
                <w:szCs w:val="28"/>
              </w:rPr>
              <w:t>产生和治理建筑垃圾352万余立方</w:t>
            </w:r>
          </w:p>
        </w:tc>
        <w:tc>
          <w:tcPr>
            <w:tcW w:w="1524" w:type="dxa"/>
            <w:vAlign w:val="center"/>
          </w:tcPr>
          <w:p>
            <w:pPr>
              <w:spacing w:line="240" w:lineRule="auto"/>
              <w:ind w:firstLine="0" w:firstLineChars="0"/>
              <w:jc w:val="left"/>
              <w:rPr>
                <w:rFonts w:ascii="仿宋_GB2312" w:hAnsi="仿宋" w:cs="仿宋"/>
                <w:bCs/>
                <w:spacing w:val="-5"/>
                <w:sz w:val="28"/>
                <w:szCs w:val="28"/>
              </w:rPr>
            </w:pPr>
            <w:r>
              <w:rPr>
                <w:rFonts w:hint="eastAsia" w:ascii="仿宋_GB2312" w:hAnsi="仿宋" w:cs="仿宋"/>
                <w:bCs/>
                <w:spacing w:val="-5"/>
                <w:sz w:val="28"/>
                <w:szCs w:val="28"/>
              </w:rPr>
              <w:t>产生建筑垃圾46万余立方，治理包含历史遗留建筑垃圾共计117万余立方</w:t>
            </w:r>
          </w:p>
        </w:tc>
        <w:tc>
          <w:tcPr>
            <w:tcW w:w="2232" w:type="dxa"/>
            <w:vAlign w:val="center"/>
          </w:tcPr>
          <w:p>
            <w:pPr>
              <w:spacing w:line="240" w:lineRule="auto"/>
              <w:ind w:firstLine="0" w:firstLineChars="0"/>
              <w:jc w:val="left"/>
              <w:rPr>
                <w:rFonts w:ascii="仿宋_GB2312" w:hAnsi="仿宋" w:cs="仿宋"/>
                <w:bCs/>
                <w:spacing w:val="-5"/>
                <w:sz w:val="28"/>
                <w:szCs w:val="28"/>
              </w:rPr>
            </w:pPr>
            <w:r>
              <w:rPr>
                <w:rFonts w:hint="eastAsia" w:ascii="仿宋_GB2312" w:hAnsi="仿宋" w:cs="仿宋"/>
                <w:bCs/>
                <w:spacing w:val="-5"/>
                <w:sz w:val="28"/>
                <w:szCs w:val="28"/>
              </w:rPr>
              <w:t>建筑垃圾的产出和消纳平衡，推动建筑垃圾的源头分类管理，强化建筑垃圾运输管理机制，推动建筑垃圾末端消纳场所建设</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约束指标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完成</w:t>
            </w:r>
          </w:p>
        </w:tc>
        <w:tc>
          <w:tcPr>
            <w:tcW w:w="1715" w:type="dxa"/>
            <w:tcBorders>
              <w:top w:val="single" w:color="auto" w:sz="4" w:space="0"/>
              <w:bottom w:val="single" w:color="auto" w:sz="4" w:space="0"/>
            </w:tcBorders>
            <w:vAlign w:val="center"/>
          </w:tcPr>
          <w:p>
            <w:pPr>
              <w:widowControl/>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区城市管理局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549" w:hRule="atLeast"/>
          <w:jc w:val="center"/>
        </w:trPr>
        <w:tc>
          <w:tcPr>
            <w:tcW w:w="700" w:type="dxa"/>
            <w:vMerge w:val="restart"/>
            <w:vAlign w:val="center"/>
          </w:tcPr>
          <w:p>
            <w:pPr>
              <w:pStyle w:val="27"/>
              <w:widowControl/>
              <w:rPr>
                <w:rFonts w:ascii="仿宋_GB2312" w:hAnsi="仿宋" w:cs="仿宋"/>
                <w:sz w:val="28"/>
                <w:szCs w:val="28"/>
              </w:rPr>
            </w:pPr>
            <w:r>
              <w:rPr>
                <w:rFonts w:hint="eastAsia" w:ascii="仿宋_GB2312" w:hAnsi="仿宋" w:cs="仿宋"/>
                <w:sz w:val="28"/>
                <w:szCs w:val="28"/>
              </w:rPr>
              <w:t>低碳农业</w:t>
            </w:r>
          </w:p>
        </w:tc>
        <w:tc>
          <w:tcPr>
            <w:tcW w:w="451" w:type="dxa"/>
            <w:vMerge w:val="restart"/>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28</w:t>
            </w:r>
          </w:p>
        </w:tc>
        <w:tc>
          <w:tcPr>
            <w:tcW w:w="2236" w:type="dxa"/>
            <w:vAlign w:val="center"/>
          </w:tcPr>
          <w:p>
            <w:pPr>
              <w:pStyle w:val="27"/>
              <w:widowControl/>
              <w:spacing w:line="380" w:lineRule="exact"/>
              <w:jc w:val="left"/>
              <w:rPr>
                <w:rFonts w:ascii="仿宋_GB2312" w:hAnsi="仿宋" w:cs="仿宋"/>
                <w:sz w:val="28"/>
                <w:szCs w:val="28"/>
              </w:rPr>
            </w:pPr>
            <w:r>
              <w:rPr>
                <w:rFonts w:hint="eastAsia" w:ascii="仿宋_GB2312" w:hAnsi="仿宋" w:cs="仿宋"/>
                <w:sz w:val="28"/>
                <w:szCs w:val="28"/>
              </w:rPr>
              <w:t>化肥使用量</w:t>
            </w:r>
          </w:p>
        </w:tc>
        <w:tc>
          <w:tcPr>
            <w:tcW w:w="993"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吨</w:t>
            </w:r>
          </w:p>
        </w:tc>
        <w:tc>
          <w:tcPr>
            <w:tcW w:w="1511"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46292.094</w:t>
            </w:r>
          </w:p>
        </w:tc>
        <w:tc>
          <w:tcPr>
            <w:tcW w:w="158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44193.509</w:t>
            </w:r>
          </w:p>
        </w:tc>
        <w:tc>
          <w:tcPr>
            <w:tcW w:w="152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43141.133</w:t>
            </w:r>
          </w:p>
        </w:tc>
        <w:tc>
          <w:tcPr>
            <w:tcW w:w="2232"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零增长</w:t>
            </w:r>
          </w:p>
        </w:tc>
        <w:tc>
          <w:tcPr>
            <w:tcW w:w="122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完成</w:t>
            </w:r>
          </w:p>
        </w:tc>
        <w:tc>
          <w:tcPr>
            <w:tcW w:w="1715" w:type="dxa"/>
            <w:vMerge w:val="restart"/>
            <w:tcBorders>
              <w:top w:val="single" w:color="auto" w:sz="4" w:space="0"/>
              <w:bottom w:val="single" w:color="auto" w:sz="4" w:space="0"/>
            </w:tcBorders>
            <w:vAlign w:val="center"/>
          </w:tcPr>
          <w:p>
            <w:pPr>
              <w:widowControl/>
              <w:spacing w:line="380" w:lineRule="exact"/>
              <w:ind w:firstLine="0" w:firstLineChars="0"/>
              <w:jc w:val="center"/>
              <w:textAlignment w:val="center"/>
              <w:rPr>
                <w:rFonts w:ascii="仿宋_GB2312" w:hAnsi="仿宋" w:cs="仿宋"/>
                <w:sz w:val="28"/>
                <w:szCs w:val="28"/>
              </w:rPr>
            </w:pPr>
            <w:r>
              <w:rPr>
                <w:rFonts w:hint="eastAsia" w:ascii="仿宋_GB2312" w:hAnsi="仿宋" w:cs="仿宋"/>
                <w:sz w:val="28"/>
                <w:szCs w:val="28"/>
              </w:rPr>
              <w:t>区农业农村局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549" w:hRule="atLeast"/>
          <w:jc w:val="center"/>
        </w:trPr>
        <w:tc>
          <w:tcPr>
            <w:tcW w:w="700" w:type="dxa"/>
            <w:vMerge w:val="continue"/>
            <w:vAlign w:val="center"/>
          </w:tcPr>
          <w:p>
            <w:pPr>
              <w:pStyle w:val="27"/>
              <w:widowControl/>
              <w:rPr>
                <w:rFonts w:ascii="仿宋_GB2312" w:hAnsi="仿宋" w:cs="仿宋"/>
                <w:sz w:val="28"/>
                <w:szCs w:val="28"/>
              </w:rPr>
            </w:pPr>
          </w:p>
        </w:tc>
        <w:tc>
          <w:tcPr>
            <w:tcW w:w="451" w:type="dxa"/>
            <w:vMerge w:val="continue"/>
            <w:vAlign w:val="center"/>
          </w:tcPr>
          <w:p>
            <w:pPr>
              <w:pStyle w:val="27"/>
              <w:widowControl/>
              <w:spacing w:line="380" w:lineRule="exact"/>
              <w:rPr>
                <w:rFonts w:ascii="仿宋_GB2312" w:hAnsi="仿宋" w:cs="仿宋"/>
                <w:sz w:val="28"/>
                <w:szCs w:val="28"/>
              </w:rPr>
            </w:pPr>
          </w:p>
        </w:tc>
        <w:tc>
          <w:tcPr>
            <w:tcW w:w="2236" w:type="dxa"/>
            <w:vAlign w:val="center"/>
          </w:tcPr>
          <w:p>
            <w:pPr>
              <w:pStyle w:val="27"/>
              <w:widowControl/>
              <w:spacing w:line="380" w:lineRule="exact"/>
              <w:jc w:val="left"/>
              <w:rPr>
                <w:rFonts w:ascii="仿宋_GB2312" w:hAnsi="仿宋" w:cs="仿宋"/>
                <w:sz w:val="28"/>
                <w:szCs w:val="28"/>
              </w:rPr>
            </w:pPr>
            <w:r>
              <w:rPr>
                <w:rFonts w:hint="eastAsia" w:ascii="仿宋_GB2312" w:hAnsi="仿宋" w:cs="仿宋"/>
                <w:sz w:val="28"/>
                <w:szCs w:val="28"/>
              </w:rPr>
              <w:t>农药使用量</w:t>
            </w:r>
          </w:p>
        </w:tc>
        <w:tc>
          <w:tcPr>
            <w:tcW w:w="993"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吨</w:t>
            </w:r>
          </w:p>
        </w:tc>
        <w:tc>
          <w:tcPr>
            <w:tcW w:w="1511"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402.271</w:t>
            </w:r>
          </w:p>
        </w:tc>
        <w:tc>
          <w:tcPr>
            <w:tcW w:w="158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393.215</w:t>
            </w:r>
          </w:p>
        </w:tc>
        <w:tc>
          <w:tcPr>
            <w:tcW w:w="152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385.274</w:t>
            </w:r>
          </w:p>
        </w:tc>
        <w:tc>
          <w:tcPr>
            <w:tcW w:w="2232"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零增长</w:t>
            </w:r>
          </w:p>
        </w:tc>
        <w:tc>
          <w:tcPr>
            <w:tcW w:w="122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完成</w:t>
            </w:r>
          </w:p>
        </w:tc>
        <w:tc>
          <w:tcPr>
            <w:tcW w:w="1715" w:type="dxa"/>
            <w:vMerge w:val="continue"/>
            <w:tcBorders>
              <w:top w:val="single" w:color="auto" w:sz="4" w:space="0"/>
              <w:bottom w:val="single" w:color="auto" w:sz="4" w:space="0"/>
            </w:tcBorders>
            <w:vAlign w:val="center"/>
          </w:tcPr>
          <w:p>
            <w:pPr>
              <w:widowControl/>
              <w:spacing w:line="380" w:lineRule="exact"/>
              <w:ind w:firstLine="56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513"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29</w:t>
            </w:r>
          </w:p>
        </w:tc>
        <w:tc>
          <w:tcPr>
            <w:tcW w:w="2236" w:type="dxa"/>
            <w:vAlign w:val="center"/>
          </w:tcPr>
          <w:p>
            <w:pPr>
              <w:pStyle w:val="27"/>
              <w:widowControl/>
              <w:spacing w:line="380" w:lineRule="exact"/>
              <w:jc w:val="left"/>
              <w:rPr>
                <w:rFonts w:ascii="仿宋_GB2312" w:hAnsi="仿宋" w:cs="仿宋"/>
                <w:sz w:val="28"/>
                <w:szCs w:val="28"/>
              </w:rPr>
            </w:pPr>
            <w:r>
              <w:rPr>
                <w:rFonts w:hint="eastAsia" w:ascii="仿宋_GB2312" w:hAnsi="仿宋" w:cs="仿宋"/>
                <w:sz w:val="28"/>
                <w:szCs w:val="28"/>
              </w:rPr>
              <w:t>秸秆综合利用率</w:t>
            </w:r>
          </w:p>
        </w:tc>
        <w:tc>
          <w:tcPr>
            <w:tcW w:w="993"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pStyle w:val="33"/>
              <w:widowControl/>
              <w:adjustRightInd w:val="0"/>
              <w:spacing w:line="380" w:lineRule="exact"/>
              <w:jc w:val="center"/>
              <w:rPr>
                <w:rFonts w:ascii="仿宋_GB2312" w:hAnsi="仿宋" w:eastAsia="仿宋_GB2312" w:cs="仿宋"/>
                <w:sz w:val="28"/>
                <w:szCs w:val="28"/>
              </w:rPr>
            </w:pPr>
            <w:r>
              <w:rPr>
                <w:rFonts w:hint="eastAsia" w:ascii="仿宋_GB2312" w:hAnsi="仿宋" w:eastAsia="仿宋_GB2312" w:cs="仿宋"/>
                <w:bCs/>
                <w:sz w:val="28"/>
                <w:szCs w:val="28"/>
              </w:rPr>
              <w:t>96.62</w:t>
            </w:r>
          </w:p>
        </w:tc>
        <w:tc>
          <w:tcPr>
            <w:tcW w:w="1584" w:type="dxa"/>
            <w:vAlign w:val="center"/>
          </w:tcPr>
          <w:p>
            <w:pPr>
              <w:pStyle w:val="33"/>
              <w:widowControl/>
              <w:adjustRightInd w:val="0"/>
              <w:spacing w:line="380" w:lineRule="exact"/>
              <w:jc w:val="center"/>
              <w:rPr>
                <w:rFonts w:ascii="仿宋_GB2312" w:hAnsi="仿宋" w:eastAsia="仿宋_GB2312" w:cs="仿宋"/>
                <w:sz w:val="28"/>
                <w:szCs w:val="28"/>
              </w:rPr>
            </w:pPr>
            <w:r>
              <w:rPr>
                <w:rFonts w:hint="eastAsia" w:ascii="仿宋_GB2312" w:hAnsi="仿宋" w:eastAsia="仿宋_GB2312" w:cs="仿宋"/>
                <w:bCs/>
                <w:sz w:val="28"/>
                <w:szCs w:val="28"/>
              </w:rPr>
              <w:t>97.13</w:t>
            </w:r>
          </w:p>
        </w:tc>
        <w:tc>
          <w:tcPr>
            <w:tcW w:w="1524" w:type="dxa"/>
            <w:vAlign w:val="center"/>
          </w:tcPr>
          <w:p>
            <w:pPr>
              <w:pStyle w:val="33"/>
              <w:widowControl/>
              <w:adjustRightInd w:val="0"/>
              <w:spacing w:line="380" w:lineRule="exact"/>
              <w:jc w:val="center"/>
              <w:rPr>
                <w:rFonts w:ascii="仿宋_GB2312" w:hAnsi="仿宋" w:eastAsia="仿宋_GB2312" w:cs="仿宋"/>
                <w:sz w:val="28"/>
                <w:szCs w:val="28"/>
              </w:rPr>
            </w:pPr>
            <w:r>
              <w:rPr>
                <w:rFonts w:hint="eastAsia" w:ascii="仿宋_GB2312" w:hAnsi="仿宋" w:eastAsia="仿宋_GB2312" w:cs="仿宋"/>
                <w:bCs/>
                <w:sz w:val="28"/>
                <w:szCs w:val="28"/>
              </w:rPr>
              <w:t>97.57</w:t>
            </w:r>
          </w:p>
        </w:tc>
        <w:tc>
          <w:tcPr>
            <w:tcW w:w="2232"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≥95</w:t>
            </w:r>
          </w:p>
        </w:tc>
        <w:tc>
          <w:tcPr>
            <w:tcW w:w="122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完成</w:t>
            </w:r>
          </w:p>
        </w:tc>
        <w:tc>
          <w:tcPr>
            <w:tcW w:w="1715" w:type="dxa"/>
            <w:vMerge w:val="continue"/>
            <w:tcBorders>
              <w:top w:val="single" w:color="auto" w:sz="4" w:space="0"/>
              <w:bottom w:val="single" w:color="auto" w:sz="4" w:space="0"/>
            </w:tcBorders>
            <w:vAlign w:val="center"/>
          </w:tcPr>
          <w:p>
            <w:pPr>
              <w:widowControl/>
              <w:spacing w:line="380" w:lineRule="exact"/>
              <w:ind w:firstLine="56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623"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30</w:t>
            </w:r>
          </w:p>
        </w:tc>
        <w:tc>
          <w:tcPr>
            <w:tcW w:w="2236" w:type="dxa"/>
            <w:vAlign w:val="center"/>
          </w:tcPr>
          <w:p>
            <w:pPr>
              <w:pStyle w:val="27"/>
              <w:widowControl/>
              <w:spacing w:line="380" w:lineRule="exact"/>
              <w:jc w:val="left"/>
              <w:rPr>
                <w:rFonts w:ascii="仿宋_GB2312" w:hAnsi="仿宋" w:cs="仿宋"/>
                <w:sz w:val="28"/>
                <w:szCs w:val="28"/>
              </w:rPr>
            </w:pPr>
            <w:r>
              <w:rPr>
                <w:rFonts w:hint="eastAsia" w:ascii="仿宋_GB2312" w:hAnsi="仿宋" w:cs="仿宋"/>
                <w:sz w:val="28"/>
                <w:szCs w:val="28"/>
              </w:rPr>
              <w:t>畜禽粪污综合利用率</w:t>
            </w:r>
          </w:p>
        </w:tc>
        <w:tc>
          <w:tcPr>
            <w:tcW w:w="993"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85.8</w:t>
            </w:r>
          </w:p>
        </w:tc>
        <w:tc>
          <w:tcPr>
            <w:tcW w:w="158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87.3</w:t>
            </w:r>
          </w:p>
        </w:tc>
        <w:tc>
          <w:tcPr>
            <w:tcW w:w="152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91.5</w:t>
            </w:r>
          </w:p>
        </w:tc>
        <w:tc>
          <w:tcPr>
            <w:tcW w:w="2232"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≥90</w:t>
            </w:r>
          </w:p>
        </w:tc>
        <w:tc>
          <w:tcPr>
            <w:tcW w:w="122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完成</w:t>
            </w:r>
          </w:p>
        </w:tc>
        <w:tc>
          <w:tcPr>
            <w:tcW w:w="1715" w:type="dxa"/>
            <w:vMerge w:val="continue"/>
            <w:tcBorders>
              <w:top w:val="single" w:color="auto" w:sz="4" w:space="0"/>
              <w:bottom w:val="single" w:color="auto" w:sz="4" w:space="0"/>
            </w:tcBorders>
            <w:vAlign w:val="center"/>
          </w:tcPr>
          <w:p>
            <w:pPr>
              <w:widowControl/>
              <w:spacing w:line="380" w:lineRule="exact"/>
              <w:ind w:firstLine="0" w:firstLineChars="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606" w:hRule="atLeast"/>
          <w:jc w:val="center"/>
        </w:trPr>
        <w:tc>
          <w:tcPr>
            <w:tcW w:w="700" w:type="dxa"/>
            <w:vMerge w:val="restart"/>
            <w:vAlign w:val="center"/>
          </w:tcPr>
          <w:p>
            <w:pPr>
              <w:pStyle w:val="27"/>
              <w:widowControl/>
              <w:rPr>
                <w:rFonts w:ascii="仿宋_GB2312" w:hAnsi="仿宋" w:cs="仿宋"/>
                <w:sz w:val="28"/>
                <w:szCs w:val="28"/>
              </w:rPr>
            </w:pPr>
            <w:r>
              <w:rPr>
                <w:rFonts w:hint="eastAsia" w:ascii="仿宋_GB2312" w:hAnsi="仿宋" w:cs="仿宋"/>
                <w:sz w:val="28"/>
                <w:szCs w:val="28"/>
              </w:rPr>
              <w:t>碳汇和碳抵消</w:t>
            </w:r>
          </w:p>
        </w:tc>
        <w:tc>
          <w:tcPr>
            <w:tcW w:w="451"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31</w:t>
            </w:r>
          </w:p>
        </w:tc>
        <w:tc>
          <w:tcPr>
            <w:tcW w:w="2236" w:type="dxa"/>
            <w:vAlign w:val="center"/>
          </w:tcPr>
          <w:p>
            <w:pPr>
              <w:pStyle w:val="27"/>
              <w:widowControl/>
              <w:spacing w:line="380" w:lineRule="exact"/>
              <w:jc w:val="left"/>
              <w:rPr>
                <w:rFonts w:ascii="仿宋_GB2312" w:hAnsi="仿宋" w:cs="仿宋"/>
                <w:sz w:val="28"/>
                <w:szCs w:val="28"/>
              </w:rPr>
            </w:pPr>
            <w:r>
              <w:rPr>
                <w:rFonts w:hint="eastAsia" w:ascii="仿宋_GB2312" w:hAnsi="仿宋" w:cs="仿宋"/>
                <w:sz w:val="28"/>
                <w:szCs w:val="28"/>
              </w:rPr>
              <w:t>森林蓄积量</w:t>
            </w:r>
          </w:p>
        </w:tc>
        <w:tc>
          <w:tcPr>
            <w:tcW w:w="993"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立方米</w:t>
            </w:r>
          </w:p>
        </w:tc>
        <w:tc>
          <w:tcPr>
            <w:tcW w:w="1511"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139.36万</w:t>
            </w:r>
          </w:p>
        </w:tc>
        <w:tc>
          <w:tcPr>
            <w:tcW w:w="1584" w:type="dxa"/>
            <w:vAlign w:val="center"/>
          </w:tcPr>
          <w:p>
            <w:pPr>
              <w:pStyle w:val="27"/>
              <w:widowControl/>
              <w:spacing w:line="380" w:lineRule="exact"/>
              <w:rPr>
                <w:rFonts w:ascii="仿宋_GB2312" w:hAnsi="仿宋" w:cs="仿宋"/>
                <w:sz w:val="28"/>
                <w:szCs w:val="28"/>
              </w:rPr>
            </w:pPr>
            <w:r>
              <w:rPr>
                <w:rFonts w:hint="eastAsia" w:ascii="仿宋_GB2312" w:hAnsi="仿宋" w:cs="仿宋"/>
                <w:kern w:val="0"/>
                <w:sz w:val="28"/>
                <w:szCs w:val="28"/>
                <w:lang w:bidi="ar"/>
              </w:rPr>
              <w:t>142.8</w:t>
            </w:r>
            <w:r>
              <w:rPr>
                <w:rFonts w:hint="eastAsia" w:ascii="仿宋_GB2312" w:hAnsi="仿宋" w:cs="仿宋"/>
                <w:sz w:val="28"/>
                <w:szCs w:val="28"/>
              </w:rPr>
              <w:t>万</w:t>
            </w:r>
          </w:p>
        </w:tc>
        <w:tc>
          <w:tcPr>
            <w:tcW w:w="1524" w:type="dxa"/>
            <w:vAlign w:val="center"/>
          </w:tcPr>
          <w:p>
            <w:pPr>
              <w:pStyle w:val="27"/>
              <w:widowControl/>
              <w:spacing w:line="380" w:lineRule="exact"/>
              <w:rPr>
                <w:rFonts w:ascii="仿宋_GB2312" w:hAnsi="仿宋" w:cs="仿宋"/>
                <w:sz w:val="28"/>
                <w:szCs w:val="28"/>
              </w:rPr>
            </w:pPr>
            <w:r>
              <w:rPr>
                <w:rFonts w:hint="eastAsia" w:ascii="仿宋_GB2312" w:hAnsi="仿宋" w:cs="仿宋"/>
                <w:kern w:val="0"/>
                <w:sz w:val="28"/>
                <w:szCs w:val="28"/>
                <w:lang w:bidi="ar"/>
              </w:rPr>
              <w:t>113.73万</w:t>
            </w:r>
          </w:p>
        </w:tc>
        <w:tc>
          <w:tcPr>
            <w:tcW w:w="2232"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较2020年上升</w:t>
            </w:r>
          </w:p>
        </w:tc>
        <w:tc>
          <w:tcPr>
            <w:tcW w:w="122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未完成</w:t>
            </w:r>
          </w:p>
        </w:tc>
        <w:tc>
          <w:tcPr>
            <w:tcW w:w="1715" w:type="dxa"/>
            <w:tcBorders>
              <w:top w:val="single" w:color="auto" w:sz="4" w:space="0"/>
            </w:tcBorders>
            <w:vAlign w:val="center"/>
          </w:tcPr>
          <w:p>
            <w:pPr>
              <w:widowControl/>
              <w:spacing w:line="380" w:lineRule="exact"/>
              <w:ind w:firstLine="0" w:firstLineChars="0"/>
              <w:jc w:val="center"/>
              <w:textAlignment w:val="center"/>
              <w:rPr>
                <w:rFonts w:ascii="仿宋_GB2312" w:hAnsi="仿宋" w:cs="仿宋"/>
                <w:sz w:val="28"/>
                <w:szCs w:val="28"/>
              </w:rPr>
            </w:pPr>
            <w:r>
              <w:rPr>
                <w:rFonts w:hint="eastAsia" w:ascii="仿宋_GB2312" w:hAnsi="仿宋" w:cs="仿宋"/>
                <w:sz w:val="28"/>
                <w:szCs w:val="28"/>
              </w:rPr>
              <w:t>区园林和林业绿化局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1005"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32</w:t>
            </w:r>
          </w:p>
        </w:tc>
        <w:tc>
          <w:tcPr>
            <w:tcW w:w="2236" w:type="dxa"/>
            <w:vAlign w:val="center"/>
          </w:tcPr>
          <w:p>
            <w:pPr>
              <w:pStyle w:val="27"/>
              <w:widowControl/>
              <w:spacing w:line="380" w:lineRule="exact"/>
              <w:jc w:val="left"/>
              <w:rPr>
                <w:rFonts w:ascii="仿宋_GB2312" w:hAnsi="仿宋" w:cs="仿宋"/>
                <w:sz w:val="28"/>
                <w:szCs w:val="28"/>
              </w:rPr>
            </w:pPr>
            <w:r>
              <w:rPr>
                <w:rFonts w:hint="eastAsia" w:ascii="仿宋_GB2312" w:hAnsi="仿宋" w:cs="仿宋"/>
                <w:sz w:val="28"/>
                <w:szCs w:val="28"/>
              </w:rPr>
              <w:t>开发国家核证自愿减排量（CCER）项目情况</w:t>
            </w:r>
          </w:p>
        </w:tc>
        <w:tc>
          <w:tcPr>
            <w:tcW w:w="993"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w:t>
            </w:r>
          </w:p>
        </w:tc>
        <w:tc>
          <w:tcPr>
            <w:tcW w:w="1511"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0</w:t>
            </w:r>
          </w:p>
        </w:tc>
        <w:tc>
          <w:tcPr>
            <w:tcW w:w="158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0</w:t>
            </w:r>
          </w:p>
        </w:tc>
        <w:tc>
          <w:tcPr>
            <w:tcW w:w="152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0</w:t>
            </w:r>
          </w:p>
        </w:tc>
        <w:tc>
          <w:tcPr>
            <w:tcW w:w="2232"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开发并取得成效</w:t>
            </w:r>
          </w:p>
        </w:tc>
        <w:tc>
          <w:tcPr>
            <w:tcW w:w="1224"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参考指标</w:t>
            </w:r>
          </w:p>
        </w:tc>
        <w:tc>
          <w:tcPr>
            <w:tcW w:w="960" w:type="dxa"/>
            <w:vAlign w:val="center"/>
          </w:tcPr>
          <w:p>
            <w:pPr>
              <w:pStyle w:val="27"/>
              <w:widowControl/>
              <w:spacing w:line="380" w:lineRule="exact"/>
              <w:rPr>
                <w:rFonts w:ascii="仿宋_GB2312" w:hAnsi="仿宋" w:cs="仿宋"/>
                <w:sz w:val="28"/>
                <w:szCs w:val="28"/>
              </w:rPr>
            </w:pPr>
            <w:r>
              <w:rPr>
                <w:rFonts w:hint="eastAsia" w:ascii="仿宋_GB2312" w:hAnsi="仿宋" w:cs="仿宋"/>
                <w:sz w:val="28"/>
                <w:szCs w:val="28"/>
              </w:rPr>
              <w:t>未完成</w:t>
            </w:r>
          </w:p>
        </w:tc>
        <w:tc>
          <w:tcPr>
            <w:tcW w:w="1715" w:type="dxa"/>
            <w:vAlign w:val="center"/>
          </w:tcPr>
          <w:p>
            <w:pPr>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区发改局、区生态环境分局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restart"/>
            <w:vAlign w:val="center"/>
          </w:tcPr>
          <w:p>
            <w:pPr>
              <w:pStyle w:val="27"/>
              <w:widowControl/>
              <w:rPr>
                <w:rFonts w:ascii="仿宋_GB2312" w:hAnsi="仿宋" w:cs="仿宋"/>
                <w:sz w:val="28"/>
                <w:szCs w:val="28"/>
              </w:rPr>
            </w:pPr>
            <w:r>
              <w:rPr>
                <w:rFonts w:hint="eastAsia" w:ascii="仿宋_GB2312" w:hAnsi="仿宋" w:cs="仿宋"/>
                <w:sz w:val="28"/>
                <w:szCs w:val="28"/>
              </w:rPr>
              <w:t>特色指标</w:t>
            </w:r>
          </w:p>
        </w:tc>
        <w:tc>
          <w:tcPr>
            <w:tcW w:w="451" w:type="dxa"/>
            <w:vMerge w:val="restart"/>
            <w:vAlign w:val="center"/>
          </w:tcPr>
          <w:p>
            <w:pPr>
              <w:pStyle w:val="27"/>
              <w:widowControl/>
              <w:rPr>
                <w:rFonts w:ascii="仿宋_GB2312" w:hAnsi="仿宋" w:cs="仿宋"/>
                <w:sz w:val="28"/>
                <w:szCs w:val="28"/>
              </w:rPr>
            </w:pPr>
            <w:r>
              <w:rPr>
                <w:rFonts w:hint="eastAsia" w:ascii="仿宋_GB2312" w:hAnsi="仿宋" w:cs="仿宋"/>
                <w:sz w:val="28"/>
                <w:szCs w:val="28"/>
              </w:rPr>
              <w:t>33</w:t>
            </w:r>
          </w:p>
        </w:tc>
        <w:tc>
          <w:tcPr>
            <w:tcW w:w="2236" w:type="dxa"/>
            <w:vMerge w:val="restart"/>
            <w:vAlign w:val="center"/>
          </w:tcPr>
          <w:p>
            <w:pPr>
              <w:pStyle w:val="27"/>
              <w:widowControl/>
              <w:jc w:val="left"/>
              <w:rPr>
                <w:rFonts w:ascii="仿宋_GB2312" w:hAnsi="仿宋" w:cs="仿宋"/>
                <w:sz w:val="28"/>
                <w:szCs w:val="28"/>
              </w:rPr>
            </w:pPr>
            <w:r>
              <w:rPr>
                <w:rFonts w:hint="eastAsia" w:ascii="仿宋_GB2312" w:hAnsi="仿宋" w:cs="仿宋"/>
                <w:sz w:val="28"/>
                <w:szCs w:val="28"/>
              </w:rPr>
              <w:t>率先开展碳捕集和碳利用</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jc w:val="left"/>
              <w:rPr>
                <w:rFonts w:ascii="仿宋_GB2312" w:hAnsi="仿宋" w:cs="仿宋"/>
                <w:sz w:val="28"/>
                <w:szCs w:val="28"/>
              </w:rPr>
            </w:pPr>
            <w:r>
              <w:rPr>
                <w:rFonts w:hint="eastAsia" w:ascii="仿宋_GB2312" w:hAnsi="仿宋" w:cs="仿宋"/>
                <w:sz w:val="28"/>
                <w:szCs w:val="28"/>
              </w:rPr>
              <w:t>明水化工副产的二氧化碳气体经捕捉后提纯、回收，生成液体二氧化碳，设计产能24万吨/年</w:t>
            </w:r>
          </w:p>
        </w:tc>
        <w:tc>
          <w:tcPr>
            <w:tcW w:w="2232" w:type="dxa"/>
            <w:vMerge w:val="restart"/>
            <w:vAlign w:val="center"/>
          </w:tcPr>
          <w:p>
            <w:pPr>
              <w:pStyle w:val="27"/>
              <w:widowControl/>
              <w:jc w:val="left"/>
              <w:rPr>
                <w:rFonts w:ascii="仿宋_GB2312" w:hAnsi="仿宋" w:cs="仿宋"/>
                <w:sz w:val="28"/>
                <w:szCs w:val="28"/>
              </w:rPr>
            </w:pPr>
            <w:r>
              <w:rPr>
                <w:rFonts w:hint="eastAsia" w:ascii="仿宋_GB2312" w:hAnsi="仿宋" w:cs="仿宋"/>
                <w:sz w:val="28"/>
                <w:szCs w:val="28"/>
              </w:rPr>
              <w:t>完善碳捕集、碳利用技术</w:t>
            </w:r>
          </w:p>
        </w:tc>
        <w:tc>
          <w:tcPr>
            <w:tcW w:w="1224" w:type="dxa"/>
            <w:vMerge w:val="restart"/>
            <w:vAlign w:val="center"/>
          </w:tcPr>
          <w:p>
            <w:pPr>
              <w:pStyle w:val="27"/>
              <w:widowControl/>
              <w:rPr>
                <w:rFonts w:ascii="仿宋_GB2312" w:hAnsi="仿宋" w:cs="仿宋"/>
                <w:sz w:val="28"/>
                <w:szCs w:val="28"/>
              </w:rPr>
            </w:pPr>
            <w:r>
              <w:rPr>
                <w:rFonts w:hint="eastAsia" w:ascii="仿宋_GB2312" w:hAnsi="仿宋" w:cs="仿宋"/>
                <w:sz w:val="28"/>
                <w:szCs w:val="28"/>
              </w:rPr>
              <w:t>特色指标</w:t>
            </w:r>
          </w:p>
        </w:tc>
        <w:tc>
          <w:tcPr>
            <w:tcW w:w="960" w:type="dxa"/>
            <w:vMerge w:val="restart"/>
            <w:vAlign w:val="center"/>
          </w:tcPr>
          <w:p>
            <w:pPr>
              <w:pStyle w:val="27"/>
              <w:widowControl/>
              <w:rPr>
                <w:rFonts w:ascii="仿宋_GB2312" w:hAnsi="仿宋" w:cs="仿宋"/>
                <w:sz w:val="28"/>
                <w:szCs w:val="28"/>
              </w:rPr>
            </w:pPr>
            <w:r>
              <w:rPr>
                <w:rFonts w:hint="eastAsia" w:ascii="仿宋_GB2312" w:hAnsi="仿宋" w:cs="仿宋"/>
                <w:sz w:val="28"/>
                <w:szCs w:val="28"/>
              </w:rPr>
              <w:t>未完成</w:t>
            </w:r>
          </w:p>
        </w:tc>
        <w:tc>
          <w:tcPr>
            <w:tcW w:w="1715" w:type="dxa"/>
            <w:vMerge w:val="restart"/>
            <w:vAlign w:val="center"/>
          </w:tcPr>
          <w:p>
            <w:pPr>
              <w:widowControl/>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区生态环境</w:t>
            </w:r>
          </w:p>
          <w:p>
            <w:pPr>
              <w:widowControl/>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454" w:hRule="atLeast"/>
          <w:jc w:val="center"/>
        </w:trPr>
        <w:tc>
          <w:tcPr>
            <w:tcW w:w="700" w:type="dxa"/>
            <w:vMerge w:val="continue"/>
            <w:vAlign w:val="center"/>
          </w:tcPr>
          <w:p>
            <w:pPr>
              <w:pStyle w:val="27"/>
              <w:widowControl/>
              <w:rPr>
                <w:rFonts w:ascii="仿宋_GB2312" w:hAnsi="仿宋" w:cs="仿宋"/>
                <w:sz w:val="28"/>
                <w:szCs w:val="28"/>
              </w:rPr>
            </w:pPr>
          </w:p>
        </w:tc>
        <w:tc>
          <w:tcPr>
            <w:tcW w:w="451" w:type="dxa"/>
            <w:vMerge w:val="continue"/>
            <w:vAlign w:val="center"/>
          </w:tcPr>
          <w:p>
            <w:pPr>
              <w:pStyle w:val="27"/>
              <w:widowControl/>
              <w:rPr>
                <w:rFonts w:ascii="仿宋_GB2312" w:hAnsi="仿宋" w:cs="仿宋"/>
                <w:sz w:val="28"/>
                <w:szCs w:val="28"/>
              </w:rPr>
            </w:pPr>
          </w:p>
        </w:tc>
        <w:tc>
          <w:tcPr>
            <w:tcW w:w="2236" w:type="dxa"/>
            <w:vMerge w:val="continue"/>
            <w:vAlign w:val="center"/>
          </w:tcPr>
          <w:p>
            <w:pPr>
              <w:pStyle w:val="27"/>
              <w:widowControl/>
              <w:jc w:val="left"/>
              <w:rPr>
                <w:rFonts w:ascii="仿宋_GB2312" w:hAnsi="仿宋" w:cs="仿宋"/>
                <w:sz w:val="28"/>
                <w:szCs w:val="28"/>
              </w:rPr>
            </w:pP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jc w:val="left"/>
              <w:rPr>
                <w:rFonts w:ascii="仿宋_GB2312" w:hAnsi="仿宋" w:cs="仿宋"/>
                <w:sz w:val="28"/>
                <w:szCs w:val="28"/>
              </w:rPr>
            </w:pPr>
            <w:r>
              <w:rPr>
                <w:rFonts w:hint="eastAsia" w:ascii="仿宋_GB2312" w:hAnsi="仿宋" w:cs="仿宋"/>
                <w:sz w:val="28"/>
                <w:szCs w:val="28"/>
              </w:rPr>
              <w:t>日月新材料将生产工艺中的二氧化碳气体捕捉之后提纯、回收，用于本厂生产尿素，产能设计为9万吨/年</w:t>
            </w:r>
          </w:p>
        </w:tc>
        <w:tc>
          <w:tcPr>
            <w:tcW w:w="2232" w:type="dxa"/>
            <w:vMerge w:val="continue"/>
            <w:vAlign w:val="center"/>
          </w:tcPr>
          <w:p>
            <w:pPr>
              <w:pStyle w:val="27"/>
              <w:widowControl/>
              <w:rPr>
                <w:rFonts w:ascii="仿宋_GB2312" w:hAnsi="仿宋" w:cs="仿宋"/>
                <w:sz w:val="28"/>
                <w:szCs w:val="28"/>
              </w:rPr>
            </w:pPr>
          </w:p>
        </w:tc>
        <w:tc>
          <w:tcPr>
            <w:tcW w:w="1224" w:type="dxa"/>
            <w:vMerge w:val="continue"/>
            <w:vAlign w:val="center"/>
          </w:tcPr>
          <w:p>
            <w:pPr>
              <w:pStyle w:val="27"/>
              <w:widowControl/>
              <w:rPr>
                <w:rFonts w:ascii="仿宋_GB2312" w:hAnsi="仿宋" w:cs="仿宋"/>
                <w:sz w:val="28"/>
                <w:szCs w:val="28"/>
              </w:rPr>
            </w:pPr>
          </w:p>
        </w:tc>
        <w:tc>
          <w:tcPr>
            <w:tcW w:w="960" w:type="dxa"/>
            <w:vMerge w:val="continue"/>
            <w:vAlign w:val="center"/>
          </w:tcPr>
          <w:p>
            <w:pPr>
              <w:pStyle w:val="27"/>
              <w:widowControl/>
              <w:rPr>
                <w:rFonts w:ascii="仿宋_GB2312" w:hAnsi="仿宋" w:cs="仿宋"/>
                <w:sz w:val="28"/>
                <w:szCs w:val="28"/>
              </w:rPr>
            </w:pPr>
          </w:p>
        </w:tc>
        <w:tc>
          <w:tcPr>
            <w:tcW w:w="1715" w:type="dxa"/>
            <w:vMerge w:val="continue"/>
            <w:vAlign w:val="center"/>
          </w:tcPr>
          <w:p>
            <w:pPr>
              <w:widowControl/>
              <w:spacing w:line="240" w:lineRule="auto"/>
              <w:ind w:firstLine="0" w:firstLineChars="0"/>
              <w:jc w:val="center"/>
              <w:textAlignment w:val="center"/>
              <w:rPr>
                <w:rFonts w:ascii="仿宋_GB2312" w:hAnsi="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1988"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34</w:t>
            </w:r>
          </w:p>
        </w:tc>
        <w:tc>
          <w:tcPr>
            <w:tcW w:w="2236" w:type="dxa"/>
            <w:vAlign w:val="center"/>
          </w:tcPr>
          <w:p>
            <w:pPr>
              <w:pStyle w:val="27"/>
              <w:widowControl/>
              <w:jc w:val="left"/>
              <w:rPr>
                <w:rFonts w:ascii="仿宋_GB2312" w:hAnsi="仿宋" w:cs="仿宋"/>
                <w:sz w:val="28"/>
                <w:szCs w:val="28"/>
              </w:rPr>
            </w:pPr>
            <w:r>
              <w:rPr>
                <w:rFonts w:hint="eastAsia" w:ascii="仿宋_GB2312" w:hAnsi="仿宋" w:cs="仿宋"/>
                <w:sz w:val="28"/>
                <w:szCs w:val="28"/>
              </w:rPr>
              <w:t>实现固体废物处理方式多样化</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widowControl/>
              <w:jc w:val="left"/>
              <w:rPr>
                <w:rFonts w:ascii="仿宋_GB2312" w:hAnsi="仿宋" w:cs="仿宋"/>
                <w:sz w:val="28"/>
                <w:szCs w:val="28"/>
              </w:rPr>
            </w:pPr>
            <w:r>
              <w:rPr>
                <w:rFonts w:hint="eastAsia" w:ascii="仿宋_GB2312" w:hAnsi="仿宋" w:cs="仿宋"/>
                <w:sz w:val="28"/>
                <w:szCs w:val="28"/>
              </w:rPr>
              <w:t>在全国率先开展城乡环卫一体化工作，推进了固体废物回收站点、分拣中心建设，拥有建筑垃圾、餐厨垃圾、生活垃圾、污泥、危险废物处理等基础设施</w:t>
            </w:r>
          </w:p>
        </w:tc>
        <w:tc>
          <w:tcPr>
            <w:tcW w:w="2232" w:type="dxa"/>
            <w:vAlign w:val="center"/>
          </w:tcPr>
          <w:p>
            <w:pPr>
              <w:pStyle w:val="27"/>
              <w:widowControl/>
              <w:jc w:val="left"/>
              <w:rPr>
                <w:rFonts w:ascii="仿宋_GB2312" w:hAnsi="仿宋" w:cs="仿宋"/>
                <w:sz w:val="28"/>
                <w:szCs w:val="28"/>
              </w:rPr>
            </w:pPr>
            <w:r>
              <w:rPr>
                <w:rFonts w:hint="eastAsia" w:ascii="仿宋_GB2312" w:hAnsi="仿宋" w:cs="仿宋"/>
                <w:sz w:val="28"/>
                <w:szCs w:val="28"/>
              </w:rPr>
              <w:t>日处理生活垃圾2800吨、餐厨垃圾150吨、污泥200吨。年处理危废2.5万吨，建筑垃圾综合利用量不断增长</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特色指标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未完成</w:t>
            </w:r>
          </w:p>
        </w:tc>
        <w:tc>
          <w:tcPr>
            <w:tcW w:w="1715" w:type="dxa"/>
            <w:vAlign w:val="center"/>
          </w:tcPr>
          <w:p>
            <w:pPr>
              <w:widowControl/>
              <w:spacing w:line="240" w:lineRule="auto"/>
              <w:ind w:firstLine="0" w:firstLineChars="0"/>
              <w:jc w:val="center"/>
              <w:textAlignment w:val="center"/>
              <w:rPr>
                <w:rFonts w:ascii="仿宋_GB2312" w:hAnsi="仿宋" w:cs="仿宋"/>
                <w:sz w:val="28"/>
                <w:szCs w:val="28"/>
              </w:rPr>
            </w:pPr>
            <w:r>
              <w:rPr>
                <w:rFonts w:hint="eastAsia" w:ascii="仿宋_GB2312" w:hAnsi="仿宋" w:cs="仿宋"/>
                <w:sz w:val="28"/>
                <w:szCs w:val="28"/>
              </w:rPr>
              <w:t>区城市管理局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3" w:type="dxa"/>
            <w:bottom w:w="0" w:type="dxa"/>
            <w:right w:w="23" w:type="dxa"/>
          </w:tblCellMar>
        </w:tblPrEx>
        <w:trPr>
          <w:trHeight w:val="943" w:hRule="atLeast"/>
          <w:jc w:val="center"/>
        </w:trPr>
        <w:tc>
          <w:tcPr>
            <w:tcW w:w="700" w:type="dxa"/>
            <w:vMerge w:val="continue"/>
            <w:vAlign w:val="center"/>
          </w:tcPr>
          <w:p>
            <w:pPr>
              <w:pStyle w:val="27"/>
              <w:widowControl/>
              <w:rPr>
                <w:rFonts w:ascii="仿宋_GB2312" w:hAnsi="仿宋" w:cs="仿宋"/>
                <w:sz w:val="28"/>
                <w:szCs w:val="28"/>
              </w:rPr>
            </w:pPr>
          </w:p>
        </w:tc>
        <w:tc>
          <w:tcPr>
            <w:tcW w:w="451" w:type="dxa"/>
            <w:vAlign w:val="center"/>
          </w:tcPr>
          <w:p>
            <w:pPr>
              <w:pStyle w:val="27"/>
              <w:widowControl/>
              <w:rPr>
                <w:rFonts w:ascii="仿宋_GB2312" w:hAnsi="仿宋" w:cs="仿宋"/>
                <w:sz w:val="28"/>
                <w:szCs w:val="28"/>
              </w:rPr>
            </w:pPr>
            <w:r>
              <w:rPr>
                <w:rFonts w:hint="eastAsia" w:ascii="仿宋_GB2312" w:hAnsi="仿宋" w:cs="仿宋"/>
                <w:sz w:val="28"/>
                <w:szCs w:val="28"/>
              </w:rPr>
              <w:t>35</w:t>
            </w:r>
          </w:p>
        </w:tc>
        <w:tc>
          <w:tcPr>
            <w:tcW w:w="2236" w:type="dxa"/>
            <w:vAlign w:val="center"/>
          </w:tcPr>
          <w:p>
            <w:pPr>
              <w:pStyle w:val="27"/>
              <w:widowControl/>
              <w:rPr>
                <w:rFonts w:ascii="仿宋_GB2312" w:hAnsi="仿宋" w:cs="仿宋"/>
                <w:sz w:val="28"/>
                <w:szCs w:val="28"/>
              </w:rPr>
            </w:pPr>
            <w:r>
              <w:rPr>
                <w:rFonts w:hint="eastAsia" w:ascii="仿宋_GB2312" w:hAnsi="仿宋" w:cs="仿宋"/>
                <w:sz w:val="28"/>
                <w:szCs w:val="28"/>
              </w:rPr>
              <w:t>农业种养新模式</w:t>
            </w:r>
          </w:p>
        </w:tc>
        <w:tc>
          <w:tcPr>
            <w:tcW w:w="993" w:type="dxa"/>
            <w:vAlign w:val="center"/>
          </w:tcPr>
          <w:p>
            <w:pPr>
              <w:pStyle w:val="27"/>
              <w:widowControl/>
              <w:rPr>
                <w:rFonts w:ascii="仿宋_GB2312" w:hAnsi="仿宋" w:cs="仿宋"/>
                <w:sz w:val="28"/>
                <w:szCs w:val="28"/>
              </w:rPr>
            </w:pPr>
            <w:r>
              <w:rPr>
                <w:rFonts w:hint="eastAsia" w:ascii="仿宋_GB2312" w:hAnsi="仿宋" w:cs="仿宋"/>
                <w:sz w:val="28"/>
                <w:szCs w:val="28"/>
              </w:rPr>
              <w:t>/</w:t>
            </w:r>
          </w:p>
        </w:tc>
        <w:tc>
          <w:tcPr>
            <w:tcW w:w="4619" w:type="dxa"/>
            <w:gridSpan w:val="3"/>
            <w:vAlign w:val="center"/>
          </w:tcPr>
          <w:p>
            <w:pPr>
              <w:pStyle w:val="27"/>
              <w:widowControl/>
              <w:jc w:val="left"/>
              <w:rPr>
                <w:rFonts w:ascii="仿宋_GB2312" w:hAnsi="仿宋" w:cs="仿宋"/>
                <w:sz w:val="28"/>
                <w:szCs w:val="28"/>
              </w:rPr>
            </w:pPr>
            <w:r>
              <w:rPr>
                <w:rFonts w:hint="eastAsia" w:ascii="仿宋_GB2312" w:hAnsi="仿宋" w:cs="仿宋"/>
                <w:sz w:val="28"/>
                <w:szCs w:val="28"/>
              </w:rPr>
              <w:t>大力推动农业生态循环发展，利用鱼藕立体循环种养模式，促进农业生态环境的改善。</w:t>
            </w:r>
          </w:p>
        </w:tc>
        <w:tc>
          <w:tcPr>
            <w:tcW w:w="2232" w:type="dxa"/>
            <w:vAlign w:val="center"/>
          </w:tcPr>
          <w:p>
            <w:pPr>
              <w:pStyle w:val="27"/>
              <w:widowControl/>
              <w:jc w:val="left"/>
              <w:rPr>
                <w:rFonts w:ascii="仿宋_GB2312" w:hAnsi="仿宋" w:cs="仿宋"/>
                <w:sz w:val="28"/>
                <w:szCs w:val="28"/>
              </w:rPr>
            </w:pPr>
            <w:r>
              <w:rPr>
                <w:rFonts w:hint="eastAsia" w:ascii="仿宋_GB2312" w:hAnsi="仿宋" w:cs="仿宋"/>
                <w:sz w:val="28"/>
                <w:szCs w:val="28"/>
              </w:rPr>
              <w:t>推广鱼藕立体循环种养新模式</w:t>
            </w:r>
          </w:p>
        </w:tc>
        <w:tc>
          <w:tcPr>
            <w:tcW w:w="1224" w:type="dxa"/>
            <w:vAlign w:val="center"/>
          </w:tcPr>
          <w:p>
            <w:pPr>
              <w:pStyle w:val="27"/>
              <w:widowControl/>
              <w:rPr>
                <w:rFonts w:ascii="仿宋_GB2312" w:hAnsi="仿宋" w:cs="仿宋"/>
                <w:sz w:val="28"/>
                <w:szCs w:val="28"/>
              </w:rPr>
            </w:pPr>
            <w:r>
              <w:rPr>
                <w:rFonts w:hint="eastAsia" w:ascii="仿宋_GB2312" w:hAnsi="仿宋" w:cs="仿宋"/>
                <w:sz w:val="28"/>
                <w:szCs w:val="28"/>
              </w:rPr>
              <w:t>特色指标</w:t>
            </w:r>
          </w:p>
        </w:tc>
        <w:tc>
          <w:tcPr>
            <w:tcW w:w="960" w:type="dxa"/>
            <w:vAlign w:val="center"/>
          </w:tcPr>
          <w:p>
            <w:pPr>
              <w:pStyle w:val="27"/>
              <w:widowControl/>
              <w:rPr>
                <w:rFonts w:ascii="仿宋_GB2312" w:hAnsi="仿宋" w:cs="仿宋"/>
                <w:sz w:val="28"/>
                <w:szCs w:val="28"/>
              </w:rPr>
            </w:pPr>
            <w:r>
              <w:rPr>
                <w:rFonts w:hint="eastAsia" w:ascii="仿宋_GB2312" w:hAnsi="仿宋" w:cs="仿宋"/>
                <w:sz w:val="28"/>
                <w:szCs w:val="28"/>
              </w:rPr>
              <w:t>完成</w:t>
            </w:r>
          </w:p>
        </w:tc>
        <w:tc>
          <w:tcPr>
            <w:tcW w:w="1715" w:type="dxa"/>
            <w:vAlign w:val="center"/>
          </w:tcPr>
          <w:p>
            <w:pPr>
              <w:pStyle w:val="27"/>
              <w:widowControl/>
              <w:rPr>
                <w:rFonts w:ascii="仿宋_GB2312" w:hAnsi="仿宋" w:cs="仿宋"/>
                <w:sz w:val="28"/>
                <w:szCs w:val="28"/>
              </w:rPr>
            </w:pPr>
            <w:r>
              <w:rPr>
                <w:rFonts w:hint="eastAsia" w:ascii="仿宋_GB2312" w:hAnsi="仿宋" w:cs="仿宋"/>
                <w:sz w:val="28"/>
                <w:szCs w:val="28"/>
              </w:rPr>
              <w:t>区农业农村局</w:t>
            </w:r>
          </w:p>
        </w:tc>
      </w:tr>
    </w:tbl>
    <w:p>
      <w:pPr>
        <w:ind w:firstLine="640"/>
        <w:sectPr>
          <w:pgSz w:w="16838" w:h="11906" w:orient="landscape"/>
          <w:pgMar w:top="1588" w:right="1474" w:bottom="1361" w:left="1588" w:header="851" w:footer="992" w:gutter="0"/>
          <w:pgNumType w:fmt="numberInDash"/>
          <w:cols w:space="0" w:num="1"/>
          <w:docGrid w:type="lines" w:linePitch="436" w:charSpace="0"/>
        </w:sectPr>
      </w:pPr>
    </w:p>
    <w:p>
      <w:pPr>
        <w:pStyle w:val="4"/>
        <w:pageBreakBefore w:val="0"/>
        <w:widowControl w:val="0"/>
        <w:kinsoku/>
        <w:overflowPunct/>
        <w:autoSpaceDE/>
        <w:autoSpaceDN/>
        <w:bidi w:val="0"/>
        <w:spacing w:line="600" w:lineRule="exact"/>
        <w:ind w:firstLine="640"/>
        <w:textAlignment w:val="auto"/>
        <w:rPr>
          <w:rFonts w:ascii="楷体_GB2312" w:hAnsi="楷体" w:cs="楷体"/>
          <w:szCs w:val="32"/>
        </w:rPr>
      </w:pPr>
      <w:bookmarkStart w:id="45" w:name="_Toc152749945"/>
      <w:bookmarkStart w:id="46" w:name="_Toc12893"/>
      <w:r>
        <w:rPr>
          <w:rFonts w:hint="eastAsia" w:ascii="楷体_GB2312" w:hAnsi="楷体" w:cs="楷体"/>
          <w:szCs w:val="32"/>
        </w:rPr>
        <w:t>（三）政策依据</w:t>
      </w:r>
      <w:bookmarkEnd w:id="45"/>
      <w:bookmarkEnd w:id="46"/>
    </w:p>
    <w:p>
      <w:pPr>
        <w:pStyle w:val="7"/>
        <w:pageBreakBefore w:val="0"/>
        <w:widowControl w:val="0"/>
        <w:kinsoku/>
        <w:overflowPunct/>
        <w:autoSpaceDE/>
        <w:autoSpaceDN/>
        <w:bidi w:val="0"/>
        <w:spacing w:line="600" w:lineRule="exact"/>
        <w:textAlignment w:val="auto"/>
        <w:rPr>
          <w:rFonts w:ascii="楷体_GB2312" w:hAnsi="楷体" w:eastAsia="楷体_GB2312" w:cs="楷体"/>
          <w:szCs w:val="32"/>
        </w:rPr>
      </w:pPr>
      <w:r>
        <w:rPr>
          <w:rFonts w:hint="eastAsia" w:ascii="楷体_GB2312" w:hAnsi="楷体" w:eastAsia="楷体_GB2312" w:cs="楷体"/>
          <w:szCs w:val="32"/>
        </w:rPr>
        <w:t>1.国家层面</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（1）《中共中央、国务院关于完整准确全面贯彻新发展理念做好碳达峰碳中和工作的意见》（中发〔2021〕36号）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pacing w:val="-6"/>
          <w:szCs w:val="32"/>
        </w:rPr>
      </w:pPr>
      <w:r>
        <w:rPr>
          <w:rFonts w:hint="eastAsia" w:ascii="仿宋_GB2312" w:hAnsi="仿宋" w:cstheme="minorBidi"/>
          <w:szCs w:val="32"/>
        </w:rPr>
        <w:t>（2）《</w:t>
      </w:r>
      <w:r>
        <w:rPr>
          <w:rFonts w:hint="eastAsia" w:ascii="仿宋_GB2312" w:hAnsi="仿宋" w:cstheme="minorBidi"/>
          <w:spacing w:val="-6"/>
          <w:szCs w:val="32"/>
        </w:rPr>
        <w:t>2030年前碳达峰行动方案》（国发〔2021〕23号）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（3）《</w:t>
      </w:r>
      <w:r>
        <w:rPr>
          <w:rFonts w:hint="eastAsia" w:ascii="仿宋_GB2312" w:hAnsi="仿宋" w:cstheme="minorBidi"/>
          <w:spacing w:val="-17"/>
          <w:szCs w:val="32"/>
        </w:rPr>
        <w:t>“十四五”可再生能源发展规划》（发改能源〔2021〕</w:t>
      </w:r>
      <w:r>
        <w:rPr>
          <w:rFonts w:hint="eastAsia" w:ascii="仿宋_GB2312" w:hAnsi="仿宋" w:cstheme="minorBidi"/>
          <w:szCs w:val="32"/>
        </w:rPr>
        <w:t>1445号）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（4）《</w:t>
      </w:r>
      <w:r>
        <w:rPr>
          <w:rFonts w:hint="eastAsia" w:ascii="仿宋_GB2312" w:hAnsi="仿宋" w:cstheme="minorBidi"/>
          <w:spacing w:val="6"/>
          <w:szCs w:val="32"/>
        </w:rPr>
        <w:t>高耗能行业重点领域能效标杆水平和基准水平</w:t>
      </w:r>
      <w:r>
        <w:rPr>
          <w:rFonts w:hint="eastAsia" w:ascii="仿宋_GB2312" w:hAnsi="仿宋" w:cstheme="minorBidi"/>
          <w:szCs w:val="32"/>
        </w:rPr>
        <w:t>（2021年版）》（发改产业〔2021〕1609号）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（5）《</w:t>
      </w:r>
      <w:r>
        <w:rPr>
          <w:rFonts w:hint="eastAsia" w:ascii="仿宋_GB2312" w:hAnsi="仿宋" w:cstheme="minorBidi"/>
          <w:spacing w:val="-11"/>
          <w:szCs w:val="32"/>
        </w:rPr>
        <w:t>“十四五”现代能源体系规划》（发改能源〔2022〕</w:t>
      </w:r>
      <w:r>
        <w:rPr>
          <w:rFonts w:hint="eastAsia" w:ascii="仿宋_GB2312" w:hAnsi="仿宋" w:cstheme="minorBidi"/>
          <w:szCs w:val="32"/>
        </w:rPr>
        <w:t>210号）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（6）《减污降碳协同增效实施方案》（环综合〔2022〕42号）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（7）《高耗能行业重点领域节能降碳改造升级实施指南（2022年版）》（发改产业〔2022〕200号）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（8）《</w:t>
      </w:r>
      <w:r>
        <w:rPr>
          <w:rFonts w:hint="eastAsia" w:ascii="仿宋_GB2312" w:hAnsi="仿宋" w:cstheme="minorBidi"/>
          <w:spacing w:val="-11"/>
          <w:szCs w:val="32"/>
        </w:rPr>
        <w:t>“十四五”节能减排综合工作方案》（国发〔2021〕</w:t>
      </w:r>
      <w:r>
        <w:rPr>
          <w:rFonts w:hint="eastAsia" w:ascii="仿宋_GB2312" w:hAnsi="仿宋" w:cstheme="minorBidi"/>
          <w:szCs w:val="32"/>
        </w:rPr>
        <w:t>33号）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（9）《工业领域碳达峰实施方案》（工信部联节〔2022〕88号）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（10）《有色金属行业碳达峰实施方案》（工信部联原〔2022〕153号）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（11）《“</w:t>
      </w:r>
      <w:r>
        <w:rPr>
          <w:rFonts w:hint="eastAsia" w:ascii="仿宋_GB2312" w:hAnsi="仿宋" w:cstheme="minorBidi"/>
          <w:spacing w:val="-11"/>
          <w:szCs w:val="32"/>
        </w:rPr>
        <w:t>十四五”工业绿色发展规划》（工信部规〔2021〕</w:t>
      </w:r>
      <w:r>
        <w:rPr>
          <w:rFonts w:hint="eastAsia" w:ascii="仿宋_GB2312" w:hAnsi="仿宋" w:cstheme="minorBidi"/>
          <w:szCs w:val="32"/>
        </w:rPr>
        <w:t>178号）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（12）《关于“十四五”推动石化化工行业高质量发展的指导意见》（工信部联原〔2022〕34号）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（13）《关于促进钢铁工业高质量发展的指导意见》（工信部联原〔2022〕6号）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（14）《关于推动轻工业高质量发展的指导意见》（工信部联消费〔2022〕68号）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（15）《</w:t>
      </w:r>
      <w:r>
        <w:rPr>
          <w:rFonts w:hint="eastAsia" w:ascii="仿宋_GB2312" w:hAnsi="仿宋" w:cstheme="minorBidi"/>
          <w:spacing w:val="-11"/>
          <w:szCs w:val="32"/>
        </w:rPr>
        <w:t>建材行业碳达峰实施方案》（工信部联原〔2022〕</w:t>
      </w:r>
      <w:r>
        <w:rPr>
          <w:rFonts w:hint="eastAsia" w:ascii="仿宋_GB2312" w:hAnsi="仿宋" w:cstheme="minorBidi"/>
          <w:szCs w:val="32"/>
        </w:rPr>
        <w:t>149号）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（16）《城乡建设领域碳达峰实施方案》（建标〔2022〕53号）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（17）《</w:t>
      </w:r>
      <w:r>
        <w:rPr>
          <w:rFonts w:hint="eastAsia" w:ascii="仿宋_GB2312" w:hAnsi="仿宋" w:cstheme="minorBidi"/>
          <w:spacing w:val="-11"/>
          <w:szCs w:val="32"/>
        </w:rPr>
        <w:t>“十四五”建筑业发展规划的通知》（建市〔2022〕</w:t>
      </w:r>
      <w:r>
        <w:rPr>
          <w:rFonts w:hint="eastAsia" w:ascii="仿宋_GB2312" w:hAnsi="仿宋" w:cstheme="minorBidi"/>
          <w:szCs w:val="32"/>
        </w:rPr>
        <w:t>11号）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（18）《“十四五”建筑节能与绿色建筑发展规划》（建标〔2022〕24号）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（19）《“十四五”住房和城乡建设科技发展规划》（建标〔2022〕23号）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（20）《</w:t>
      </w:r>
      <w:r>
        <w:rPr>
          <w:rFonts w:hint="eastAsia" w:ascii="仿宋_GB2312" w:hAnsi="仿宋" w:cstheme="minorBidi"/>
          <w:spacing w:val="-11"/>
          <w:szCs w:val="32"/>
        </w:rPr>
        <w:t>农业农村减排固碳实施方案》（农科教发〔2022〕</w:t>
      </w:r>
      <w:r>
        <w:rPr>
          <w:rFonts w:hint="eastAsia" w:ascii="仿宋_GB2312" w:hAnsi="仿宋" w:cstheme="minorBidi"/>
          <w:szCs w:val="32"/>
        </w:rPr>
        <w:t>2号）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（21）《“十四五”推进农业农村现代化规划》（国发〔2021〕25号）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（22）《</w:t>
      </w:r>
      <w:r>
        <w:rPr>
          <w:rFonts w:hint="eastAsia" w:ascii="仿宋_GB2312" w:hAnsi="仿宋" w:cstheme="minorBidi"/>
          <w:spacing w:val="-11"/>
          <w:szCs w:val="32"/>
        </w:rPr>
        <w:t>绿色交通“十四五”发展规划》（交规划发〔2021〕</w:t>
      </w:r>
      <w:r>
        <w:rPr>
          <w:rFonts w:hint="eastAsia" w:ascii="仿宋_GB2312" w:hAnsi="仿宋" w:cstheme="minorBidi"/>
          <w:szCs w:val="32"/>
        </w:rPr>
        <w:t>104号）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（23）《“十四五”现代综合交通运输体系发展规划》（国发〔2021〕27号）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（24）《“</w:t>
      </w:r>
      <w:r>
        <w:rPr>
          <w:rFonts w:hint="eastAsia" w:ascii="仿宋_GB2312" w:hAnsi="仿宋" w:cstheme="minorBidi"/>
          <w:spacing w:val="-11"/>
          <w:szCs w:val="32"/>
        </w:rPr>
        <w:t>十四五”循环经济发展规划》（发改环资〔2021〕</w:t>
      </w:r>
      <w:r>
        <w:rPr>
          <w:rFonts w:hint="eastAsia" w:ascii="仿宋_GB2312" w:hAnsi="仿宋" w:cstheme="minorBidi"/>
          <w:szCs w:val="32"/>
        </w:rPr>
        <w:t>969号）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（25）《科技支撑碳达峰碳中和实施方案（2022—2030年）》（国科发社〔2022〕157号）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（26）《“十四五”能源领域科技创新规划》（国能发科技〔2021〕58号）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（27）《财政支持做好碳达峰碳中和工作的意见》（财资环〔2022〕53号）</w:t>
      </w:r>
    </w:p>
    <w:p>
      <w:pPr>
        <w:pStyle w:val="7"/>
        <w:pageBreakBefore w:val="0"/>
        <w:widowControl w:val="0"/>
        <w:kinsoku/>
        <w:overflowPunct/>
        <w:autoSpaceDE/>
        <w:autoSpaceDN/>
        <w:bidi w:val="0"/>
        <w:spacing w:line="600" w:lineRule="exact"/>
        <w:textAlignment w:val="auto"/>
        <w:rPr>
          <w:rFonts w:ascii="楷体_GB2312" w:hAnsi="楷体" w:eastAsia="楷体_GB2312" w:cs="楷体"/>
          <w:szCs w:val="32"/>
        </w:rPr>
      </w:pPr>
      <w:r>
        <w:rPr>
          <w:rFonts w:hint="eastAsia" w:ascii="楷体_GB2312" w:hAnsi="楷体" w:eastAsia="楷体_GB2312" w:cs="楷体"/>
          <w:szCs w:val="32"/>
        </w:rPr>
        <w:t>2.省级层面</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（1）《国务院关于支持山东深化新旧动能转换推动绿色低碳高质量发展的意见》（国发〔2022〕18号）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（2）《山东省建设绿色低碳高质量发展先行区三年行动计划（2023—2025年）》（鲁发〔2022〕19号）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pacing w:val="-11"/>
          <w:szCs w:val="32"/>
        </w:rPr>
      </w:pPr>
      <w:r>
        <w:rPr>
          <w:rFonts w:hint="eastAsia" w:ascii="仿宋_GB2312" w:hAnsi="仿宋" w:cstheme="minorBidi"/>
          <w:szCs w:val="32"/>
        </w:rPr>
        <w:t>（3）《</w:t>
      </w:r>
      <w:r>
        <w:rPr>
          <w:rFonts w:hint="eastAsia" w:ascii="仿宋_GB2312" w:hAnsi="仿宋" w:cstheme="minorBidi"/>
          <w:spacing w:val="-11"/>
          <w:szCs w:val="32"/>
        </w:rPr>
        <w:t>山东省碳达峰实施方案》（鲁政字〔2022〕242号）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（4）《</w:t>
      </w:r>
      <w:r>
        <w:rPr>
          <w:rFonts w:hint="eastAsia" w:ascii="仿宋_GB2312" w:hAnsi="仿宋" w:cstheme="minorBidi"/>
          <w:spacing w:val="6"/>
          <w:szCs w:val="32"/>
        </w:rPr>
        <w:t>山东省能源绿色低碳高质量发展三年行动计划</w:t>
      </w:r>
      <w:r>
        <w:rPr>
          <w:rFonts w:hint="eastAsia" w:ascii="仿宋_GB2312" w:hAnsi="仿宋" w:cstheme="minorBidi"/>
          <w:szCs w:val="32"/>
        </w:rPr>
        <w:t>（2023—2025年）》（鲁能源规划〔2023〕29号）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（5）《山东省“十四五”生态环境保护规划》（鲁政发〔2021〕12号）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（6）《</w:t>
      </w:r>
      <w:r>
        <w:rPr>
          <w:rFonts w:hint="eastAsia" w:ascii="仿宋_GB2312" w:hAnsi="仿宋" w:cstheme="minorBidi"/>
          <w:spacing w:val="-11"/>
          <w:szCs w:val="32"/>
        </w:rPr>
        <w:t>山东省能源发展“十四五”规划》（鲁政字〔2021〕</w:t>
      </w:r>
      <w:r>
        <w:rPr>
          <w:rFonts w:hint="eastAsia" w:ascii="仿宋_GB2312" w:hAnsi="仿宋" w:cstheme="minorBidi"/>
          <w:szCs w:val="32"/>
        </w:rPr>
        <w:t>143号）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（7）《山东省产品碳足迹评价工作方案（2023—2025年）》（鲁环发〔2023〕8号）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（8）《山东省近零碳城市、近零碳园区、近零碳社区示范创建实施方案》（鲁环发〔2023〕16号）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（9）《</w:t>
      </w:r>
      <w:r>
        <w:rPr>
          <w:rFonts w:hint="eastAsia" w:ascii="仿宋_GB2312" w:hAnsi="仿宋" w:cstheme="minorBidi"/>
          <w:spacing w:val="-11"/>
          <w:szCs w:val="32"/>
        </w:rPr>
        <w:t>山东省碳普惠体系建设工作方案》（鲁环发〔2023〕</w:t>
      </w:r>
      <w:r>
        <w:rPr>
          <w:rFonts w:hint="eastAsia" w:ascii="仿宋_GB2312" w:hAnsi="仿宋" w:cstheme="minorBidi"/>
          <w:szCs w:val="32"/>
        </w:rPr>
        <w:t>1号）</w:t>
      </w:r>
    </w:p>
    <w:p>
      <w:pPr>
        <w:pageBreakBefore w:val="0"/>
        <w:widowControl w:val="0"/>
        <w:kinsoku/>
        <w:overflowPunct/>
        <w:autoSpaceDE/>
        <w:autoSpaceDN/>
        <w:bidi w:val="0"/>
        <w:adjustRightInd/>
        <w:snapToGrid/>
        <w:spacing w:line="600" w:lineRule="exact"/>
        <w:ind w:firstLine="640"/>
        <w:contextualSpacing/>
        <w:textAlignment w:val="auto"/>
        <w:rPr>
          <w:rFonts w:ascii="楷体_GB2312" w:hAnsi="楷体" w:eastAsia="楷体_GB2312" w:cs="楷体"/>
          <w:szCs w:val="32"/>
        </w:rPr>
      </w:pPr>
      <w:r>
        <w:rPr>
          <w:rFonts w:hint="eastAsia" w:ascii="楷体_GB2312" w:hAnsi="楷体" w:eastAsia="楷体_GB2312" w:cs="楷体"/>
          <w:szCs w:val="32"/>
        </w:rPr>
        <w:t>3.市级层面</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（1）《济南市国民经济和社会发展第十四个五年规划和二〇三五年远景目标纲要》（济政发〔2021〕9号）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（2）《济南市碳达峰工作方案》（济政字〔2023〕36号）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（3）《济南市新能源高质量发展三年行动计划（2023—2025年）》（济发改能源〔2023〕136号）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（4）《济南市“十四五”生态环境保护规划》（济政字〔2021〕92号）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（5）《济南市“无废城市”建设实施方案（2022—2025年）》（济政字〔2022〕73号）</w:t>
      </w:r>
    </w:p>
    <w:p>
      <w:pPr>
        <w:pageBreakBefore w:val="0"/>
        <w:widowControl w:val="0"/>
        <w:kinsoku/>
        <w:overflowPunct/>
        <w:autoSpaceDE/>
        <w:autoSpaceDN/>
        <w:bidi w:val="0"/>
        <w:adjustRightInd/>
        <w:snapToGrid/>
        <w:spacing w:line="600" w:lineRule="exact"/>
        <w:ind w:firstLine="640"/>
        <w:contextualSpacing/>
        <w:textAlignment w:val="auto"/>
        <w:rPr>
          <w:rFonts w:ascii="楷体_GB2312" w:hAnsi="楷体" w:eastAsia="楷体_GB2312" w:cs="楷体"/>
          <w:szCs w:val="32"/>
        </w:rPr>
      </w:pPr>
      <w:r>
        <w:rPr>
          <w:rFonts w:hint="eastAsia" w:ascii="楷体_GB2312" w:hAnsi="楷体" w:eastAsia="楷体_GB2312" w:cs="楷体"/>
          <w:szCs w:val="32"/>
        </w:rPr>
        <w:t>4.区级层面</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（1）《济南市章丘区国民经济和社会发展第十四个五年规划和二〇三五年远景目标纲要》（章政发〔2021〕7号）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（2）《济南市章丘区“十四五”绿色低碳循环发展规划》（章政办字〔2022〕14号）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（3）《济南市章丘区“十四五”生态环境保护规划》（章政字〔2022〕96号）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（4）《济南市章丘区“十四五”节能减排工作实施方案》（章政字〔2023〕18号）</w:t>
      </w:r>
    </w:p>
    <w:p>
      <w:pPr>
        <w:pStyle w:val="7"/>
        <w:pageBreakBefore w:val="0"/>
        <w:widowControl w:val="0"/>
        <w:kinsoku/>
        <w:wordWrap w:val="0"/>
        <w:overflowPunct/>
        <w:topLinePunct/>
        <w:autoSpaceDE/>
        <w:autoSpaceDN/>
        <w:bidi w:val="0"/>
        <w:spacing w:line="600" w:lineRule="exact"/>
        <w:textAlignment w:val="auto"/>
        <w:rPr>
          <w:rFonts w:ascii="仿宋_GB2312" w:hAnsi="仿宋" w:cstheme="minorBidi"/>
          <w:szCs w:val="32"/>
        </w:rPr>
      </w:pPr>
      <w:r>
        <w:rPr>
          <w:rFonts w:hint="eastAsia" w:ascii="仿宋_GB2312" w:hAnsi="仿宋" w:cstheme="minorBidi"/>
          <w:szCs w:val="32"/>
        </w:rPr>
        <w:t>（5）《济南市章丘区碳达峰实施方案》（章政字〔2023〕58号）</w:t>
      </w:r>
    </w:p>
    <w:p>
      <w:pPr>
        <w:pStyle w:val="4"/>
        <w:pageBreakBefore w:val="0"/>
        <w:widowControl w:val="0"/>
        <w:kinsoku/>
        <w:overflowPunct/>
        <w:autoSpaceDE/>
        <w:autoSpaceDN/>
        <w:bidi w:val="0"/>
        <w:spacing w:line="600" w:lineRule="exact"/>
        <w:ind w:firstLine="640"/>
        <w:textAlignment w:val="auto"/>
        <w:rPr>
          <w:rFonts w:ascii="楷体_GB2312" w:hAnsi="楷体" w:cs="楷体"/>
          <w:szCs w:val="32"/>
        </w:rPr>
      </w:pPr>
      <w:bookmarkStart w:id="47" w:name="_Toc152749946"/>
      <w:bookmarkStart w:id="48" w:name="_Toc16823"/>
      <w:bookmarkStart w:id="49" w:name="_Hlk152160185"/>
      <w:r>
        <w:rPr>
          <w:rFonts w:hint="eastAsia" w:ascii="楷体_GB2312" w:hAnsi="楷体" w:cs="楷体"/>
          <w:szCs w:val="32"/>
        </w:rPr>
        <w:t>（四）特色指标</w:t>
      </w:r>
      <w:bookmarkEnd w:id="47"/>
      <w:bookmarkEnd w:id="48"/>
    </w:p>
    <w:p>
      <w:pPr>
        <w:pageBreakBefore w:val="0"/>
        <w:widowControl w:val="0"/>
        <w:kinsoku/>
        <w:overflowPunct/>
        <w:autoSpaceDE/>
        <w:autoSpaceDN/>
        <w:bidi w:val="0"/>
        <w:adjustRightInd/>
        <w:snapToGrid/>
        <w:spacing w:line="600" w:lineRule="exact"/>
        <w:ind w:firstLine="640"/>
        <w:contextualSpacing/>
        <w:textAlignment w:val="auto"/>
        <w:rPr>
          <w:rFonts w:ascii="楷体_GB2312" w:hAnsi="楷体" w:eastAsia="楷体_GB2312" w:cs="楷体"/>
          <w:szCs w:val="32"/>
        </w:rPr>
      </w:pPr>
      <w:r>
        <w:rPr>
          <w:rFonts w:hint="eastAsia" w:ascii="楷体_GB2312" w:hAnsi="楷体" w:eastAsia="楷体_GB2312" w:cs="楷体"/>
          <w:szCs w:val="32"/>
        </w:rPr>
        <w:t>1.率先开展碳捕集和碳利用</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仿宋_GB2312" w:hAnsi="仿宋" w:cstheme="minorBidi"/>
          <w:szCs w:val="32"/>
        </w:rPr>
        <w:t>两家氮肥制造企业可开展碳捕集和碳利用。一企业利用系统中副产的二氧化碳气体经过提纯、液化等工段生产液体二氧化碳，设计产能24万吨/年，产品产出后主要外卖工业企业。另一家企业将变化合成气中二氧化碳进行捕集、提纯后用于生产尿素。我区实现上游碳捕集，打通了固碳端的核心环节，在碳捕集利用与封存领域蹚出一条创新路。</w:t>
      </w:r>
    </w:p>
    <w:p>
      <w:pPr>
        <w:pageBreakBefore w:val="0"/>
        <w:widowControl w:val="0"/>
        <w:kinsoku/>
        <w:overflowPunct/>
        <w:autoSpaceDE/>
        <w:autoSpaceDN/>
        <w:bidi w:val="0"/>
        <w:adjustRightInd/>
        <w:snapToGrid/>
        <w:spacing w:line="600" w:lineRule="exact"/>
        <w:ind w:firstLine="640"/>
        <w:contextualSpacing/>
        <w:textAlignment w:val="auto"/>
        <w:rPr>
          <w:rFonts w:ascii="楷体_GB2312" w:hAnsi="楷体" w:eastAsia="楷体_GB2312" w:cs="楷体"/>
          <w:szCs w:val="32"/>
          <w:lang w:eastAsia="zh-TW"/>
        </w:rPr>
      </w:pPr>
      <w:r>
        <w:rPr>
          <w:rFonts w:hint="eastAsia" w:ascii="楷体_GB2312" w:hAnsi="楷体" w:eastAsia="楷体_GB2312" w:cs="楷体"/>
          <w:szCs w:val="32"/>
        </w:rPr>
        <w:t>2.实现固体废物处理方式多样化</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仿宋_GB2312" w:hAnsi="仿宋" w:cstheme="minorBidi"/>
          <w:szCs w:val="32"/>
        </w:rPr>
        <w:t>在全国率先开展城乡环卫一体化工作，推进了固体废物回收站点、分拣中心建设，拥有建筑垃圾、餐厨垃圾、生活垃圾、污泥、危险废物处理等基础设施。可实现日处理生活垃圾2800吨、餐厨垃圾150吨、污泥200吨，年处理危险废物2.5万吨，建筑垃圾综合利用量不断增长。</w:t>
      </w:r>
    </w:p>
    <w:p>
      <w:pPr>
        <w:pageBreakBefore w:val="0"/>
        <w:widowControl w:val="0"/>
        <w:kinsoku/>
        <w:overflowPunct/>
        <w:autoSpaceDE/>
        <w:autoSpaceDN/>
        <w:bidi w:val="0"/>
        <w:adjustRightInd/>
        <w:snapToGrid/>
        <w:spacing w:line="600" w:lineRule="exact"/>
        <w:ind w:firstLine="640"/>
        <w:contextualSpacing/>
        <w:textAlignment w:val="auto"/>
        <w:rPr>
          <w:rFonts w:ascii="楷体_GB2312" w:hAnsi="楷体" w:eastAsia="楷体_GB2312" w:cs="楷体"/>
          <w:szCs w:val="32"/>
        </w:rPr>
      </w:pPr>
      <w:r>
        <w:rPr>
          <w:rFonts w:hint="eastAsia" w:ascii="楷体_GB2312" w:hAnsi="楷体" w:eastAsia="楷体_GB2312" w:cs="楷体"/>
          <w:szCs w:val="32"/>
        </w:rPr>
        <w:t>3.鱼藕立体循环种养新模式</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仿宋_GB2312" w:hAnsi="仿宋" w:cstheme="minorBidi"/>
          <w:szCs w:val="32"/>
        </w:rPr>
        <w:t>大力推动农业生态循环发展，利用鱼藕立体循环种养模式，促进农业生态环境的改善，提高农田特别是低洼地农田的利用率，该项目由桃花山新村建设，开发在藕田里套养鱼的种养混作模式。鱼吃食后产生的大量排泄物经分解、矿化后作为肥料供莲藕吸收利用，促进莲藕的生长，同时减少了水质恶化对鱼造成的毒害，促使鱼健康快速生长；鱼的潜底及钻泥等活动，起到了持续中耕、松土的作用，有利于莲藕生长，实现年产值1000万元</w:t>
      </w:r>
      <w:bookmarkEnd w:id="49"/>
      <w:bookmarkStart w:id="50" w:name="_Toc13464"/>
      <w:bookmarkStart w:id="51" w:name="_Toc11520"/>
      <w:r>
        <w:rPr>
          <w:rFonts w:hint="eastAsia" w:ascii="仿宋_GB2312" w:hAnsi="仿宋" w:cstheme="minorBidi"/>
          <w:szCs w:val="32"/>
        </w:rPr>
        <w:t>。</w:t>
      </w:r>
    </w:p>
    <w:bookmarkEnd w:id="50"/>
    <w:bookmarkEnd w:id="51"/>
    <w:p>
      <w:pPr>
        <w:pageBreakBefore w:val="0"/>
        <w:widowControl w:val="0"/>
        <w:kinsoku/>
        <w:overflowPunct/>
        <w:autoSpaceDE/>
        <w:autoSpaceDN/>
        <w:bidi w:val="0"/>
        <w:adjustRightInd/>
        <w:snapToGrid/>
        <w:spacing w:line="600" w:lineRule="exact"/>
        <w:ind w:firstLine="640"/>
        <w:contextualSpacing/>
        <w:textAlignment w:val="auto"/>
        <w:rPr>
          <w:rFonts w:ascii="黑体" w:hAnsi="黑体" w:eastAsia="黑体" w:cs="黑体"/>
          <w:szCs w:val="32"/>
        </w:rPr>
      </w:pPr>
      <w:bookmarkStart w:id="52" w:name="_Toc19874"/>
      <w:bookmarkStart w:id="53" w:name="_Toc152749947"/>
      <w:bookmarkStart w:id="54" w:name="_Toc11834"/>
      <w:r>
        <w:rPr>
          <w:rFonts w:hint="eastAsia" w:ascii="黑体" w:hAnsi="黑体" w:eastAsia="黑体" w:cs="黑体"/>
          <w:szCs w:val="32"/>
        </w:rPr>
        <w:t>四、重点任务</w:t>
      </w:r>
      <w:bookmarkEnd w:id="52"/>
      <w:bookmarkEnd w:id="53"/>
      <w:bookmarkEnd w:id="54"/>
    </w:p>
    <w:p>
      <w:pPr>
        <w:pStyle w:val="4"/>
        <w:pageBreakBefore w:val="0"/>
        <w:widowControl w:val="0"/>
        <w:kinsoku/>
        <w:overflowPunct/>
        <w:autoSpaceDE/>
        <w:autoSpaceDN/>
        <w:bidi w:val="0"/>
        <w:spacing w:line="600" w:lineRule="exact"/>
        <w:ind w:firstLine="640"/>
        <w:textAlignment w:val="auto"/>
        <w:rPr>
          <w:rFonts w:ascii="楷体_GB2312" w:hAnsi="楷体" w:cs="楷体"/>
          <w:szCs w:val="32"/>
        </w:rPr>
      </w:pPr>
      <w:bookmarkStart w:id="55" w:name="_Toc27695"/>
      <w:bookmarkStart w:id="56" w:name="_Toc152749948"/>
      <w:bookmarkStart w:id="57" w:name="_Toc2092"/>
      <w:r>
        <w:rPr>
          <w:rFonts w:hint="eastAsia" w:ascii="楷体_GB2312" w:hAnsi="楷体" w:cs="楷体"/>
          <w:szCs w:val="32"/>
        </w:rPr>
        <w:t>（一）</w:t>
      </w:r>
      <w:bookmarkEnd w:id="55"/>
      <w:r>
        <w:rPr>
          <w:rFonts w:hint="eastAsia" w:ascii="楷体_GB2312" w:hAnsi="楷体" w:cs="楷体"/>
          <w:szCs w:val="32"/>
        </w:rPr>
        <w:t>建立健全低碳管理体系</w:t>
      </w:r>
      <w:bookmarkEnd w:id="56"/>
      <w:bookmarkEnd w:id="57"/>
    </w:p>
    <w:p>
      <w:pPr>
        <w:pageBreakBefore w:val="0"/>
        <w:widowControl w:val="0"/>
        <w:kinsoku/>
        <w:overflowPunct/>
        <w:autoSpaceDE/>
        <w:autoSpaceDN/>
        <w:bidi w:val="0"/>
        <w:adjustRightInd/>
        <w:snapToGrid/>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1.积极开展碳排放达峰行动。</w:t>
      </w:r>
      <w:r>
        <w:rPr>
          <w:rFonts w:hint="eastAsia" w:ascii="仿宋_GB2312" w:hAnsi="仿宋" w:cstheme="minorBidi"/>
          <w:szCs w:val="32"/>
        </w:rPr>
        <w:t>紧盯碳达峰、碳中和目标，根据省、市制定的二氧化碳排放达峰行动方案，鼓励能源、工业、建筑等领域制定碳达峰专项行动方案。探索实施以碳排放强度控制为主、碳排放总量控制为辅的“双控”制度，完成省市下达的目标任务。加强政产学研金服用七位一体协作攻关，推动建材、化工、电力等重点行业尽早实现二氧化碳排放达峰。到2025年，二氧化碳排放总量、人均二氧化碳排放较2020年下降；单位地区生产总值二氧化碳排放较2020年下降20.5%。</w:t>
      </w:r>
    </w:p>
    <w:p>
      <w:pPr>
        <w:pageBreakBefore w:val="0"/>
        <w:widowControl w:val="0"/>
        <w:kinsoku/>
        <w:overflowPunct/>
        <w:autoSpaceDE/>
        <w:autoSpaceDN/>
        <w:bidi w:val="0"/>
        <w:adjustRightInd/>
        <w:snapToGrid/>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2.控制温室气体排放。</w:t>
      </w:r>
      <w:r>
        <w:rPr>
          <w:rFonts w:hint="eastAsia" w:ascii="仿宋_GB2312" w:hAnsi="仿宋" w:cstheme="minorBidi"/>
          <w:szCs w:val="32"/>
        </w:rPr>
        <w:t>重点控制工业、交通、建筑等领域二氧化碳排放。升级工业技术，推广水泥生产原料替代技术，鼓励利用转炉渣等非碳酸盐工业固体废物作为原辅料生产水泥。大力推进现代综合交通运输体系建设，优化交通出行方式，改善交通用能结构，鼓励使用节能、清洁能源和新能源运输工具。全面推行绿色建筑，推进既有建筑节能改造，大力发展装配式建筑。积极发展超低能耗、近零能耗建筑，推广绿色建材，完善技术标准和评价指标体系。</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3.积极参与全国碳排放权交易市场建设。</w:t>
      </w:r>
      <w:r>
        <w:rPr>
          <w:rFonts w:hint="eastAsia" w:ascii="仿宋_GB2312" w:hAnsi="仿宋" w:cstheme="minorBidi"/>
          <w:szCs w:val="32"/>
        </w:rPr>
        <w:t>按照国家统一部署，积极推进水泥、电解铝等行业企业进入全国碳放权交易市场。按照省、市部署，发电行业率先启动上线交易并实现强制履约，在企业年度排放量大于2.6万吨二氧化碳当量（综合能源消费量达到1万吨标煤）的基础上，摸底化石能源消费量大于2000吨标煤的企业名单。到2025年，按照省、市节点，配合做好全区9家重点排放单位温室气体排放报告核查工作，完成4家发电行业碳排放配额清缴履约工作。</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4.积极参与碳普惠建设。</w:t>
      </w:r>
      <w:r>
        <w:rPr>
          <w:rFonts w:hint="eastAsia" w:ascii="仿宋_GB2312" w:hAnsi="仿宋" w:cstheme="minorBidi"/>
          <w:szCs w:val="32"/>
        </w:rPr>
        <w:t>根据全省统一的碳普惠方法学核算规则，配合省级技术机构开展对空气源热泵、节能空调、屋顶光伏等碳普惠方法学研究，鼓励中小微企业、居民生活等行为按照方法学进行减排量核算与摸底，将形成的减排量支配权保留在生态环境部门，用于支持区域内高新技术产业建设，降低企业低碳产业链的减排成本。定期开展碳普惠活动，组织公众参与低碳出行、旧衣物回收等活动，同时向公众普及自行车骑行、废旧衣物再利用等已有方法学，强化公众对碳普惠的意识。联合高德、百度、共享单车等，拓展碳普惠积分消纳渠道，逐渐形成政府引导-市场驱动-公众参与的良好格局，建立碳普惠长效工作机制。到2025年底，至少搭建完成2个碳普惠应用场景。</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5.支持使用绿色金融与专项资金。</w:t>
      </w:r>
      <w:r>
        <w:rPr>
          <w:rFonts w:hint="eastAsia" w:ascii="仿宋_GB2312" w:hAnsi="仿宋" w:cstheme="minorBidi"/>
          <w:szCs w:val="32"/>
        </w:rPr>
        <w:t>开发绿色金融支持工具，鼓励金融机构开展绿色信贷、绿色债券、绿色保险、环境权益抵质押融资等业务，加大对节能环保、基础设施绿色升级等领域的金融支持，重点支持绿色低碳新技术、新产品推广应用及环保节能产业发展。推动各类公共服务领域的绿色项目资产证券化，引入社会资本。开展绿色金融相关能力培训，对绿色金融与专项资金进行政策宣贯，为企业发展绿色金融业务提供有力支持。到2025年，使用绿色金融工具与专项资金支持低碳项目建设。</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6.推动温室气体清单编制工作。</w:t>
      </w:r>
      <w:r>
        <w:rPr>
          <w:rFonts w:hint="eastAsia" w:ascii="仿宋_GB2312" w:hAnsi="仿宋" w:cstheme="minorBidi"/>
          <w:szCs w:val="32"/>
        </w:rPr>
        <w:t>根据国家、省、市要求，为了摸清全区温室气体排放底数，启动章丘区温室气体清单编制工作。清单编制针对二氧化碳</w:t>
      </w:r>
      <w:r>
        <w:rPr>
          <w:rFonts w:hint="eastAsia" w:ascii="仿宋_GB2312" w:hAnsi="仿宋" w:cstheme="minorBidi"/>
          <w:spacing w:val="-6"/>
          <w:szCs w:val="32"/>
        </w:rPr>
        <w:t>（CO</w:t>
      </w:r>
      <w:r>
        <w:rPr>
          <w:rFonts w:hint="eastAsia" w:ascii="仿宋_GB2312" w:hAnsi="仿宋" w:cstheme="minorBidi"/>
          <w:spacing w:val="-6"/>
          <w:szCs w:val="32"/>
          <w:vertAlign w:val="subscript"/>
        </w:rPr>
        <w:t>2</w:t>
      </w:r>
      <w:r>
        <w:rPr>
          <w:rFonts w:hint="eastAsia" w:ascii="仿宋_GB2312" w:hAnsi="仿宋" w:cstheme="minorBidi"/>
          <w:spacing w:val="-6"/>
          <w:szCs w:val="32"/>
        </w:rPr>
        <w:t>）、甲烷（CH</w:t>
      </w:r>
      <w:r>
        <w:rPr>
          <w:rFonts w:hint="eastAsia" w:ascii="仿宋_GB2312" w:hAnsi="仿宋" w:cstheme="minorBidi"/>
          <w:spacing w:val="-6"/>
          <w:szCs w:val="32"/>
          <w:vertAlign w:val="subscript"/>
        </w:rPr>
        <w:t>4</w:t>
      </w:r>
      <w:r>
        <w:rPr>
          <w:rFonts w:hint="eastAsia" w:ascii="仿宋_GB2312" w:hAnsi="仿宋" w:cstheme="minorBidi"/>
          <w:spacing w:val="-6"/>
          <w:szCs w:val="32"/>
        </w:rPr>
        <w:t>）</w:t>
      </w:r>
      <w:r>
        <w:rPr>
          <w:rFonts w:hint="eastAsia" w:ascii="仿宋_GB2312" w:hAnsi="仿宋" w:cstheme="minorBidi"/>
          <w:spacing w:val="-20"/>
          <w:szCs w:val="32"/>
        </w:rPr>
        <w:t>、</w:t>
      </w:r>
      <w:r>
        <w:rPr>
          <w:rFonts w:hint="eastAsia" w:ascii="仿宋_GB2312" w:hAnsi="仿宋" w:cstheme="minorBidi"/>
          <w:szCs w:val="32"/>
        </w:rPr>
        <w:t>氧化亚氮（N</w:t>
      </w:r>
      <w:r>
        <w:rPr>
          <w:rFonts w:hint="eastAsia" w:ascii="仿宋_GB2312" w:hAnsi="仿宋" w:cstheme="minorBidi"/>
          <w:szCs w:val="32"/>
          <w:vertAlign w:val="subscript"/>
        </w:rPr>
        <w:t>2</w:t>
      </w:r>
      <w:r>
        <w:rPr>
          <w:rFonts w:hint="eastAsia" w:ascii="仿宋_GB2312" w:hAnsi="仿宋" w:cstheme="minorBidi"/>
          <w:szCs w:val="32"/>
        </w:rPr>
        <w:t>O）、氢氟碳化合物（HFCs）、全氟碳化合物（PFCs）、六氟化硫（SF</w:t>
      </w:r>
      <w:r>
        <w:rPr>
          <w:rFonts w:hint="eastAsia" w:ascii="仿宋_GB2312" w:hAnsi="仿宋" w:cstheme="minorBidi"/>
          <w:szCs w:val="32"/>
          <w:vertAlign w:val="subscript"/>
        </w:rPr>
        <w:t>6</w:t>
      </w:r>
      <w:r>
        <w:rPr>
          <w:rFonts w:hint="eastAsia" w:ascii="仿宋_GB2312" w:hAnsi="仿宋" w:cstheme="minorBidi"/>
          <w:szCs w:val="32"/>
        </w:rPr>
        <w:t>）和三氟化氮（NF</w:t>
      </w:r>
      <w:r>
        <w:rPr>
          <w:rFonts w:hint="eastAsia" w:ascii="仿宋_GB2312" w:hAnsi="仿宋" w:cstheme="minorBidi"/>
          <w:szCs w:val="32"/>
          <w:vertAlign w:val="subscript"/>
        </w:rPr>
        <w:t>3</w:t>
      </w:r>
      <w:r>
        <w:rPr>
          <w:rFonts w:hint="eastAsia" w:ascii="仿宋_GB2312" w:hAnsi="仿宋" w:cstheme="minorBidi"/>
          <w:szCs w:val="32"/>
        </w:rPr>
        <w:t>）共七种温室气体，涵盖能源活动、工业生产过程、农业、土地利用变化和林业、废弃物处理五大领域。根据方法学要求，核算区域内化石燃料燃烧活动、工业生产、生活污水处理等温室气体排放，确保清单来源可靠、全面准确、完整规范。2024年完成全区的温室气体清单编制。</w:t>
      </w:r>
      <w:bookmarkStart w:id="58" w:name="_Toc3671"/>
      <w:bookmarkStart w:id="59" w:name="_Toc27037"/>
      <w:bookmarkStart w:id="60" w:name="_Toc152749949"/>
    </w:p>
    <w:p>
      <w:pPr>
        <w:pageBreakBefore w:val="0"/>
        <w:widowControl w:val="0"/>
        <w:kinsoku/>
        <w:overflowPunct/>
        <w:autoSpaceDE/>
        <w:autoSpaceDN/>
        <w:bidi w:val="0"/>
        <w:spacing w:line="600" w:lineRule="exact"/>
        <w:ind w:firstLine="640"/>
        <w:textAlignment w:val="auto"/>
        <w:rPr>
          <w:rFonts w:ascii="楷体_GB2312" w:hAnsi="楷体" w:cs="楷体"/>
          <w:szCs w:val="32"/>
        </w:rPr>
      </w:pPr>
      <w:r>
        <w:rPr>
          <w:rFonts w:hint="eastAsia" w:ascii="楷体_GB2312" w:hAnsi="楷体" w:eastAsia="楷体_GB2312" w:cs="楷体"/>
          <w:szCs w:val="32"/>
        </w:rPr>
        <w:t>（二）优化调整低碳能源结构</w:t>
      </w:r>
      <w:bookmarkEnd w:id="58"/>
      <w:bookmarkEnd w:id="59"/>
      <w:bookmarkEnd w:id="60"/>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1.严控能源消费总量。</w:t>
      </w:r>
      <w:r>
        <w:rPr>
          <w:rFonts w:hint="eastAsia" w:ascii="仿宋_GB2312" w:hAnsi="仿宋" w:cstheme="minorBidi"/>
          <w:szCs w:val="32"/>
        </w:rPr>
        <w:t>持续推进全区规模以上工业企业煤炭消费总量压减工作，增加清洁能源供给，加大清洁能源替代力度，进一步控制化石能源消费，逐步实现新增能源需求主要由清洁能源供给。合理控制煤电建设规模，基本完成低效小热电机组（含自备电厂）关停整合（30万千瓦及以上热电联产电厂30公里供热半径范围内），优化提升自备燃煤热电机组，新增用电量主要依靠非化石能源发电和外输电</w:t>
      </w:r>
      <w:r>
        <w:rPr>
          <w:rFonts w:hint="eastAsia" w:ascii="仿宋_GB2312" w:hAnsi="仿宋" w:cstheme="minorBidi"/>
          <w:spacing w:val="-6"/>
          <w:szCs w:val="32"/>
        </w:rPr>
        <w:t>满足。到2025年，化石能源消费总量完成上级下达目标任务。</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2.加快非化石能源开发利用。</w:t>
      </w:r>
      <w:r>
        <w:rPr>
          <w:rFonts w:hint="eastAsia" w:ascii="仿宋_GB2312" w:hAnsi="仿宋" w:cstheme="minorBidi"/>
          <w:szCs w:val="32"/>
        </w:rPr>
        <w:t>实施可再生能源倍增行动，大力推动太阳能、生物质能、地热能等可再生能源发展和储能设施建设，实施光伏跨越发展工程，有序推进一批“光伏+”集中式电站建设。鼓励发展生物质热电联产，结合供暖需求，积极推进现有电厂和生物质电厂开展供暖改造。统筹可再生能源与乡村振兴融合发展，推进“百乡千村”绿色能源发展行动，提升非化石能源供给保障能力，增加农村清洁能源供应。到2025年，完成上级下达目标；全区新能源和可再生能源装机力争达到60万千瓦左右；规模以上工业企业可再生能源利用比例较2020年上升。</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3.加强智慧能源体系建设。</w:t>
      </w:r>
      <w:r>
        <w:rPr>
          <w:rFonts w:hint="eastAsia" w:ascii="仿宋_GB2312" w:hAnsi="仿宋" w:cstheme="minorBidi"/>
          <w:szCs w:val="32"/>
        </w:rPr>
        <w:t>加快信息技术和传统能源生产领域融合发展，加强人工智能、5G、云计算、区块链、物联网、大数据等新技术在能源领域的推广应用。积极开展煤矿、电厂、电网、油气管网等智能化改造升级，拓展一批智慧能源典型应用场景，开展一批技术先进、推广性强的新型电力系统建设示范试点。加快推进能源信息化建设，建设智慧能源互联网平台，推动重点能耗企业完成能耗在线监测建设，促进各类数据资源整合和共享。</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4.发展绿色低碳能源。</w:t>
      </w:r>
      <w:r>
        <w:t>统</w:t>
      </w:r>
      <w:r>
        <w:rPr>
          <w:rFonts w:hint="eastAsia" w:ascii="仿宋_GB2312" w:hAnsi="仿宋" w:cstheme="minorBidi"/>
          <w:szCs w:val="32"/>
        </w:rPr>
        <w:t>筹推进制、储（运）、加、用氢能全链条发展。实施“氢进万家”科技示范工程建设，加快氢能在交通、工业等多领域全场景示范推广应用。加快推进一批新型储能电站项目建设，开展氢能储能和飞轮储能研究和示范应用，推动新型储能与新能源、常规电源协同优化运行。推进能源低碳化转型，推动章青线天然气管道等油气管网基础设施建设，积极开拓天然气气源，增加全区气源保障供应。到2025年，全区管道气源供应能力达3.59亿立方米以上，总储气能力达1780万立方米（标准气态）。</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5.加快工业低温余热回收利用。</w:t>
      </w:r>
      <w:r>
        <w:rPr>
          <w:rFonts w:hint="eastAsia" w:ascii="仿宋_GB2312" w:hAnsi="仿宋" w:cstheme="minorBidi"/>
          <w:szCs w:val="32"/>
        </w:rPr>
        <w:t>完善政府负责管网建设、专业公司负责运营、热源市场竞价入网机制，畅通工业余热入网渠道。充分挖掘化工、污水处理等行业余热潜能，积极推进产业园区余热梯级利用，鼓励发展工业低品位余热与热泵相结合的供热方式，实现低品位余热资源高效采集。鼓励利用高效换热器、热泵等先进节能技术，从源头减少余热资源损失，探索全流程工业余热回收模式，实现余热应用尽用。</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6.持续推进能源电网建设。</w:t>
      </w:r>
      <w:r>
        <w:rPr>
          <w:rFonts w:hint="eastAsia" w:ascii="仿宋_GB2312" w:hAnsi="仿宋" w:cstheme="minorBidi"/>
          <w:szCs w:val="32"/>
        </w:rPr>
        <w:t>大力推进“外电入济”，持续提高接受外电能力。整体优化输电网络和电力系统运行，提升对可再生能源电力的输送和消纳能力，加快传统电网向能源互联网转型升级。聚焦整县（区）分布式光伏规模化开发，实施城乡电网基础设施智能化改造升级，大力推进高比例容纳分布式新能源电力的智能配电网建设，确保新能源电力应接尽接。强化以电为核心的能源需求侧管理，合理引导区域电力需求，提升电网调峰、调频、需求响应能力。</w:t>
      </w:r>
    </w:p>
    <w:p>
      <w:pPr>
        <w:pStyle w:val="4"/>
        <w:pageBreakBefore w:val="0"/>
        <w:widowControl w:val="0"/>
        <w:kinsoku/>
        <w:overflowPunct/>
        <w:autoSpaceDE/>
        <w:autoSpaceDN/>
        <w:bidi w:val="0"/>
        <w:spacing w:line="600" w:lineRule="exact"/>
        <w:ind w:firstLine="640"/>
        <w:textAlignment w:val="auto"/>
        <w:rPr>
          <w:rFonts w:ascii="楷体_GB2312" w:hAnsi="楷体" w:cs="楷体"/>
          <w:szCs w:val="32"/>
        </w:rPr>
      </w:pPr>
      <w:bookmarkStart w:id="61" w:name="_Toc10366"/>
      <w:bookmarkStart w:id="62" w:name="_Toc152749950"/>
      <w:bookmarkStart w:id="63" w:name="_Toc5828"/>
      <w:r>
        <w:rPr>
          <w:rFonts w:hint="eastAsia" w:ascii="楷体_GB2312" w:hAnsi="楷体" w:cs="楷体"/>
          <w:szCs w:val="32"/>
        </w:rPr>
        <w:t>（三）深入推进产业绿色低碳发展</w:t>
      </w:r>
      <w:bookmarkEnd w:id="61"/>
      <w:bookmarkEnd w:id="62"/>
      <w:bookmarkEnd w:id="63"/>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1.坚决遏制高耗能高排放低水平项目盲目发展。</w:t>
      </w:r>
      <w:r>
        <w:rPr>
          <w:rFonts w:hint="eastAsia" w:ascii="仿宋_GB2312" w:hAnsi="仿宋" w:cstheme="minorBidi"/>
          <w:szCs w:val="32"/>
        </w:rPr>
        <w:t>强化“两高”行业监督管理，建立“两高”项目清单，坚持四个区分、四类处置方式，明确处置意见，实施动态管理。新上“两高”项目严格落实产能、煤耗、能耗、碳排放和污染物排放“五个替代”要求，新（改、扩）建项目要减量替代、减量运行。落实上级部门建立统一的高耗能行业阶梯电价制度，全面清理整顿“两高”项目优惠电价。根据省、市部署，及时核定腾退“两高”项目的碳排放量。到2025年底，建立完善“两高”项目碳排放指标管理台账。</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2.严格落实新建“两高”项目减量替代政策。</w:t>
      </w:r>
      <w:r>
        <w:rPr>
          <w:rFonts w:hint="eastAsia" w:ascii="仿宋_GB2312" w:hAnsi="仿宋" w:cstheme="minorBidi"/>
          <w:szCs w:val="32"/>
        </w:rPr>
        <w:t>根据《山东省高耗能高排放建设项目碳排放减量替代办法（试行）》要求，确保我区“两高”项目碳排放总量只减不增，将碳排放控制从末端移到前端，确保在“两高”项目建设的环评入口明确减量替代比例，从“两高”行业源头控制，严把新上项目的碳排放关，深入挖掘碳排放替代源，实行碳排放指标的收集、储存和调配，建立并动态更新全区碳排放指标台账，盘活存量碳排放指标，提升碳排放要素保障能力。所有新建“两高”项目，实行碳排放减量替代。</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3.推动重点行业能效提标改造。</w:t>
      </w:r>
      <w:r>
        <w:rPr>
          <w:rFonts w:hint="eastAsia" w:ascii="仿宋_GB2312" w:hAnsi="仿宋" w:cstheme="minorBidi"/>
          <w:szCs w:val="32"/>
        </w:rPr>
        <w:t>持续推进重点行业能效和污染物减排“领跑者”行动，加快推动化工、建材、铸造等重点行业绿色低碳转型，实施节能技术改造、余热余压利用等节能技改项目，推动重点企业腾退用能空间和节能减煤增效、发展可再生能源与能源生产结构优化等绿色低碳工程，完成省、市下达的水泥熟料、发电、合成氨等单位产品综合能耗降低任务，提升重点行业和企业能效水平。到2025年，“两高”能效达到标杆水平的产能比例高于30%。</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4.积极开展产品碳足迹评价。</w:t>
      </w:r>
      <w:r>
        <w:rPr>
          <w:rFonts w:hint="eastAsia" w:ascii="仿宋_GB2312" w:hAnsi="仿宋" w:cstheme="minorBidi"/>
          <w:szCs w:val="32"/>
        </w:rPr>
        <w:t>根据《山东省产品碳足迹评价工作方案（2023—2025年）》要求，摸底全区重点工业企业（包含“两高”企业和出口企业），确定开展产品碳足迹的企业名单，科学运用全生命周期评价方法，开展企业碳足迹核算与评价工作。为提升企业产品竞争力和品牌影响力，组织全区重点企业开展碳足迹评价相关培训，提升企业绿色低碳发展的理念。到2025年，全区开展产品碳足迹核算重点工业企业数量占比不低于5%。</w:t>
      </w:r>
    </w:p>
    <w:p>
      <w:pPr>
        <w:pageBreakBefore w:val="0"/>
        <w:widowControl w:val="0"/>
        <w:kinsoku/>
        <w:overflowPunct/>
        <w:autoSpaceDE/>
        <w:autoSpaceDN/>
        <w:bidi w:val="0"/>
        <w:spacing w:line="600" w:lineRule="exact"/>
        <w:ind w:firstLine="640"/>
        <w:jc w:val="left"/>
        <w:textAlignment w:val="auto"/>
        <w:rPr>
          <w:rFonts w:ascii="仿宋_GB2312" w:hAnsi="仿宋" w:cstheme="minorBidi"/>
          <w:szCs w:val="32"/>
        </w:rPr>
      </w:pPr>
      <w:r>
        <w:rPr>
          <w:rFonts w:hint="eastAsia" w:ascii="楷体_GB2312" w:hAnsi="楷体" w:eastAsia="楷体_GB2312" w:cs="楷体"/>
          <w:szCs w:val="32"/>
        </w:rPr>
        <w:t>5.提高工业固体废物综合利用率。</w:t>
      </w:r>
      <w:r>
        <w:rPr>
          <w:rFonts w:hint="eastAsia" w:ascii="仿宋_GB2312" w:hAnsi="仿宋" w:cstheme="minorBidi"/>
          <w:szCs w:val="32"/>
        </w:rPr>
        <w:t>从全生命周期碳排放角度出发，聚焦粉煤灰、炉渣、脱硫石膏等重点品种，推广大宗固废综合利用先进技术、装备，创新大宗固废综合利用模式和关键技术、协同利用机制和管理方式。推行循环型生产模式，提高再生原料替代使用比例。推广水泥生产原料替代技术，鼓励利用转炉渣等非碳酸盐工业固体废物作为原辅料生产水泥。推进粉煤灰、钢渣、工业副产石膏等工业固体废物综合利用。到2025年，完成上级下达目标任务。</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6.大力推进清洁生产。</w:t>
      </w:r>
      <w:r>
        <w:rPr>
          <w:rFonts w:hint="eastAsia" w:ascii="仿宋_GB2312" w:hAnsi="仿宋" w:cstheme="minorBidi"/>
          <w:szCs w:val="32"/>
        </w:rPr>
        <w:t>加强项目建设和产品设计阶段清洁生产。新（改、扩）建项目进行环境影响评价时，对使用的清洁生产技术、工艺和设备作为环境影响评价的重要内容，严格执行产品能效、水效、能耗限额、污染物排放等标准。每年按照省级确定的清洁生产审核名单，全面推进清洁生产审核，支持推进清洁生产审核模式创新，探索能源、冶金、建材等不同行业企业实施差别化清洁生产审核。到2025年，清洁生产审核取得明显成效，积极争创行业、园区和产业集群整体清洁生产审核创新试点。</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7.推动重点行业绿色化改造。</w:t>
      </w:r>
      <w:r>
        <w:rPr>
          <w:rFonts w:hint="eastAsia" w:ascii="仿宋_GB2312" w:hAnsi="仿宋" w:cstheme="minorBidi"/>
          <w:szCs w:val="32"/>
        </w:rPr>
        <w:t>推动煤电、水泥、化工等原材料产业布局，提升产业发展质量和环保治理水平，以产品优质型、资源节约型、绿色环保型、持续发展型为目标，加快建材、化工、铸造、装备、制造等产业集群绿色化改造。助力锻造产业绿色转型升级。研发针对锻造行业的低碳燃烧技术和装备，推广纯氧燃烧系统加热设备，提高能源利用率，降低氮氧化物和温室气体的排放。推动CCUS产业链示范及商业化应用。推动规模化碳捕获、利用和封存技术的研发、示范和产业化应用，力争在区内实现完整的二氧化碳规模捕集、利用、封存全流程建设。到2025年，建成一个碳捕集与利用项目。</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8.构建绿色产业链供应链。</w:t>
      </w:r>
      <w:r>
        <w:rPr>
          <w:rFonts w:hint="eastAsia" w:ascii="仿宋_GB2312" w:hAnsi="仿宋" w:cstheme="minorBidi"/>
          <w:szCs w:val="32"/>
        </w:rPr>
        <w:t>推动建立以资源节约、环境友好为导向的采购、生产、营销、回收及物流体系。发挥汽车、电子、大型成套装备行业龙头企业的示范带动作用，积极应用物联网大数据和云计算等信息技术，推动建立绿色供应链管理体系。鼓励行业协会通过制定规范、咨询服务、行业自律等方式提高行业供应链绿色化水平。鼓励企业开展绿色设计，选择绿色材料，培育一批绿色设计示范企业、绿色工厂、绿色园区和绿色供应链管理企业。</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9.大力发展绿色新兴产业。</w:t>
      </w:r>
      <w:r>
        <w:rPr>
          <w:rFonts w:hint="eastAsia" w:ascii="仿宋_GB2312" w:hAnsi="仿宋" w:cstheme="minorBidi"/>
          <w:szCs w:val="32"/>
        </w:rPr>
        <w:t>聚焦智能电力装备、高档数控机床、激光装备、智能机器人、航空航天装备等优势装备领域，围绕先进基础材料、关键战略材料和前沿新材料，加快推进高端装备产业向智能化、绿色化和链式集群规模化发展，推动先进材料领域核心技术优势和产业规模显著提升。加大招商引资力度，做好要素保障和人才服务工作，提升龙头企业本地配套率，不断提升产业链发展水平。</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10.大力发展节能环保产业。</w:t>
      </w:r>
      <w:r>
        <w:t>提</w:t>
      </w:r>
      <w:r>
        <w:rPr>
          <w:rFonts w:hint="eastAsia" w:ascii="仿宋_GB2312" w:hAnsi="仿宋" w:cstheme="minorBidi"/>
          <w:szCs w:val="32"/>
        </w:rPr>
        <w:t>升智能制造与高端装备、节能环保装备供给能力，优先发展产业关联度高、市场潜力大的节能环保技术。引导制造企业加大节能环保技术和产品研发力度，开发高效节能装备、高效储能设备、环境治理装备、垃圾和危险废物处理装备等节能环保装备，打造优质节能环保装备品牌，加大先进节能环保装备推广应用力度，加快静脉产业、节能环保产业发展。</w:t>
      </w:r>
    </w:p>
    <w:p>
      <w:pPr>
        <w:pStyle w:val="4"/>
        <w:pageBreakBefore w:val="0"/>
        <w:widowControl w:val="0"/>
        <w:kinsoku/>
        <w:overflowPunct/>
        <w:autoSpaceDE/>
        <w:autoSpaceDN/>
        <w:bidi w:val="0"/>
        <w:spacing w:line="600" w:lineRule="exact"/>
        <w:ind w:firstLine="640"/>
        <w:textAlignment w:val="auto"/>
        <w:rPr>
          <w:rFonts w:ascii="楷体_GB2312" w:hAnsi="楷体" w:cs="楷体"/>
          <w:szCs w:val="32"/>
        </w:rPr>
      </w:pPr>
      <w:bookmarkStart w:id="64" w:name="_Toc19689"/>
      <w:bookmarkStart w:id="65" w:name="_Toc23039"/>
      <w:bookmarkStart w:id="66" w:name="_Toc152749951"/>
      <w:r>
        <w:rPr>
          <w:rFonts w:hint="eastAsia" w:ascii="楷体_GB2312" w:hAnsi="楷体" w:cs="楷体"/>
          <w:szCs w:val="32"/>
        </w:rPr>
        <w:t>（四）推进建筑领域绿色低碳建设</w:t>
      </w:r>
      <w:bookmarkEnd w:id="64"/>
      <w:bookmarkEnd w:id="65"/>
      <w:bookmarkEnd w:id="66"/>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1.加大既有建筑绿色化改造力度。</w:t>
      </w:r>
      <w:r>
        <w:rPr>
          <w:rFonts w:hint="eastAsia" w:ascii="仿宋_GB2312" w:hAnsi="仿宋" w:cstheme="minorBidi"/>
          <w:szCs w:val="32"/>
        </w:rPr>
        <w:t>以城乡建设领域碳达峰为抓手，推动建筑绿色高质量发展。推进城镇绿色节能改造。推动建筑节能和绿色建筑，全面推进老旧小区绿色化改造，加快老旧供热管网更新改造，提高供热系统效率和管理控制水平，持续提升建筑能效。稳步推进既有居住建筑节能改造、既有公共建筑能效提升和可再生能源建筑应用。</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2.推动新建绿色低碳高标准建筑。</w:t>
      </w:r>
      <w:r>
        <w:rPr>
          <w:rFonts w:hint="eastAsia" w:ascii="仿宋_GB2312" w:hAnsi="仿宋" w:cstheme="minorBidi"/>
          <w:szCs w:val="32"/>
        </w:rPr>
        <w:t>城镇新建建筑全面执行绿色建筑标准，加快推动高星级绿色建筑、被动式超低能耗、（近）零能耗、零碳建筑和产能建筑等节能低碳类高标准建筑建设。新建超高层建筑不得低于三星级绿色建筑标准；政府投资或以政府投资为主的公共建筑及其他大型公共建筑、建筑面积大于20万平方米的商品住宅小区，按照二星级以上绿色建筑标准建设；其他投资类公共建筑，按照一星级以上绿色建筑标准建设。到2025年，城镇新建民用建筑绿色建筑占比稳定在100%，其中星级以上绿色建筑面积比例达到5%；新建超低能耗、近零能耗建筑与低碳、零碳建筑比例不低于5%。</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3.提升屋顶光伏覆盖率。</w:t>
      </w:r>
      <w:r>
        <w:rPr>
          <w:rFonts w:hint="eastAsia" w:ascii="仿宋_GB2312" w:hAnsi="仿宋" w:cstheme="minorBidi"/>
          <w:szCs w:val="32"/>
        </w:rPr>
        <w:t>推动章丘整区屋顶分布式光伏规模化开发试点，落实国家整县（区）屋顶分布式光伏开发试点方案，根据分布式光伏的开发现状和发展空间，合理确定开发建设规模。支持配电网的升级改造，做到分布式光伏“应接尽接”，完善分布式发电市场化交易配套政策，优先开展试点分布式发电市场化交易，推动就地就近消纳，支持新产业、新动能消纳分布式光伏电量。到2025年，新建公共机构建筑、新建厂房屋顶光伏覆盖率不低于50%。</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4.推动装配式建筑发展。</w:t>
      </w:r>
      <w:r>
        <w:rPr>
          <w:rFonts w:hint="eastAsia" w:ascii="仿宋_GB2312" w:hAnsi="仿宋" w:cstheme="minorBidi"/>
          <w:szCs w:val="32"/>
        </w:rPr>
        <w:t>政府投资或国有资金投资建筑工程按规定采用装配式建筑，其他项目装配式建筑占比不低于50%。积极推广预制内隔墙板和竖向构件，具备条件的地下车库优先采用装配式建设，积极推动地下建筑以及轨道交通、地下管廊等市政工程采用装配式技术建造。大力推动钢结构建筑，新建学校、医院等公共建筑原则上采用钢结构；政府投资或国有资金投资的公共租赁住房、公寓等工程，全面采用钢结构装配式建造方式；保障性住房、棚户区改造安置房优先采用钢结构装配式技术建造。</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5.强化公共机构能效提升工程。</w:t>
      </w:r>
      <w:r>
        <w:rPr>
          <w:rFonts w:hint="eastAsia" w:ascii="仿宋_GB2312" w:hAnsi="仿宋" w:cstheme="minorBidi"/>
          <w:szCs w:val="32"/>
        </w:rPr>
        <w:t>持续推动围护结构、供热、制冷等综合型用能系统和设施节能改造项目建设，推动能耗定额管理，推广合同能源管理“章丘模式”，鼓励采用合同能源管理等市场化服务模式，增强示范带动作用。推进新建和既有停车场汽车充换电设施建设，区级机关配备公务用车，除特殊工作要求外，一律配备新能源车辆。</w:t>
      </w:r>
    </w:p>
    <w:p>
      <w:pPr>
        <w:pStyle w:val="4"/>
        <w:pageBreakBefore w:val="0"/>
        <w:widowControl w:val="0"/>
        <w:kinsoku/>
        <w:overflowPunct/>
        <w:autoSpaceDE/>
        <w:autoSpaceDN/>
        <w:bidi w:val="0"/>
        <w:spacing w:line="600" w:lineRule="exact"/>
        <w:ind w:firstLine="640"/>
        <w:textAlignment w:val="auto"/>
        <w:rPr>
          <w:rFonts w:ascii="楷体_GB2312" w:hAnsi="楷体" w:cs="楷体"/>
          <w:szCs w:val="32"/>
        </w:rPr>
      </w:pPr>
      <w:bookmarkStart w:id="67" w:name="_Toc10209"/>
      <w:bookmarkStart w:id="68" w:name="_Toc152749952"/>
      <w:bookmarkStart w:id="69" w:name="_Toc29644"/>
      <w:r>
        <w:rPr>
          <w:rFonts w:hint="eastAsia" w:ascii="楷体_GB2312" w:hAnsi="楷体" w:cs="楷体"/>
          <w:szCs w:val="32"/>
        </w:rPr>
        <w:t>（五）</w:t>
      </w:r>
      <w:bookmarkEnd w:id="67"/>
      <w:r>
        <w:rPr>
          <w:rFonts w:hint="eastAsia" w:ascii="楷体_GB2312" w:hAnsi="楷体" w:cs="楷体"/>
          <w:szCs w:val="32"/>
        </w:rPr>
        <w:t>构建绿色低碳循环交通运输体系</w:t>
      </w:r>
      <w:bookmarkEnd w:id="68"/>
      <w:bookmarkEnd w:id="69"/>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1.优化绿色交通运输结构。</w:t>
      </w:r>
      <w:r>
        <w:rPr>
          <w:rFonts w:hint="eastAsia" w:ascii="仿宋_GB2312" w:hAnsi="仿宋" w:cstheme="minorBidi"/>
          <w:szCs w:val="32"/>
        </w:rPr>
        <w:t>优化运输组织方式，发展智能交通和多式联运，提高大宗货物运输“公转铁”“公转水”等清洁运输比例。推动大宗货物“公转铁”，推进砂石、煤炭、水泥等大宗货物及中长距离货物运输向铁路有序转移。加快水路运输网络建设，配合省、市交通运输部门，加快航道和章丘港区建设，全面提升内河水运发展水平。鼓励优先采用公铁联运、新能源和清洁能源车辆以及封闭式皮带廊道等绿色方式运输，减少重型柴油车的使用强度。</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2.打造绿色综合交通体系。</w:t>
      </w:r>
      <w:r>
        <w:rPr>
          <w:rFonts w:hint="eastAsia" w:ascii="仿宋_GB2312" w:hAnsi="仿宋" w:cstheme="minorBidi"/>
          <w:szCs w:val="32"/>
        </w:rPr>
        <w:t>推动绿色公路、绿色港口建设，有序推进充换电、加气、加氢等基础设施建设。加快推进绿色出行体系建设。构建“轨道交通+无轨电车”快速公共交通走廊，做好轨道网、公交网、慢行网“三网融合”。降低新生产乘用车、商用车平均油耗和纯电动乘用车平均电耗。提高城市公交、出租、物流等交通车辆新能源化率。到2025年，公共交通机动化出行分担率比2020年上升，推广新能源公交车数量较2020年上升。</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3.优化公共交通网络结构。</w:t>
      </w:r>
      <w:r>
        <w:rPr>
          <w:rFonts w:hint="eastAsia" w:ascii="仿宋_GB2312" w:hAnsi="仿宋" w:cstheme="minorBidi"/>
          <w:szCs w:val="32"/>
        </w:rPr>
        <w:t>加快公共交通体系建设，加强公交基础设施建设，协调推进轨道交通8号线建设，增加、优化公交线路，保障公共交通路权。引导定制公交、分时租赁、无桩智能自行车等新型交通模式规范发展。对柴油公交车、国五及以下燃气公交车实施替代。推广新能源汽车，使用财政资金购买的车辆优先采用新能源汽车。</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4.构建高效集约流通体系。</w:t>
      </w:r>
      <w:r>
        <w:rPr>
          <w:rFonts w:hint="eastAsia" w:ascii="仿宋_GB2312" w:hAnsi="仿宋" w:cstheme="minorBidi"/>
          <w:szCs w:val="32"/>
        </w:rPr>
        <w:t>结合章丘货物运输特征，因地制宜系统规划，鼓励发展具有多式联运功能的物流园区和集装箱中心站，完善城市主要商业区、校园、机关、社区等末端配送节点设施，引导企业发展统一配送、集中配送、共同配送等集约化组织方式发展绿色仓储，鼓励和支持在物流园区、大型仓储设施应用绿色建筑材料、节能技术与装备。</w:t>
      </w:r>
    </w:p>
    <w:p>
      <w:pPr>
        <w:pStyle w:val="4"/>
        <w:pageBreakBefore w:val="0"/>
        <w:widowControl w:val="0"/>
        <w:kinsoku/>
        <w:overflowPunct/>
        <w:autoSpaceDE/>
        <w:autoSpaceDN/>
        <w:bidi w:val="0"/>
        <w:spacing w:line="600" w:lineRule="exact"/>
        <w:ind w:firstLine="640"/>
        <w:textAlignment w:val="auto"/>
        <w:rPr>
          <w:rFonts w:ascii="楷体_GB2312" w:hAnsi="楷体" w:cs="楷体"/>
          <w:szCs w:val="32"/>
        </w:rPr>
      </w:pPr>
      <w:bookmarkStart w:id="70" w:name="_Toc152749953"/>
      <w:bookmarkStart w:id="71" w:name="_Toc15408"/>
      <w:bookmarkStart w:id="72" w:name="_Toc20714"/>
      <w:r>
        <w:rPr>
          <w:rFonts w:hint="eastAsia" w:ascii="楷体_GB2312" w:hAnsi="楷体" w:cs="楷体"/>
          <w:szCs w:val="32"/>
        </w:rPr>
        <w:t>（六）开展低碳生活低碳行动</w:t>
      </w:r>
      <w:bookmarkEnd w:id="70"/>
      <w:bookmarkEnd w:id="71"/>
      <w:bookmarkEnd w:id="72"/>
    </w:p>
    <w:p>
      <w:pPr>
        <w:pageBreakBefore w:val="0"/>
        <w:widowControl w:val="0"/>
        <w:kinsoku/>
        <w:overflowPunct/>
        <w:autoSpaceDE/>
        <w:autoSpaceDN/>
        <w:bidi w:val="0"/>
        <w:spacing w:line="600" w:lineRule="exact"/>
        <w:ind w:firstLine="640"/>
        <w:textAlignment w:val="auto"/>
      </w:pPr>
      <w:r>
        <w:rPr>
          <w:rFonts w:hint="eastAsia" w:ascii="楷体_GB2312" w:hAnsi="楷体" w:eastAsia="楷体_GB2312" w:cs="楷体"/>
          <w:szCs w:val="32"/>
        </w:rPr>
        <w:t>1.推动城市绿化品质提升。</w:t>
      </w:r>
      <w:r>
        <w:rPr>
          <w:rFonts w:hint="eastAsia" w:ascii="仿宋_GB2312" w:hAnsi="仿宋" w:cstheme="minorBidi"/>
          <w:szCs w:val="32"/>
        </w:rPr>
        <w:t>深入推进城市增绿和绿化品质提升，按照居民出行“300米见绿、500米见园”的要求，并根据济南市相关规划，建设各类城市绿地，完善城市绿地布局。继续实施道路绿化工程，城市绿道建设，为市民群众提供线性绿色开敞空间。提高建成区绿化覆盖率，提升公园绿地服务功能。到2025年，人均绿地面积比2020年上升。</w:t>
      </w:r>
    </w:p>
    <w:p>
      <w:pPr>
        <w:pageBreakBefore w:val="0"/>
        <w:widowControl w:val="0"/>
        <w:kinsoku/>
        <w:overflowPunct/>
        <w:autoSpaceDE/>
        <w:autoSpaceDN/>
        <w:bidi w:val="0"/>
        <w:spacing w:line="600" w:lineRule="exact"/>
        <w:ind w:firstLine="640"/>
        <w:jc w:val="left"/>
        <w:textAlignment w:val="auto"/>
        <w:rPr>
          <w:rFonts w:ascii="仿宋_GB2312" w:hAnsi="仿宋" w:cstheme="minorBidi"/>
          <w:szCs w:val="32"/>
        </w:rPr>
      </w:pPr>
      <w:bookmarkStart w:id="73" w:name="_Toc30544"/>
      <w:r>
        <w:rPr>
          <w:rFonts w:hint="eastAsia" w:ascii="楷体_GB2312" w:hAnsi="楷体" w:eastAsia="楷体_GB2312" w:cs="楷体"/>
          <w:szCs w:val="32"/>
        </w:rPr>
        <w:t>2.积极推行垃圾分类处置，实现资源化利用。</w:t>
      </w:r>
      <w:r>
        <w:rPr>
          <w:rFonts w:hint="eastAsia" w:ascii="仿宋_GB2312" w:hAnsi="仿宋" w:cstheme="minorBidi"/>
          <w:szCs w:val="32"/>
        </w:rPr>
        <w:t>落实垃圾分类政策，完善分类投放、分类收集、分类运输、分类处理的生活垃圾处理系统，推动垃圾分类一分到底。推进生活垃圾源头减量，建立企业内部多层次、多渠道的资源再利用和深加工系统，从源头上减少固体废物的产生。有序推动生活垃圾焚烧发电设施建设，推动垃圾、污泥、餐厨协同处置项目落地，实现生活垃圾及企业一般固废的资源化、无害化处置。到2025年，生活垃圾分类全面实施。</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3.推进建筑垃圾资源化综合利用。</w:t>
      </w:r>
      <w:r>
        <w:rPr>
          <w:rFonts w:hint="eastAsia" w:ascii="仿宋_GB2312" w:hAnsi="仿宋" w:cstheme="minorBidi"/>
          <w:szCs w:val="32"/>
        </w:rPr>
        <w:t>提高建筑渣土资源化利用率，破解处置难题，变废为宝。采取建筑拆除现场就地处理直接利用点、消纳场填埋消纳处理和资源化处理厂综合利用处理相结合方式，实现建筑垃圾就地就近处理和综合利用。鼓励企业以资源化利用为主线，进行拆迁、运输、处置和产品应用等产业链相关环节的整合，提高产业集中度。到2025年，建筑垃圾治理取得明显成效。</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4.倡导全民行动。</w:t>
      </w:r>
      <w:r>
        <w:rPr>
          <w:rFonts w:hint="eastAsia" w:ascii="仿宋_GB2312" w:hAnsi="仿宋" w:cstheme="minorBidi"/>
          <w:szCs w:val="32"/>
        </w:rPr>
        <w:t>开展绿色低碳生活全民行动，深化节约型机关、绿色家庭、绿色学校、绿色社区、绿色出行、绿色商场、绿色建筑等创建活动，组织节能宣传周、全国低碳日、世界环境日等主题宣传活动，推进全域“无废城市”建设。引导绿色饮食，限制一次性餐具生产和使用。倡导合理消费，推进全民在衣、食、游、住、行等方面向勤俭节约、绿色低碳、文明健康的方式转变。</w:t>
      </w:r>
    </w:p>
    <w:p>
      <w:pPr>
        <w:pStyle w:val="4"/>
        <w:pageBreakBefore w:val="0"/>
        <w:widowControl w:val="0"/>
        <w:kinsoku/>
        <w:overflowPunct/>
        <w:autoSpaceDE/>
        <w:autoSpaceDN/>
        <w:bidi w:val="0"/>
        <w:spacing w:line="600" w:lineRule="exact"/>
        <w:ind w:firstLine="640"/>
        <w:textAlignment w:val="auto"/>
        <w:rPr>
          <w:rFonts w:ascii="楷体_GB2312" w:hAnsi="楷体" w:cs="楷体"/>
          <w:szCs w:val="32"/>
        </w:rPr>
      </w:pPr>
      <w:bookmarkStart w:id="74" w:name="_Toc152749954"/>
      <w:bookmarkStart w:id="75" w:name="_Toc22962"/>
      <w:r>
        <w:rPr>
          <w:rFonts w:hint="eastAsia" w:ascii="楷体_GB2312" w:hAnsi="楷体" w:cs="楷体"/>
          <w:szCs w:val="32"/>
        </w:rPr>
        <w:t>（七）深入调整农业投入结构</w:t>
      </w:r>
      <w:bookmarkEnd w:id="73"/>
      <w:bookmarkEnd w:id="74"/>
      <w:bookmarkEnd w:id="75"/>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1.推进农药、化肥减量增效。</w:t>
      </w:r>
      <w:r>
        <w:rPr>
          <w:rFonts w:hint="eastAsia" w:ascii="仿宋_GB2312" w:hAnsi="仿宋" w:cstheme="minorBidi"/>
          <w:szCs w:val="32"/>
        </w:rPr>
        <w:t>深入实施农药化肥减量增效行动，提高化肥利用率，推进秸秆全量化综合利用。在龙山小米、章丘大葱、高官寨甜瓜等特色产区和粮食主产区推广应用测土配方施肥技术，全面实施节水、减肥、控药一体推进、综合治理工程，推广水肥一体化、机械深耕种肥同播等施肥技术。推广生态治理、健康栽培、生物防治、物理防治等绿色防控技术。到2025年，测土配方施肥技术推广覆盖率达到90%以上；化肥、农药使用量零增长。</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2.提高秸秆综合利用率。</w:t>
      </w:r>
      <w:r>
        <w:rPr>
          <w:rFonts w:hint="eastAsia" w:ascii="仿宋_GB2312" w:hAnsi="仿宋" w:cstheme="minorBidi"/>
          <w:szCs w:val="32"/>
        </w:rPr>
        <w:t>推进农业废弃物综合利用，基本形成布局合理、多元化利用的秸秆综合利用产业化格局，着力构建“收集-转化-应用”三级网络体系，推动开展秸秆还田和秸秆肥料化、饲料化、基料化、原料化和能源化利用，提高农业农村有机废物资源化、能源化利用水平。到2025年，全区主要农作物秸秆综合利用率稳定在98%以上。</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3.深化畜禽粪污资源化利用。</w:t>
      </w:r>
      <w:r>
        <w:rPr>
          <w:rStyle w:val="28"/>
          <w:b w:val="0"/>
          <w:bCs/>
        </w:rPr>
        <w:t>大</w:t>
      </w:r>
      <w:r>
        <w:rPr>
          <w:rFonts w:hint="eastAsia" w:ascii="仿宋_GB2312" w:hAnsi="仿宋" w:cstheme="minorBidi"/>
          <w:szCs w:val="32"/>
        </w:rPr>
        <w:t>力推广应用有机肥，引导农民积极施用有机肥，扎实推进果（菜）、小麦、玉米等有机肥替代实施行动。鼓励规模以下畜禽养殖户通过配建粪污处理设施、委托协议处理、堆积发酵就地就近还田等方式，促进畜禽粪污还田利用，推动种养循环，改善土壤地力。到2025年，单位耕地面积化肥使用量下降6%左右，全区畜禽粪污综合利用率稳定在90%以上。</w:t>
      </w:r>
    </w:p>
    <w:p>
      <w:pPr>
        <w:pStyle w:val="4"/>
        <w:pageBreakBefore w:val="0"/>
        <w:widowControl w:val="0"/>
        <w:kinsoku/>
        <w:overflowPunct/>
        <w:autoSpaceDE/>
        <w:autoSpaceDN/>
        <w:bidi w:val="0"/>
        <w:spacing w:line="600" w:lineRule="exact"/>
        <w:ind w:firstLine="640"/>
        <w:textAlignment w:val="auto"/>
        <w:rPr>
          <w:rFonts w:ascii="楷体_GB2312" w:hAnsi="楷体" w:cs="楷体"/>
          <w:szCs w:val="32"/>
        </w:rPr>
      </w:pPr>
      <w:bookmarkStart w:id="76" w:name="_Toc26296"/>
      <w:bookmarkStart w:id="77" w:name="_Toc16351"/>
      <w:bookmarkStart w:id="78" w:name="_Toc152749955"/>
      <w:r>
        <w:rPr>
          <w:rFonts w:hint="eastAsia" w:ascii="楷体_GB2312" w:hAnsi="楷体" w:cs="楷体"/>
          <w:szCs w:val="32"/>
        </w:rPr>
        <w:t>（八）提升生态系统碳汇能力</w:t>
      </w:r>
      <w:bookmarkEnd w:id="76"/>
      <w:bookmarkEnd w:id="77"/>
      <w:bookmarkEnd w:id="78"/>
    </w:p>
    <w:p>
      <w:pPr>
        <w:pageBreakBefore w:val="0"/>
        <w:widowControl w:val="0"/>
        <w:kinsoku/>
        <w:overflowPunct/>
        <w:autoSpaceDE/>
        <w:autoSpaceDN/>
        <w:bidi w:val="0"/>
        <w:spacing w:line="600" w:lineRule="exact"/>
        <w:ind w:firstLine="640"/>
        <w:textAlignment w:val="auto"/>
        <w:rPr>
          <w:b/>
          <w:bCs/>
        </w:rPr>
      </w:pPr>
      <w:r>
        <w:rPr>
          <w:rFonts w:hint="eastAsia" w:ascii="楷体_GB2312" w:hAnsi="楷体" w:eastAsia="楷体_GB2312" w:cs="楷体"/>
          <w:szCs w:val="32"/>
        </w:rPr>
        <w:t>1.优化国土空间开发保护格局。</w:t>
      </w:r>
      <w:r>
        <w:rPr>
          <w:rFonts w:hint="eastAsia" w:ascii="仿宋_GB2312" w:hAnsi="仿宋" w:cstheme="minorBidi"/>
          <w:szCs w:val="32"/>
        </w:rPr>
        <w:t>按照资源环境承载力合理确定城市规模和空间结构，优化农业、生态、城镇三类空间功能布局，科学划定生态保护红线、永久基本农田和城镇开发边界三条控制线，减少人类活动对自然生态空间的占用。构建以生态保护红线、环境质量底线、资源利用上线和生态环境准入清单为核心的“三线一单”生态环境分区管控体系。严守城镇开发边界，合理布局城市规模和空间结构，强化农产品主产区耕地保护，严控有损自然生态系统的开荒以及侵占水面、湿地、林地、草地的农业开发活动。生态功能区强化生态保护与修复，提高生态产品供给和生态服务功能。</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2.加强山区生态保护与修复。</w:t>
      </w:r>
      <w:r>
        <w:rPr>
          <w:rFonts w:hint="eastAsia" w:ascii="仿宋_GB2312" w:hAnsi="仿宋" w:cstheme="minorBidi"/>
          <w:szCs w:val="32"/>
        </w:rPr>
        <w:t>大力开展山体修复、水土流失治理、涵养林建设等生态保护工程，全面提升“泉源、绿肺、水塔”功能。进一步改善山区重点区域生态环境，对稀疏林地和其他林地实施生态修复与保护工程，扩大森林面积，增加森林蓄积，提高森林质量，提升森林效能。推动国有林场可持续发展，进一步发挥国有林场在生态修复与保护中的带动作用，坚持修山、增绿、整地并举，实施破损山体修复，督促矿山企业依法依规编制矿山地质环境保护与土地复垦方案，制定实施露天矿山生态修复方案。深入实施“绿色章丘”工程，继续加大人工造林种植面积，深入推进长白山山体绿化提升、山区雨季造林项目建设。</w:t>
      </w:r>
      <w:bookmarkStart w:id="79" w:name="_Toc23383"/>
      <w:r>
        <w:rPr>
          <w:rFonts w:hint="eastAsia" w:ascii="仿宋_GB2312" w:hAnsi="仿宋" w:cstheme="minorBidi"/>
          <w:szCs w:val="32"/>
        </w:rPr>
        <w:t>到2025年底，森林蓄积量较2020年上升。</w:t>
      </w:r>
    </w:p>
    <w:p>
      <w:pPr>
        <w:pageBreakBefore w:val="0"/>
        <w:widowControl w:val="0"/>
        <w:kinsoku/>
        <w:overflowPunct/>
        <w:autoSpaceDE/>
        <w:autoSpaceDN/>
        <w:bidi w:val="0"/>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3.加快湿地保护与恢复。</w:t>
      </w:r>
      <w:r>
        <w:rPr>
          <w:rFonts w:hint="eastAsia" w:ascii="仿宋_GB2312" w:hAnsi="仿宋" w:cstheme="minorBidi"/>
          <w:szCs w:val="32"/>
        </w:rPr>
        <w:t>通过退养还湿、退耕还湿（滩）扩大湿地面积。开展湿地恢复与建设，通过源头截污、水体清污等工程全面提升湿地水质。围绕湿地保护和合理利用，统筹白云湖、龙山湖等湿地生态保护，加强白云湖国家湿地公园生态屏障建设，做好湿地公园修复提升、动植物资源保护等基础性工作。</w:t>
      </w:r>
    </w:p>
    <w:p>
      <w:pPr>
        <w:pageBreakBefore w:val="0"/>
        <w:widowControl w:val="0"/>
        <w:kinsoku/>
        <w:overflowPunct/>
        <w:autoSpaceDE/>
        <w:autoSpaceDN/>
        <w:bidi w:val="0"/>
        <w:adjustRightInd/>
        <w:snapToGrid/>
        <w:spacing w:line="600" w:lineRule="exact"/>
        <w:ind w:firstLine="640"/>
        <w:textAlignment w:val="auto"/>
        <w:rPr>
          <w:rFonts w:ascii="仿宋_GB2312" w:hAnsi="仿宋" w:cstheme="minorBidi"/>
          <w:szCs w:val="32"/>
        </w:rPr>
      </w:pPr>
      <w:r>
        <w:rPr>
          <w:rFonts w:hint="eastAsia" w:ascii="楷体_GB2312" w:hAnsi="楷体" w:eastAsia="楷体_GB2312" w:cs="楷体"/>
          <w:szCs w:val="32"/>
        </w:rPr>
        <w:t>4.推进国家核证自愿减排量（CCER）项目的开发。</w:t>
      </w:r>
      <w:r>
        <w:rPr>
          <w:rFonts w:hint="eastAsia" w:ascii="仿宋_GB2312" w:hAnsi="仿宋" w:cstheme="minorBidi"/>
          <w:szCs w:val="32"/>
        </w:rPr>
        <w:t>积极落实国家的核证减排管理办法，鼓励企业发掘碳汇潜力，将碳汇及碳抵消转化为自身的优势领域。鼓励农业、地热、林业、湿地等碳汇项目开发。到2025年，力争开发1个CCER项目。</w:t>
      </w:r>
    </w:p>
    <w:p>
      <w:pPr>
        <w:pageBreakBefore w:val="0"/>
        <w:widowControl w:val="0"/>
        <w:kinsoku/>
        <w:overflowPunct/>
        <w:autoSpaceDE/>
        <w:autoSpaceDN/>
        <w:bidi w:val="0"/>
        <w:adjustRightInd/>
        <w:snapToGrid/>
        <w:spacing w:line="600" w:lineRule="exact"/>
        <w:ind w:firstLine="640"/>
        <w:contextualSpacing/>
        <w:textAlignment w:val="auto"/>
        <w:rPr>
          <w:rFonts w:ascii="黑体" w:hAnsi="黑体" w:eastAsia="黑体" w:cs="黑体"/>
          <w:szCs w:val="32"/>
        </w:rPr>
      </w:pPr>
      <w:r>
        <w:rPr>
          <w:rFonts w:hint="eastAsia" w:ascii="黑体" w:hAnsi="黑体" w:eastAsia="黑体" w:cs="黑体"/>
          <w:szCs w:val="32"/>
        </w:rPr>
        <w:t>五、重点工程</w:t>
      </w:r>
    </w:p>
    <w:p>
      <w:pPr>
        <w:pageBreakBefore w:val="0"/>
        <w:widowControl w:val="0"/>
        <w:kinsoku/>
        <w:overflowPunct/>
        <w:autoSpaceDE/>
        <w:autoSpaceDN/>
        <w:bidi w:val="0"/>
        <w:adjustRightInd/>
        <w:snapToGrid/>
        <w:spacing w:line="600" w:lineRule="exact"/>
        <w:ind w:firstLine="640"/>
        <w:textAlignment w:val="auto"/>
        <w:rPr>
          <w:rFonts w:ascii="仿宋_GB2312" w:hAnsi="仿宋" w:cstheme="minorBidi"/>
          <w:szCs w:val="32"/>
        </w:rPr>
      </w:pPr>
      <w:r>
        <w:rPr>
          <w:rFonts w:hint="eastAsia" w:ascii="仿宋_GB2312" w:hAnsi="仿宋" w:cstheme="minorBidi"/>
          <w:szCs w:val="32"/>
        </w:rPr>
        <w:t>为保证建设目标如期实现，根据我区的实际情况和重点任务，列出26项重点工程，确保已完成的指标巩固提升，持续发挥效益。对于未完成的指标，通过实施有针对性的工程，确保建设期结束后达到指标要求，我区的示范创建工作能顺利通过省厅验收。</w:t>
      </w:r>
    </w:p>
    <w:p>
      <w:pPr>
        <w:adjustRightInd/>
        <w:snapToGrid/>
        <w:spacing w:line="240" w:lineRule="auto"/>
        <w:ind w:firstLine="640"/>
        <w:rPr>
          <w:rFonts w:ascii="仿宋_GB2312" w:hAnsi="仿宋" w:cstheme="minorBidi"/>
          <w:szCs w:val="32"/>
        </w:rPr>
      </w:pPr>
    </w:p>
    <w:p>
      <w:pPr>
        <w:adjustRightInd/>
        <w:snapToGrid/>
        <w:spacing w:line="240" w:lineRule="auto"/>
        <w:ind w:firstLine="640"/>
        <w:rPr>
          <w:rFonts w:ascii="仿宋_GB2312" w:hAnsi="仿宋" w:cstheme="minorBidi"/>
          <w:szCs w:val="32"/>
        </w:rPr>
        <w:sectPr>
          <w:pgSz w:w="11906" w:h="16838"/>
          <w:pgMar w:top="1440" w:right="1474" w:bottom="1440" w:left="1474" w:header="851" w:footer="992" w:gutter="0"/>
          <w:pgNumType w:fmt="numberInDash"/>
          <w:cols w:space="425" w:num="1"/>
          <w:docGrid w:type="lines" w:linePitch="312" w:charSpace="0"/>
        </w:sectPr>
      </w:pPr>
    </w:p>
    <w:bookmarkEnd w:id="79"/>
    <w:p>
      <w:pPr>
        <w:ind w:firstLine="0" w:firstLineChars="0"/>
        <w:jc w:val="center"/>
        <w:rPr>
          <w:rFonts w:eastAsia="黑体"/>
          <w:szCs w:val="32"/>
        </w:rPr>
      </w:pPr>
      <w:bookmarkStart w:id="80" w:name="_Toc1375"/>
      <w:r>
        <w:rPr>
          <w:rFonts w:hint="eastAsia" w:eastAsia="黑体"/>
          <w:szCs w:val="32"/>
        </w:rPr>
        <w:t>济南市</w:t>
      </w:r>
      <w:r>
        <w:rPr>
          <w:rFonts w:eastAsia="黑体"/>
          <w:szCs w:val="32"/>
        </w:rPr>
        <w:t>章丘区近零碳城市示范创建重点</w:t>
      </w:r>
      <w:r>
        <w:rPr>
          <w:rFonts w:hint="eastAsia" w:eastAsia="黑体"/>
          <w:szCs w:val="32"/>
        </w:rPr>
        <w:t>工程表</w:t>
      </w:r>
    </w:p>
    <w:tbl>
      <w:tblPr>
        <w:tblStyle w:val="19"/>
        <w:tblW w:w="50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3" w:type="dxa"/>
          <w:bottom w:w="0" w:type="dxa"/>
          <w:right w:w="23" w:type="dxa"/>
        </w:tblCellMar>
      </w:tblPr>
      <w:tblGrid>
        <w:gridCol w:w="696"/>
        <w:gridCol w:w="713"/>
        <w:gridCol w:w="1607"/>
        <w:gridCol w:w="7661"/>
        <w:gridCol w:w="1281"/>
        <w:gridCol w:w="21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340" w:hRule="atLeast"/>
          <w:tblHeader/>
        </w:trPr>
        <w:tc>
          <w:tcPr>
            <w:tcW w:w="247" w:type="pct"/>
            <w:tcBorders>
              <w:tl2br w:val="nil"/>
              <w:tr2bl w:val="nil"/>
            </w:tcBorders>
            <w:vAlign w:val="center"/>
          </w:tcPr>
          <w:p>
            <w:pPr>
              <w:pStyle w:val="27"/>
              <w:widowControl/>
              <w:spacing w:line="240" w:lineRule="auto"/>
              <w:jc w:val="both"/>
              <w:rPr>
                <w:rFonts w:ascii="黑体" w:hAnsi="黑体" w:eastAsia="黑体" w:cs="仿宋"/>
                <w:sz w:val="28"/>
                <w:szCs w:val="28"/>
              </w:rPr>
            </w:pPr>
            <w:r>
              <w:rPr>
                <w:rFonts w:hint="eastAsia" w:ascii="黑体" w:hAnsi="黑体" w:eastAsia="黑体" w:cs="仿宋"/>
                <w:sz w:val="28"/>
                <w:szCs w:val="28"/>
              </w:rPr>
              <w:t>类别</w:t>
            </w:r>
          </w:p>
        </w:tc>
        <w:tc>
          <w:tcPr>
            <w:tcW w:w="253" w:type="pct"/>
            <w:tcBorders>
              <w:tl2br w:val="nil"/>
              <w:tr2bl w:val="nil"/>
            </w:tcBorders>
            <w:vAlign w:val="center"/>
          </w:tcPr>
          <w:p>
            <w:pPr>
              <w:pStyle w:val="27"/>
              <w:widowControl/>
              <w:spacing w:line="240" w:lineRule="auto"/>
              <w:rPr>
                <w:rFonts w:ascii="黑体" w:hAnsi="黑体" w:eastAsia="黑体" w:cs="仿宋"/>
                <w:sz w:val="28"/>
                <w:szCs w:val="28"/>
              </w:rPr>
            </w:pPr>
            <w:r>
              <w:rPr>
                <w:rFonts w:hint="eastAsia" w:ascii="黑体" w:hAnsi="黑体" w:eastAsia="黑体" w:cs="仿宋"/>
                <w:sz w:val="28"/>
                <w:szCs w:val="28"/>
              </w:rPr>
              <w:t>序号</w:t>
            </w:r>
          </w:p>
        </w:tc>
        <w:tc>
          <w:tcPr>
            <w:tcW w:w="570" w:type="pct"/>
            <w:tcBorders>
              <w:tl2br w:val="nil"/>
              <w:tr2bl w:val="nil"/>
            </w:tcBorders>
            <w:vAlign w:val="center"/>
          </w:tcPr>
          <w:p>
            <w:pPr>
              <w:pStyle w:val="27"/>
              <w:widowControl/>
              <w:spacing w:line="240" w:lineRule="auto"/>
              <w:rPr>
                <w:rFonts w:ascii="黑体" w:hAnsi="黑体" w:eastAsia="黑体" w:cs="仿宋"/>
                <w:sz w:val="28"/>
                <w:szCs w:val="28"/>
              </w:rPr>
            </w:pPr>
            <w:r>
              <w:rPr>
                <w:rFonts w:hint="eastAsia" w:ascii="黑体" w:hAnsi="黑体" w:eastAsia="黑体" w:cs="仿宋"/>
                <w:sz w:val="28"/>
                <w:szCs w:val="28"/>
              </w:rPr>
              <w:t>项目名称</w:t>
            </w:r>
          </w:p>
        </w:tc>
        <w:tc>
          <w:tcPr>
            <w:tcW w:w="2717" w:type="pct"/>
            <w:tcBorders>
              <w:tl2br w:val="nil"/>
              <w:tr2bl w:val="nil"/>
            </w:tcBorders>
            <w:vAlign w:val="center"/>
          </w:tcPr>
          <w:p>
            <w:pPr>
              <w:pStyle w:val="27"/>
              <w:widowControl/>
              <w:spacing w:line="240" w:lineRule="auto"/>
              <w:rPr>
                <w:rFonts w:ascii="黑体" w:hAnsi="黑体" w:eastAsia="黑体" w:cs="仿宋"/>
                <w:sz w:val="28"/>
                <w:szCs w:val="28"/>
              </w:rPr>
            </w:pPr>
            <w:r>
              <w:rPr>
                <w:rFonts w:hint="eastAsia" w:ascii="黑体" w:hAnsi="黑体" w:eastAsia="黑体" w:cs="仿宋"/>
                <w:sz w:val="28"/>
                <w:szCs w:val="28"/>
              </w:rPr>
              <w:t>项 目 内 容</w:t>
            </w:r>
          </w:p>
        </w:tc>
        <w:tc>
          <w:tcPr>
            <w:tcW w:w="454" w:type="pct"/>
            <w:tcBorders>
              <w:tl2br w:val="nil"/>
              <w:tr2bl w:val="nil"/>
            </w:tcBorders>
            <w:vAlign w:val="center"/>
          </w:tcPr>
          <w:p>
            <w:pPr>
              <w:pStyle w:val="27"/>
              <w:widowControl/>
              <w:spacing w:line="240" w:lineRule="auto"/>
              <w:rPr>
                <w:rFonts w:ascii="黑体" w:hAnsi="黑体" w:eastAsia="黑体" w:cs="仿宋"/>
                <w:sz w:val="28"/>
                <w:szCs w:val="28"/>
              </w:rPr>
            </w:pPr>
            <w:r>
              <w:rPr>
                <w:rFonts w:hint="eastAsia" w:ascii="黑体" w:hAnsi="黑体" w:eastAsia="黑体" w:cs="仿宋"/>
                <w:sz w:val="28"/>
                <w:szCs w:val="28"/>
              </w:rPr>
              <w:t>完成日期</w:t>
            </w:r>
          </w:p>
        </w:tc>
        <w:tc>
          <w:tcPr>
            <w:tcW w:w="758" w:type="pct"/>
            <w:tcBorders>
              <w:tl2br w:val="nil"/>
              <w:tr2bl w:val="nil"/>
            </w:tcBorders>
            <w:vAlign w:val="center"/>
          </w:tcPr>
          <w:p>
            <w:pPr>
              <w:pStyle w:val="27"/>
              <w:widowControl/>
              <w:spacing w:line="240" w:lineRule="auto"/>
              <w:rPr>
                <w:rFonts w:ascii="黑体" w:hAnsi="黑体" w:eastAsia="黑体" w:cs="仿宋"/>
                <w:sz w:val="28"/>
                <w:szCs w:val="28"/>
              </w:rPr>
            </w:pPr>
            <w:r>
              <w:rPr>
                <w:rFonts w:hint="eastAsia" w:ascii="黑体" w:hAnsi="黑体" w:eastAsia="黑体" w:cs="仿宋"/>
                <w:sz w:val="28"/>
                <w:szCs w:val="28"/>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90" w:hRule="atLeast"/>
        </w:trPr>
        <w:tc>
          <w:tcPr>
            <w:tcW w:w="247"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低碳管理</w:t>
            </w: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1</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温室气体排放清单编制</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完成章丘区温室气体排放清单编制</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2024年底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426"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生态工业园区创建</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明水经济技术开发区创建省级生态工业园区</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2025年底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455" w:hRule="atLeast"/>
        </w:trPr>
        <w:tc>
          <w:tcPr>
            <w:tcW w:w="247"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p>
            <w:pPr>
              <w:pStyle w:val="27"/>
              <w:widowControl/>
              <w:spacing w:line="240" w:lineRule="auto"/>
              <w:jc w:val="left"/>
              <w:rPr>
                <w:rFonts w:ascii="仿宋_GB2312" w:hAnsi="仿宋" w:cs="仿宋"/>
                <w:bCs w:val="0"/>
                <w:spacing w:val="0"/>
                <w:sz w:val="28"/>
                <w:szCs w:val="28"/>
              </w:rPr>
            </w:pPr>
          </w:p>
          <w:p>
            <w:pPr>
              <w:pStyle w:val="27"/>
              <w:widowControl/>
              <w:spacing w:line="240" w:lineRule="auto"/>
              <w:jc w:val="left"/>
              <w:rPr>
                <w:rFonts w:ascii="仿宋_GB2312" w:hAnsi="仿宋" w:cs="仿宋"/>
                <w:bCs w:val="0"/>
                <w:spacing w:val="0"/>
                <w:sz w:val="28"/>
                <w:szCs w:val="28"/>
              </w:rPr>
            </w:pPr>
          </w:p>
          <w:p>
            <w:pPr>
              <w:pStyle w:val="27"/>
              <w:widowControl/>
              <w:spacing w:line="240" w:lineRule="auto"/>
              <w:jc w:val="left"/>
              <w:rPr>
                <w:rFonts w:ascii="仿宋_GB2312" w:hAnsi="仿宋" w:cs="仿宋"/>
                <w:bCs w:val="0"/>
                <w:spacing w:val="0"/>
                <w:sz w:val="28"/>
                <w:szCs w:val="28"/>
              </w:rPr>
            </w:pPr>
          </w:p>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低碳能源</w:t>
            </w:r>
          </w:p>
          <w:p>
            <w:pPr>
              <w:pStyle w:val="27"/>
              <w:widowControl/>
              <w:spacing w:line="240" w:lineRule="auto"/>
              <w:jc w:val="left"/>
              <w:rPr>
                <w:rFonts w:ascii="仿宋_GB2312" w:hAnsi="仿宋" w:cs="仿宋"/>
                <w:bCs w:val="0"/>
                <w:spacing w:val="0"/>
                <w:sz w:val="28"/>
                <w:szCs w:val="28"/>
              </w:rPr>
            </w:pPr>
          </w:p>
          <w:p>
            <w:pPr>
              <w:pStyle w:val="27"/>
              <w:widowControl/>
              <w:spacing w:line="240" w:lineRule="auto"/>
              <w:jc w:val="left"/>
              <w:rPr>
                <w:rFonts w:ascii="仿宋_GB2312" w:hAnsi="仿宋" w:cs="仿宋"/>
                <w:bCs w:val="0"/>
                <w:spacing w:val="0"/>
                <w:sz w:val="28"/>
                <w:szCs w:val="28"/>
              </w:rPr>
            </w:pPr>
          </w:p>
          <w:p>
            <w:pPr>
              <w:pStyle w:val="27"/>
              <w:widowControl/>
              <w:spacing w:line="240" w:lineRule="auto"/>
              <w:jc w:val="left"/>
              <w:rPr>
                <w:rFonts w:ascii="仿宋_GB2312" w:hAnsi="仿宋" w:cs="仿宋"/>
                <w:bCs w:val="0"/>
                <w:spacing w:val="0"/>
                <w:sz w:val="28"/>
                <w:szCs w:val="28"/>
              </w:rPr>
            </w:pPr>
          </w:p>
          <w:p>
            <w:pPr>
              <w:pStyle w:val="27"/>
              <w:widowControl/>
              <w:spacing w:line="240" w:lineRule="auto"/>
              <w:jc w:val="left"/>
              <w:rPr>
                <w:rFonts w:ascii="仿宋_GB2312" w:hAnsi="仿宋" w:cs="仿宋"/>
                <w:bCs w:val="0"/>
                <w:spacing w:val="0"/>
                <w:sz w:val="28"/>
                <w:szCs w:val="28"/>
              </w:rPr>
            </w:pPr>
          </w:p>
          <w:p>
            <w:pPr>
              <w:pStyle w:val="27"/>
              <w:widowControl/>
              <w:spacing w:line="240" w:lineRule="auto"/>
              <w:jc w:val="left"/>
              <w:rPr>
                <w:rFonts w:ascii="仿宋_GB2312" w:hAnsi="仿宋" w:cs="仿宋"/>
                <w:bCs w:val="0"/>
                <w:spacing w:val="0"/>
                <w:sz w:val="28"/>
                <w:szCs w:val="28"/>
              </w:rPr>
            </w:pPr>
          </w:p>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低碳能源</w:t>
            </w: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3</w:t>
            </w:r>
          </w:p>
        </w:tc>
        <w:tc>
          <w:tcPr>
            <w:tcW w:w="570"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光伏发电项目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伊莱特能源装备股份有限公司10.08兆瓦分布式光伏发电项目</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2023年底</w:t>
            </w:r>
          </w:p>
        </w:tc>
        <w:tc>
          <w:tcPr>
            <w:tcW w:w="758" w:type="pct"/>
            <w:vMerge w:val="restar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515"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4</w:t>
            </w:r>
          </w:p>
        </w:tc>
        <w:tc>
          <w:tcPr>
            <w:tcW w:w="570"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济南圣泉集团股份有限公司8.5兆瓦光伏发电项目</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2025年底</w:t>
            </w:r>
          </w:p>
        </w:tc>
        <w:tc>
          <w:tcPr>
            <w:tcW w:w="758" w:type="pct"/>
            <w:vMerge w:val="continue"/>
            <w:tcBorders>
              <w:tl2br w:val="nil"/>
              <w:tr2bl w:val="nil"/>
            </w:tcBorders>
            <w:vAlign w:val="center"/>
          </w:tcPr>
          <w:p>
            <w:pPr>
              <w:pStyle w:val="27"/>
              <w:widowControl/>
              <w:spacing w:line="240" w:lineRule="auto"/>
              <w:rPr>
                <w:rFonts w:ascii="仿宋_GB2312" w:hAnsi="仿宋" w:cs="仿宋"/>
                <w:bCs w:val="0"/>
                <w:spacing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340"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5</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光储充一体化项目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山东高速新能源开发有限公司济南东服务区3.2兆瓦光储充一体化项目</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2024年底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340"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6</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余热利用项目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济南东城综合智慧热源项目章丘区刁镇清洁智慧热源厂综合利用化工园区的工业余废热，用于城市供热</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2024年11月</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503"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7</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综合能源项目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章丘区全域光储充检一体化综合能源项目</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2025年</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340"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8</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氢能项目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明泉集团采用先进变压吸附技术对现有10万吨/年变压吸附装置进行利旧改造，建成年产1.6亿立方米高纯氢气（H</w:t>
            </w:r>
            <w:r>
              <w:rPr>
                <w:rFonts w:hint="eastAsia" w:ascii="仿宋_GB2312" w:hAnsi="仿宋" w:cs="仿宋"/>
                <w:bCs w:val="0"/>
                <w:spacing w:val="0"/>
                <w:sz w:val="28"/>
                <w:szCs w:val="28"/>
                <w:shd w:val="clear" w:color="FFFFFF" w:fill="D9D9D9"/>
                <w:vertAlign w:val="subscript"/>
              </w:rPr>
              <w:t>2</w:t>
            </w:r>
            <w:r>
              <w:rPr>
                <w:rFonts w:hint="eastAsia" w:ascii="微软雅黑" w:hAnsi="微软雅黑" w:eastAsia="微软雅黑" w:cs="微软雅黑"/>
                <w:bCs w:val="0"/>
                <w:spacing w:val="0"/>
                <w:sz w:val="28"/>
                <w:szCs w:val="28"/>
              </w:rPr>
              <w:t>≧</w:t>
            </w:r>
            <w:r>
              <w:rPr>
                <w:rFonts w:hint="eastAsia" w:ascii="仿宋_GB2312" w:hAnsi="仿宋" w:cs="仿宋"/>
                <w:bCs w:val="0"/>
                <w:spacing w:val="0"/>
                <w:sz w:val="28"/>
                <w:szCs w:val="28"/>
              </w:rPr>
              <w:t>99.99%）的生产线</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2025年</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651"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9</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储能项目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蓝海领航 100MW/200MWh 储能电站项目</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2025年底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340"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10</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燃气机组热电项目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华电章丘发电有限公司2×400MW燃气机组热电联产项目</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2024年底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340" w:hRule="atLeast"/>
        </w:trPr>
        <w:tc>
          <w:tcPr>
            <w:tcW w:w="247"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低碳产业</w:t>
            </w:r>
          </w:p>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11</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有机废气资源回收利用项目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山东圣泉新材料股份有限公司酚醛树脂、环氧树脂车间新增3套溶剂回收处理装置，年回收溶剂195.624吨，全部回用于生产</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2024年底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539"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12</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产品碳足迹评价工作</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对15家重点工业企业开展产品碳足迹评价工作</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2025年底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743"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13</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纯氧燃烧技术改造项目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伊莱特能源装备股份与林德气体合作，对现有锻造加热炉改造，实现纯氧燃烧，减少温室气体排放</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2025年底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889" w:hRule="atLeast"/>
        </w:trPr>
        <w:tc>
          <w:tcPr>
            <w:tcW w:w="247"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低碳建筑</w:t>
            </w: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14</w:t>
            </w:r>
          </w:p>
        </w:tc>
        <w:tc>
          <w:tcPr>
            <w:tcW w:w="570"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新建厂房屋顶光伏项目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章丘济东智造新城一期20兆瓦平价光伏发电项目</w:t>
            </w:r>
          </w:p>
        </w:tc>
        <w:tc>
          <w:tcPr>
            <w:tcW w:w="454" w:type="pct"/>
            <w:vMerge w:val="restar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2023年底</w:t>
            </w:r>
          </w:p>
        </w:tc>
        <w:tc>
          <w:tcPr>
            <w:tcW w:w="758" w:type="pct"/>
            <w:vMerge w:val="restar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622"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15</w:t>
            </w:r>
          </w:p>
        </w:tc>
        <w:tc>
          <w:tcPr>
            <w:tcW w:w="570"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章丘中小企业转型发展示范园25兆瓦平价光伏发电项目</w:t>
            </w:r>
          </w:p>
        </w:tc>
        <w:tc>
          <w:tcPr>
            <w:tcW w:w="454" w:type="pct"/>
            <w:vMerge w:val="continue"/>
            <w:tcBorders>
              <w:tl2br w:val="nil"/>
              <w:tr2bl w:val="nil"/>
            </w:tcBorders>
            <w:vAlign w:val="center"/>
          </w:tcPr>
          <w:p>
            <w:pPr>
              <w:pStyle w:val="27"/>
              <w:widowControl/>
              <w:spacing w:line="240" w:lineRule="auto"/>
              <w:rPr>
                <w:rFonts w:ascii="仿宋_GB2312" w:hAnsi="仿宋" w:cs="仿宋"/>
                <w:bCs w:val="0"/>
                <w:spacing w:val="0"/>
                <w:sz w:val="28"/>
                <w:szCs w:val="28"/>
              </w:rPr>
            </w:pPr>
          </w:p>
        </w:tc>
        <w:tc>
          <w:tcPr>
            <w:tcW w:w="758" w:type="pct"/>
            <w:vMerge w:val="continue"/>
            <w:tcBorders>
              <w:tl2br w:val="nil"/>
              <w:tr2bl w:val="nil"/>
            </w:tcBorders>
            <w:vAlign w:val="center"/>
          </w:tcPr>
          <w:p>
            <w:pPr>
              <w:pStyle w:val="27"/>
              <w:widowControl/>
              <w:spacing w:line="240" w:lineRule="auto"/>
              <w:rPr>
                <w:rFonts w:ascii="仿宋_GB2312" w:hAnsi="仿宋" w:cs="仿宋"/>
                <w:bCs w:val="0"/>
                <w:spacing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505" w:hRule="atLeast"/>
        </w:trPr>
        <w:tc>
          <w:tcPr>
            <w:tcW w:w="247"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低碳交通</w:t>
            </w: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16</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轨道交通建设工程</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实施轨道交通8号线建设项目</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2026年底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区城乡交运局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570"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17</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 xml:space="preserve">公交建设 </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逐步增加公交线路，公交车达到350辆左右，其中新能源（清洁能源）公交车占比达到80％以上</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2025年底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区城乡交运局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340" w:hRule="atLeast"/>
        </w:trPr>
        <w:tc>
          <w:tcPr>
            <w:tcW w:w="247"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低碳生活</w:t>
            </w: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18</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绿道建设项目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赭山大街北延10公里绿道建设项目</w:t>
            </w:r>
          </w:p>
        </w:tc>
        <w:tc>
          <w:tcPr>
            <w:tcW w:w="454" w:type="pct"/>
            <w:tcBorders>
              <w:tl2br w:val="nil"/>
              <w:tr2bl w:val="nil"/>
            </w:tcBorders>
            <w:shd w:val="clear" w:color="auto" w:fill="auto"/>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2023年底</w:t>
            </w:r>
          </w:p>
        </w:tc>
        <w:tc>
          <w:tcPr>
            <w:tcW w:w="758" w:type="pct"/>
            <w:tcBorders>
              <w:tl2br w:val="nil"/>
              <w:tr2bl w:val="nil"/>
            </w:tcBorders>
            <w:shd w:val="clear" w:color="auto" w:fill="auto"/>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区园林和林业绿化局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905"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19</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固体废物分类收集网络建设</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开展生活垃圾转运站建设和升级改造，推进固体废物回收站点、分拣中心和集散交易市场建设；推进小微产废企业及实验室等固体废物集中统一收运体系建设等</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2025年底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区城市管理局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695"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“无废城市”建设项目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建设刁镇建筑渣土综合利用项目、济南市章丘区建筑垃圾治理项目（一期）、再生资源分拣中心等项目。</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2025年底</w:t>
            </w:r>
          </w:p>
        </w:tc>
        <w:tc>
          <w:tcPr>
            <w:tcW w:w="758" w:type="pct"/>
            <w:tcBorders>
              <w:tl2br w:val="nil"/>
              <w:tr2bl w:val="nil"/>
            </w:tcBorders>
            <w:vAlign w:val="center"/>
          </w:tcPr>
          <w:p>
            <w:pPr>
              <w:pStyle w:val="27"/>
              <w:widowControl/>
              <w:spacing w:line="240" w:lineRule="auto"/>
              <w:jc w:val="both"/>
              <w:rPr>
                <w:rFonts w:ascii="仿宋_GB2312" w:hAnsi="仿宋" w:cs="仿宋"/>
                <w:bCs w:val="0"/>
                <w:spacing w:val="0"/>
                <w:sz w:val="28"/>
                <w:szCs w:val="28"/>
              </w:rPr>
            </w:pPr>
            <w:r>
              <w:rPr>
                <w:rFonts w:hint="eastAsia" w:ascii="仿宋_GB2312" w:hAnsi="仿宋" w:cs="仿宋"/>
                <w:bCs w:val="0"/>
                <w:spacing w:val="0"/>
                <w:sz w:val="28"/>
                <w:szCs w:val="28"/>
              </w:rPr>
              <w:t>区城市管理局、生态环境分局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630" w:hRule="atLeast"/>
        </w:trPr>
        <w:tc>
          <w:tcPr>
            <w:tcW w:w="24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低碳农业</w:t>
            </w: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21</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畜禽粪污资源化利用项目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购置畜禽粪污处置设备；新建、改建储粪场和发酵床</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2023年底</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区农业农村局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535" w:hRule="atLeast"/>
        </w:trPr>
        <w:tc>
          <w:tcPr>
            <w:tcW w:w="247"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碳汇与碳抵消</w:t>
            </w: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22</w:t>
            </w:r>
          </w:p>
        </w:tc>
        <w:tc>
          <w:tcPr>
            <w:tcW w:w="570"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林业建设工程</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完成市级造林项目5500亩</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2023年底</w:t>
            </w:r>
          </w:p>
        </w:tc>
        <w:tc>
          <w:tcPr>
            <w:tcW w:w="758" w:type="pct"/>
            <w:vMerge w:val="restar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区园林和林业绿化局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547"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23</w:t>
            </w:r>
          </w:p>
        </w:tc>
        <w:tc>
          <w:tcPr>
            <w:tcW w:w="570"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规划市级造林项目8000亩</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2024年底</w:t>
            </w:r>
          </w:p>
        </w:tc>
        <w:tc>
          <w:tcPr>
            <w:tcW w:w="758" w:type="pct"/>
            <w:vMerge w:val="continue"/>
            <w:tcBorders>
              <w:tl2br w:val="nil"/>
              <w:tr2bl w:val="nil"/>
            </w:tcBorders>
            <w:vAlign w:val="center"/>
          </w:tcPr>
          <w:p>
            <w:pPr>
              <w:pStyle w:val="27"/>
              <w:widowControl/>
              <w:spacing w:line="240" w:lineRule="auto"/>
              <w:rPr>
                <w:rFonts w:ascii="仿宋_GB2312" w:hAnsi="仿宋" w:cs="仿宋"/>
                <w:bCs w:val="0"/>
                <w:spacing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843" w:hRule="atLeast"/>
        </w:trPr>
        <w:tc>
          <w:tcPr>
            <w:tcW w:w="247"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特色指标</w:t>
            </w: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24</w:t>
            </w:r>
          </w:p>
        </w:tc>
        <w:tc>
          <w:tcPr>
            <w:tcW w:w="570"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生活垃圾焚烧发电项目</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建设章丘绿色动力有限公司二期项目，日处理能力为1600吨生活垃圾+200吨污泥+100吨餐厨垃圾，装机容量为45MW</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2023年</w:t>
            </w:r>
          </w:p>
        </w:tc>
        <w:tc>
          <w:tcPr>
            <w:tcW w:w="758"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区城市管理局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855"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25</w:t>
            </w:r>
          </w:p>
        </w:tc>
        <w:tc>
          <w:tcPr>
            <w:tcW w:w="570" w:type="pct"/>
            <w:vMerge w:val="restar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碳捕集与利用</w:t>
            </w: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明水化工将系统中副产的二氧化碳气体经过提纯、液化等工段生产液体二氧化碳，回收后外卖。设计产能24万吨/年</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2024年</w:t>
            </w:r>
          </w:p>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6月</w:t>
            </w:r>
          </w:p>
        </w:tc>
        <w:tc>
          <w:tcPr>
            <w:tcW w:w="758" w:type="pct"/>
            <w:vMerge w:val="restar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区生态环境分局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cantSplit/>
          <w:trHeight w:val="858" w:hRule="atLeast"/>
        </w:trPr>
        <w:tc>
          <w:tcPr>
            <w:tcW w:w="247"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53"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26</w:t>
            </w:r>
          </w:p>
        </w:tc>
        <w:tc>
          <w:tcPr>
            <w:tcW w:w="570" w:type="pct"/>
            <w:vMerge w:val="continue"/>
            <w:tcBorders>
              <w:tl2br w:val="nil"/>
              <w:tr2bl w:val="nil"/>
            </w:tcBorders>
            <w:vAlign w:val="center"/>
          </w:tcPr>
          <w:p>
            <w:pPr>
              <w:pStyle w:val="27"/>
              <w:widowControl/>
              <w:spacing w:line="240" w:lineRule="auto"/>
              <w:jc w:val="left"/>
              <w:rPr>
                <w:rFonts w:ascii="仿宋_GB2312" w:hAnsi="仿宋" w:cs="仿宋"/>
                <w:bCs w:val="0"/>
                <w:spacing w:val="0"/>
                <w:sz w:val="28"/>
                <w:szCs w:val="28"/>
              </w:rPr>
            </w:pPr>
          </w:p>
        </w:tc>
        <w:tc>
          <w:tcPr>
            <w:tcW w:w="2717" w:type="pct"/>
            <w:tcBorders>
              <w:tl2br w:val="nil"/>
              <w:tr2bl w:val="nil"/>
            </w:tcBorders>
            <w:vAlign w:val="center"/>
          </w:tcPr>
          <w:p>
            <w:pPr>
              <w:pStyle w:val="27"/>
              <w:widowControl/>
              <w:spacing w:line="240" w:lineRule="auto"/>
              <w:jc w:val="left"/>
              <w:rPr>
                <w:rFonts w:ascii="仿宋_GB2312" w:hAnsi="仿宋" w:cs="仿宋"/>
                <w:bCs w:val="0"/>
                <w:spacing w:val="0"/>
                <w:sz w:val="28"/>
                <w:szCs w:val="28"/>
              </w:rPr>
            </w:pPr>
            <w:r>
              <w:rPr>
                <w:rFonts w:hint="eastAsia" w:ascii="仿宋_GB2312" w:hAnsi="仿宋" w:cs="仿宋"/>
                <w:bCs w:val="0"/>
                <w:spacing w:val="0"/>
                <w:sz w:val="28"/>
                <w:szCs w:val="28"/>
              </w:rPr>
              <w:t>日月新材料将系统中副产的二氧化碳气体经过提纯、回收后用于生产尿素。设计产能9万吨/年</w:t>
            </w:r>
          </w:p>
        </w:tc>
        <w:tc>
          <w:tcPr>
            <w:tcW w:w="454" w:type="pct"/>
            <w:tcBorders>
              <w:tl2br w:val="nil"/>
              <w:tr2bl w:val="nil"/>
            </w:tcBorders>
            <w:vAlign w:val="center"/>
          </w:tcPr>
          <w:p>
            <w:pPr>
              <w:pStyle w:val="27"/>
              <w:widowControl/>
              <w:spacing w:line="240" w:lineRule="auto"/>
              <w:rPr>
                <w:rFonts w:ascii="仿宋_GB2312" w:hAnsi="仿宋" w:cs="仿宋"/>
                <w:bCs w:val="0"/>
                <w:spacing w:val="0"/>
                <w:sz w:val="28"/>
                <w:szCs w:val="28"/>
              </w:rPr>
            </w:pPr>
            <w:r>
              <w:rPr>
                <w:rFonts w:hint="eastAsia" w:ascii="仿宋_GB2312" w:hAnsi="仿宋" w:cs="仿宋"/>
                <w:bCs w:val="0"/>
                <w:spacing w:val="0"/>
                <w:sz w:val="28"/>
                <w:szCs w:val="28"/>
              </w:rPr>
              <w:t>2025年底</w:t>
            </w:r>
          </w:p>
        </w:tc>
        <w:tc>
          <w:tcPr>
            <w:tcW w:w="758" w:type="pct"/>
            <w:vMerge w:val="continue"/>
            <w:tcBorders>
              <w:tl2br w:val="nil"/>
              <w:tr2bl w:val="nil"/>
            </w:tcBorders>
            <w:vAlign w:val="center"/>
          </w:tcPr>
          <w:p>
            <w:pPr>
              <w:pStyle w:val="27"/>
              <w:widowControl/>
              <w:spacing w:line="240" w:lineRule="auto"/>
              <w:rPr>
                <w:rFonts w:ascii="仿宋" w:hAnsi="仿宋" w:eastAsia="仿宋" w:cs="仿宋"/>
                <w:bCs w:val="0"/>
                <w:spacing w:val="0"/>
                <w:sz w:val="28"/>
                <w:szCs w:val="28"/>
              </w:rPr>
            </w:pPr>
          </w:p>
        </w:tc>
      </w:tr>
    </w:tbl>
    <w:p>
      <w:pPr>
        <w:ind w:firstLine="640"/>
        <w:sectPr>
          <w:footerReference r:id="rId11" w:type="default"/>
          <w:pgSz w:w="16838" w:h="11906" w:orient="landscape"/>
          <w:pgMar w:top="2098" w:right="1474" w:bottom="1985" w:left="1588" w:header="851" w:footer="992" w:gutter="0"/>
          <w:pgNumType w:fmt="numberInDash"/>
          <w:cols w:space="0" w:num="1"/>
          <w:docGrid w:type="lines" w:linePitch="436" w:charSpace="0"/>
        </w:sectPr>
      </w:pPr>
    </w:p>
    <w:p>
      <w:pPr>
        <w:adjustRightInd/>
        <w:snapToGrid/>
        <w:ind w:firstLine="640"/>
        <w:contextualSpacing/>
        <w:rPr>
          <w:rFonts w:ascii="黑体" w:hAnsi="黑体" w:eastAsia="黑体" w:cs="黑体"/>
          <w:szCs w:val="32"/>
        </w:rPr>
      </w:pPr>
      <w:bookmarkStart w:id="81" w:name="_Toc828"/>
      <w:bookmarkStart w:id="82" w:name="_Toc152749957"/>
      <w:r>
        <w:rPr>
          <w:rFonts w:hint="eastAsia" w:ascii="黑体" w:hAnsi="黑体" w:eastAsia="黑体" w:cs="黑体"/>
          <w:szCs w:val="32"/>
        </w:rPr>
        <w:t>六、保障措施</w:t>
      </w:r>
      <w:bookmarkEnd w:id="80"/>
      <w:bookmarkEnd w:id="81"/>
      <w:bookmarkEnd w:id="82"/>
    </w:p>
    <w:p>
      <w:pPr>
        <w:pStyle w:val="4"/>
        <w:ind w:firstLine="640"/>
        <w:rPr>
          <w:rFonts w:ascii="楷体_GB2312" w:hAnsi="楷体" w:cs="楷体"/>
          <w:szCs w:val="32"/>
        </w:rPr>
      </w:pPr>
      <w:bookmarkStart w:id="83" w:name="_Toc14959"/>
      <w:bookmarkStart w:id="84" w:name="_Toc152749958"/>
      <w:bookmarkStart w:id="85" w:name="_Toc15949"/>
      <w:r>
        <w:rPr>
          <w:rFonts w:hint="eastAsia" w:ascii="楷体_GB2312" w:hAnsi="楷体" w:cs="楷体"/>
          <w:szCs w:val="32"/>
        </w:rPr>
        <w:t>（一）加强组织领导</w:t>
      </w:r>
      <w:bookmarkEnd w:id="83"/>
      <w:bookmarkEnd w:id="84"/>
      <w:bookmarkEnd w:id="85"/>
    </w:p>
    <w:p>
      <w:pPr>
        <w:adjustRightInd/>
        <w:snapToGrid/>
        <w:spacing w:line="240" w:lineRule="auto"/>
        <w:ind w:firstLine="640"/>
        <w:rPr>
          <w:rFonts w:ascii="仿宋_GB2312" w:hAnsi="仿宋" w:cstheme="minorBidi"/>
          <w:szCs w:val="32"/>
        </w:rPr>
      </w:pPr>
      <w:r>
        <w:rPr>
          <w:rFonts w:hint="eastAsia" w:ascii="仿宋_GB2312" w:hAnsi="仿宋_GB2312" w:cs="仿宋_GB2312"/>
          <w:snapToGrid w:val="0"/>
          <w:szCs w:val="32"/>
        </w:rPr>
        <w:t>成立由区长任组长、分管副区长任副组长的</w:t>
      </w:r>
      <w:r>
        <w:rPr>
          <w:rFonts w:hint="eastAsia" w:ascii="仿宋_GB2312" w:hAnsi="仿宋" w:cstheme="minorBidi"/>
          <w:szCs w:val="32"/>
        </w:rPr>
        <w:t>近零碳城市示范创建工作专班</w:t>
      </w:r>
      <w:r>
        <w:rPr>
          <w:rFonts w:hint="eastAsia" w:ascii="仿宋_GB2312" w:hAnsi="仿宋_GB2312" w:cs="仿宋_GB2312"/>
          <w:snapToGrid w:val="0"/>
          <w:szCs w:val="32"/>
        </w:rPr>
        <w:t>（不作为政府议事协调机构）</w:t>
      </w:r>
      <w:r>
        <w:rPr>
          <w:rFonts w:hint="eastAsia" w:ascii="仿宋_GB2312" w:hAnsi="仿宋" w:cstheme="minorBidi"/>
          <w:szCs w:val="32"/>
        </w:rPr>
        <w:t>，负责统筹推进近零碳示范创建工作。工作专班办公室设在区生态环境分局，负责根据创建方案目标任务制定年度工作计划，督促落实工作专班有关决策部署，并承担工作专班日常工作。各部门、各街道（镇）要细化目标任务，编制并实施年度近零碳示范创建计划，每年向近零碳示范城市创建工作专班报告近零碳示范创建情况，工作专班办公室每年对创建方案实施情况进行评估，并将评估结果向区政府汇报。</w:t>
      </w:r>
    </w:p>
    <w:p>
      <w:pPr>
        <w:pStyle w:val="4"/>
        <w:ind w:firstLine="640"/>
        <w:rPr>
          <w:rFonts w:ascii="楷体_GB2312" w:hAnsi="楷体" w:cs="楷体"/>
          <w:szCs w:val="32"/>
        </w:rPr>
      </w:pPr>
      <w:bookmarkStart w:id="86" w:name="_Toc152749960"/>
      <w:bookmarkStart w:id="87" w:name="_Toc32715"/>
      <w:bookmarkStart w:id="88" w:name="_Toc28070"/>
      <w:r>
        <w:rPr>
          <w:rFonts w:hint="eastAsia" w:ascii="楷体_GB2312" w:hAnsi="楷体" w:cs="楷体"/>
          <w:szCs w:val="32"/>
        </w:rPr>
        <w:t>（二）加大资金投入</w:t>
      </w:r>
      <w:bookmarkEnd w:id="86"/>
      <w:bookmarkEnd w:id="87"/>
      <w:bookmarkEnd w:id="88"/>
    </w:p>
    <w:p>
      <w:pPr>
        <w:adjustRightInd/>
        <w:snapToGrid/>
        <w:ind w:firstLine="640"/>
        <w:rPr>
          <w:rFonts w:ascii="仿宋_GB2312" w:hAnsi="仿宋" w:cstheme="minorBidi"/>
          <w:szCs w:val="32"/>
        </w:rPr>
      </w:pPr>
      <w:r>
        <w:rPr>
          <w:rFonts w:hint="eastAsia" w:ascii="仿宋_GB2312" w:hAnsi="仿宋" w:cstheme="minorBidi"/>
          <w:szCs w:val="32"/>
        </w:rPr>
        <w:t>加大财政投入力度，充分发挥财政资金的引导和杠杆作用，加大相关专项资金对低碳项目建设的支持力度。适时统筹整合各类与低碳发展相关财政资金，进一步鼓励社会投资，拓展多元化投融资渠道，推动和引导金融机构积极创新，挖掘灵活多样的金融产品和服务。加强预算绩效管理，以近零碳示范创建为导向，开展资金使用绩效评价，全面提高资金使用效率。充分发挥行业协会、产业联盟等社会团体的桥梁纽带作用，推动重点行业、重点领域绿色发展。</w:t>
      </w:r>
    </w:p>
    <w:p>
      <w:pPr>
        <w:pStyle w:val="4"/>
        <w:ind w:firstLine="640"/>
        <w:rPr>
          <w:rFonts w:ascii="楷体_GB2312" w:hAnsi="楷体" w:cs="楷体"/>
          <w:szCs w:val="32"/>
        </w:rPr>
      </w:pPr>
      <w:bookmarkStart w:id="89" w:name="_Toc152749961"/>
      <w:bookmarkStart w:id="90" w:name="_Toc19930"/>
      <w:bookmarkStart w:id="91" w:name="_Toc3018"/>
      <w:r>
        <w:rPr>
          <w:rFonts w:hint="eastAsia" w:ascii="楷体_GB2312" w:hAnsi="楷体" w:cs="楷体"/>
          <w:szCs w:val="32"/>
        </w:rPr>
        <w:t>（三）强化技术支持</w:t>
      </w:r>
      <w:bookmarkEnd w:id="89"/>
      <w:bookmarkEnd w:id="90"/>
      <w:bookmarkEnd w:id="91"/>
    </w:p>
    <w:p>
      <w:pPr>
        <w:adjustRightInd/>
        <w:snapToGrid/>
        <w:ind w:firstLine="640"/>
        <w:rPr>
          <w:rFonts w:ascii="仿宋_GB2312" w:hAnsi="仿宋" w:cstheme="minorBidi"/>
          <w:szCs w:val="32"/>
        </w:rPr>
      </w:pPr>
      <w:r>
        <w:rPr>
          <w:rFonts w:hint="eastAsia" w:ascii="仿宋_GB2312" w:hAnsi="仿宋" w:cstheme="minorBidi"/>
          <w:szCs w:val="32"/>
        </w:rPr>
        <w:t>加强产学研合作，政府引导支持企业、科研机构、高校探索建立近零碳技术研发平台，将近零碳示范创建的相关政策、技术、案例等信息进行集中展示和推广，推动技术创新、成果转化、产业升级。组建由低碳领域知名专家组成的专家团队，培育碳排放统计核算、节能环保、低碳发展等相关业务人才，强化人才队伍建设。</w:t>
      </w:r>
    </w:p>
    <w:p>
      <w:pPr>
        <w:pStyle w:val="4"/>
        <w:ind w:firstLine="640"/>
        <w:rPr>
          <w:rFonts w:ascii="楷体_GB2312" w:hAnsi="楷体" w:cs="楷体"/>
          <w:szCs w:val="32"/>
        </w:rPr>
      </w:pPr>
      <w:bookmarkStart w:id="92" w:name="_Toc14525"/>
      <w:bookmarkStart w:id="93" w:name="_Toc32409"/>
      <w:bookmarkStart w:id="94" w:name="_Toc152749962"/>
      <w:r>
        <w:rPr>
          <w:rFonts w:hint="eastAsia" w:ascii="楷体_GB2312" w:hAnsi="楷体" w:cs="楷体"/>
          <w:szCs w:val="32"/>
        </w:rPr>
        <w:t>（四）强化宣传引导</w:t>
      </w:r>
      <w:bookmarkEnd w:id="92"/>
      <w:bookmarkEnd w:id="93"/>
      <w:bookmarkEnd w:id="94"/>
    </w:p>
    <w:p>
      <w:pPr>
        <w:adjustRightInd/>
        <w:snapToGrid/>
        <w:ind w:firstLine="640"/>
        <w:rPr>
          <w:rFonts w:ascii="仿宋_GB2312" w:hAnsi="仿宋" w:cstheme="minorBidi"/>
          <w:szCs w:val="32"/>
        </w:rPr>
      </w:pPr>
      <w:r>
        <w:rPr>
          <w:rFonts w:hint="eastAsia" w:ascii="仿宋_GB2312" w:hAnsi="仿宋" w:cstheme="minorBidi"/>
          <w:szCs w:val="32"/>
        </w:rPr>
        <w:t>多渠道宣传近零碳示范创建，打造近零碳样板和典型。围绕近零碳示范创建先进经验、典型事件、显著成就、重大技术进步等，适时组织新闻发布会，及时向公众进行政策宣传。以世界环境日、全国低碳日等为依托，积极鼓励媒体加大对近零碳示范创建相关主题的宣传力度，通过广泛报道和深入剖析，鼓励社会组织积极参与低碳公益活动，增强公众对近零碳示范创建的理解和认同，共同推动低碳理念的传播和普及。</w:t>
      </w:r>
    </w:p>
    <w:p>
      <w:pPr>
        <w:adjustRightInd/>
        <w:snapToGrid/>
        <w:ind w:firstLine="640"/>
        <w:rPr>
          <w:rFonts w:ascii="仿宋_GB2312" w:hAnsi="仿宋" w:cstheme="minorBidi"/>
          <w:szCs w:val="32"/>
        </w:rPr>
      </w:pPr>
    </w:p>
    <w:p>
      <w:pPr>
        <w:adjustRightInd/>
        <w:snapToGrid/>
        <w:ind w:firstLine="640"/>
        <w:rPr>
          <w:rFonts w:ascii="仿宋_GB2312" w:hAnsi="仿宋" w:cstheme="minorBidi"/>
          <w:spacing w:val="-14"/>
          <w:szCs w:val="32"/>
        </w:rPr>
      </w:pPr>
      <w:r>
        <w:rPr>
          <w:rFonts w:hint="eastAsia" w:ascii="仿宋_GB2312" w:hAnsi="仿宋" w:cstheme="minorBidi"/>
          <w:szCs w:val="32"/>
        </w:rPr>
        <w:t>附件：济</w:t>
      </w:r>
      <w:r>
        <w:rPr>
          <w:rFonts w:hint="eastAsia" w:ascii="仿宋_GB2312" w:hAnsi="仿宋" w:cstheme="minorBidi"/>
          <w:spacing w:val="-14"/>
          <w:szCs w:val="32"/>
        </w:rPr>
        <w:t>南市章丘区近零碳城市示范创建工作专班组成人员名单</w:t>
      </w:r>
    </w:p>
    <w:p>
      <w:pPr>
        <w:adjustRightInd/>
        <w:snapToGrid/>
        <w:ind w:firstLine="640"/>
        <w:rPr>
          <w:rFonts w:ascii="仿宋_GB2312" w:hAnsi="仿宋" w:cstheme="minorBidi"/>
          <w:szCs w:val="32"/>
        </w:rPr>
      </w:pPr>
    </w:p>
    <w:p>
      <w:pPr>
        <w:adjustRightInd/>
        <w:snapToGrid/>
        <w:ind w:firstLine="640"/>
        <w:rPr>
          <w:rFonts w:ascii="仿宋_GB2312" w:hAnsi="仿宋" w:cstheme="minorBidi"/>
          <w:szCs w:val="32"/>
        </w:rPr>
      </w:pPr>
    </w:p>
    <w:p>
      <w:pPr>
        <w:adjustRightInd/>
        <w:snapToGrid/>
        <w:ind w:firstLine="640"/>
        <w:rPr>
          <w:rFonts w:ascii="仿宋_GB2312" w:hAnsi="仿宋" w:cstheme="minorBidi"/>
          <w:szCs w:val="32"/>
        </w:rPr>
      </w:pPr>
    </w:p>
    <w:p>
      <w:pPr>
        <w:pStyle w:val="2"/>
        <w:rPr>
          <w:rFonts w:ascii="仿宋_GB2312" w:hAnsi="仿宋" w:cstheme="minorBidi"/>
          <w:szCs w:val="32"/>
        </w:rPr>
      </w:pPr>
    </w:p>
    <w:p>
      <w:pPr>
        <w:pStyle w:val="2"/>
        <w:rPr>
          <w:rFonts w:ascii="仿宋_GB2312" w:hAnsi="仿宋" w:cstheme="minorBidi"/>
          <w:szCs w:val="32"/>
        </w:rPr>
      </w:pPr>
    </w:p>
    <w:p>
      <w:pPr>
        <w:pStyle w:val="2"/>
        <w:rPr>
          <w:rFonts w:ascii="仿宋_GB2312" w:hAnsi="仿宋" w:cstheme="minorBidi"/>
          <w:szCs w:val="32"/>
        </w:rPr>
      </w:pPr>
    </w:p>
    <w:p>
      <w:pPr>
        <w:pStyle w:val="2"/>
        <w:rPr>
          <w:rFonts w:ascii="仿宋_GB2312" w:hAnsi="仿宋" w:cstheme="minorBidi"/>
          <w:szCs w:val="32"/>
        </w:rPr>
      </w:pPr>
    </w:p>
    <w:p>
      <w:pPr>
        <w:adjustRightInd/>
        <w:snapToGrid/>
        <w:ind w:firstLine="0" w:firstLineChars="0"/>
        <w:jc w:val="left"/>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i w:val="0"/>
          <w:iCs w:val="0"/>
          <w:szCs w:val="32"/>
          <w:lang w:eastAsia="zh-CN"/>
        </w:rPr>
      </w:pPr>
      <w:r>
        <w:rPr>
          <w:rFonts w:hint="eastAsia" w:ascii="黑体" w:hAnsi="黑体" w:eastAsia="黑体"/>
          <w:szCs w:val="32"/>
        </w:rPr>
        <w:t>附件</w:t>
      </w:r>
      <w:r>
        <w:rPr>
          <w:rFonts w:hint="eastAsia" w:ascii="黑体" w:hAnsi="黑体" w:eastAsia="黑体"/>
          <w:i w:val="0"/>
          <w:iCs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i w:val="0"/>
          <w:iCs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文星标宋" w:hAnsi="文星标宋" w:eastAsia="文星标宋"/>
          <w:i w:val="0"/>
          <w:iCs w:val="0"/>
          <w:sz w:val="44"/>
          <w:szCs w:val="44"/>
        </w:rPr>
      </w:pPr>
      <w:bookmarkStart w:id="95" w:name="_Hlk155977549"/>
      <w:r>
        <w:rPr>
          <w:rFonts w:hint="eastAsia" w:ascii="文星标宋" w:hAnsi="文星标宋" w:eastAsia="文星标宋"/>
          <w:i w:val="0"/>
          <w:iCs w:val="0"/>
          <w:sz w:val="44"/>
          <w:szCs w:val="44"/>
        </w:rPr>
        <w:t>济南市章丘区近零碳城市示范创建工作专班</w:t>
      </w:r>
    </w:p>
    <w:bookmarkEnd w:id="95"/>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文星标宋" w:hAnsi="文星标宋" w:eastAsia="文星标宋"/>
          <w:i w:val="0"/>
          <w:iCs w:val="0"/>
          <w:sz w:val="44"/>
          <w:szCs w:val="44"/>
        </w:rPr>
      </w:pPr>
      <w:r>
        <w:rPr>
          <w:rFonts w:hint="eastAsia" w:ascii="文星标宋" w:hAnsi="文星标宋" w:eastAsia="文星标宋"/>
          <w:i w:val="0"/>
          <w:iCs w:val="0"/>
          <w:sz w:val="44"/>
          <w:szCs w:val="44"/>
        </w:rPr>
        <w:t>组成人员名单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i w:val="0"/>
          <w:iCs w:val="0"/>
        </w:rPr>
      </w:pPr>
    </w:p>
    <w:p>
      <w:pPr>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i w:val="0"/>
          <w:iCs w:val="0"/>
        </w:rPr>
      </w:pPr>
      <w:r>
        <w:rPr>
          <w:rFonts w:hint="eastAsia" w:ascii="黑体" w:hAnsi="黑体" w:eastAsia="黑体"/>
          <w:i w:val="0"/>
          <w:iCs w:val="0"/>
        </w:rPr>
        <w:t>组  长：</w:t>
      </w:r>
      <w:r>
        <w:rPr>
          <w:rFonts w:hint="eastAsia"/>
          <w:i w:val="0"/>
          <w:iCs w:val="0"/>
        </w:rPr>
        <w:t xml:space="preserve">边祥为  区委副书记、区长 </w:t>
      </w:r>
    </w:p>
    <w:p>
      <w:pPr>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i w:val="0"/>
          <w:iCs w:val="0"/>
        </w:rPr>
      </w:pPr>
      <w:r>
        <w:rPr>
          <w:rFonts w:hint="eastAsia" w:ascii="黑体" w:hAnsi="黑体" w:eastAsia="黑体"/>
          <w:i w:val="0"/>
          <w:iCs w:val="0"/>
        </w:rPr>
        <w:t>副组长：</w:t>
      </w:r>
      <w:r>
        <w:rPr>
          <w:rFonts w:hint="eastAsia"/>
          <w:i w:val="0"/>
          <w:iCs w:val="0"/>
        </w:rPr>
        <w:t>赵淑新  副区长</w:t>
      </w:r>
    </w:p>
    <w:p>
      <w:pPr>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ascii="仿宋_GB2312" w:hAnsi="黑体"/>
          <w:i w:val="0"/>
          <w:iCs w:val="0"/>
        </w:rPr>
      </w:pPr>
      <w:r>
        <w:rPr>
          <w:rFonts w:hint="eastAsia" w:ascii="黑体" w:hAnsi="黑体" w:eastAsia="黑体"/>
          <w:i w:val="0"/>
          <w:iCs w:val="0"/>
        </w:rPr>
        <w:t>成  员：</w:t>
      </w:r>
      <w:r>
        <w:rPr>
          <w:rFonts w:hint="eastAsia" w:ascii="仿宋_GB2312" w:hAnsi="黑体"/>
          <w:i w:val="0"/>
          <w:iCs w:val="0"/>
        </w:rPr>
        <w:t>李良港  明水经济技术开发区管委会副主任、</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contextualSpacing/>
        <w:textAlignment w:val="auto"/>
        <w:rPr>
          <w:rFonts w:ascii="仿宋_GB2312" w:hAnsi="黑体"/>
          <w:i w:val="0"/>
          <w:iCs w:val="0"/>
        </w:rPr>
      </w:pPr>
      <w:r>
        <w:rPr>
          <w:rFonts w:hint="eastAsia" w:ascii="仿宋_GB2312" w:hAnsi="黑体"/>
          <w:i w:val="0"/>
          <w:iCs w:val="0"/>
        </w:rPr>
        <w:t>区财政局局长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 xml:space="preserve">田  亮  区发展和改革局局长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 xml:space="preserve">杨殿学  区工业和信息化局局长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李经国  区住房和城乡建设局局长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刘万银  区城市管理局局长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高  伟  区城乡交通运输局局长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陈  震  区农业农村局局长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柴  斌  区园林和林业绿化局局长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 xml:space="preserve">张  </w:t>
      </w:r>
      <w:r>
        <w:rPr>
          <w:rFonts w:hint="eastAsia" w:ascii="微软雅黑" w:hAnsi="微软雅黑" w:eastAsia="微软雅黑" w:cs="微软雅黑"/>
          <w:i w:val="0"/>
          <w:iCs w:val="0"/>
        </w:rPr>
        <w:t>劼</w:t>
      </w:r>
      <w:r>
        <w:rPr>
          <w:rFonts w:hint="eastAsia"/>
          <w:i w:val="0"/>
          <w:iCs w:val="0"/>
        </w:rPr>
        <w:t xml:space="preserve">  区统计局局长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付金华  区生态环境分局局长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张  钰  区金融事业发展中心主任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马进军  国网济南市章丘区供电公司总经理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郑玉超  枣园街道党工委书记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王  民  明水街道办事处主任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冯其军  双山街道办事处主任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马荣杰  埠村街道办事处主任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徐晓麟  圣井街道办事处主任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李发浩  普集街道办事处主任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于喜洋  绣惠街道办事处主任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王志华  相公庄街道办事处主任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孟园园  文祖街道办事处主任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马德浩  官庄街道办事处主任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马  永  高官寨街道办事处主任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田桂双  宁家埠街道办事处主任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程涛远  白云湖街道办事处主任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王明庆  曹范街道办事处主任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刘奎星  刁镇街道办事处主任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郭增江  黄河街道办事处主任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 xml:space="preserve">袁  鹏  垛庄镇人民政府镇长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contextualSpacing/>
        <w:textAlignment w:val="auto"/>
        <w:rPr>
          <w:i w:val="0"/>
          <w:iCs w:val="0"/>
        </w:rPr>
      </w:pPr>
      <w:r>
        <w:rPr>
          <w:rFonts w:hint="eastAsia"/>
          <w:i w:val="0"/>
          <w:iCs w:val="0"/>
        </w:rPr>
        <w:t>彭绵鹏  龙山街道经济发展服务中心主任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hint="eastAsia"/>
          <w:i w:val="0"/>
          <w:iCs w:val="0"/>
        </w:rPr>
      </w:pPr>
      <w:r>
        <w:rPr>
          <w:rFonts w:hint="eastAsia"/>
          <w:i w:val="0"/>
          <w:iCs w:val="0"/>
        </w:rPr>
        <w:t>工作专班办公室设在区生态环境分局，付金华同志兼任办公室主任。办公室负责督促落实工作专班各项决策部署，根据创建方案制定工作计划，统筹</w:t>
      </w:r>
      <w:r>
        <w:rPr>
          <w:rFonts w:hint="eastAsia" w:ascii="仿宋_GB2312"/>
          <w:i w:val="0"/>
          <w:iCs w:val="0"/>
          <w:szCs w:val="32"/>
        </w:rPr>
        <w:t>做好指标分解、问题会商、定期评估等工作</w:t>
      </w:r>
      <w:r>
        <w:rPr>
          <w:rFonts w:hint="eastAsia"/>
          <w:i w:val="0"/>
          <w:iCs w:val="0"/>
        </w:rPr>
        <w:t>。今后，工作专班组成人员职务如有变动，由该成员单位接任其职务者自然替补，并由工作专班办公室负责通知。</w:t>
      </w:r>
    </w:p>
    <w:p>
      <w:pPr>
        <w:pStyle w:val="2"/>
        <w:rPr>
          <w:rFonts w:hint="eastAsia"/>
          <w:i w:val="0"/>
          <w:iCs w:val="0"/>
        </w:rPr>
      </w:pPr>
    </w:p>
    <w:p>
      <w:pPr>
        <w:pStyle w:val="2"/>
        <w:rPr>
          <w:rFonts w:hint="eastAsia"/>
          <w:i w:val="0"/>
          <w:iCs w:val="0"/>
        </w:rPr>
      </w:pPr>
    </w:p>
    <w:p>
      <w:pPr>
        <w:keepNext w:val="0"/>
        <w:keepLines w:val="0"/>
        <w:pageBreakBefore w:val="0"/>
        <w:widowControl w:val="0"/>
        <w:kinsoku/>
        <w:wordWrap/>
        <w:overflowPunct/>
        <w:topLinePunct w:val="0"/>
        <w:autoSpaceDE/>
        <w:autoSpaceDN/>
        <w:bidi w:val="0"/>
        <w:adjustRightInd/>
        <w:snapToGrid/>
        <w:spacing w:line="600" w:lineRule="exact"/>
        <w:ind w:left="1118" w:leftChars="87" w:right="320" w:rightChars="100" w:hanging="840" w:hangingChars="300"/>
        <w:jc w:val="both"/>
        <w:textAlignment w:val="auto"/>
        <w:rPr>
          <w:rFonts w:ascii="仿宋_GB2312" w:eastAsia="仿宋_GB2312"/>
          <w:bCs/>
          <w:color w:val="000000"/>
          <w:sz w:val="28"/>
          <w:szCs w:val="28"/>
        </w:rPr>
      </w:pPr>
      <w:r>
        <w:rPr>
          <w:rFonts w:asci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15240</wp:posOffset>
                </wp:positionV>
                <wp:extent cx="5848985" cy="17780"/>
                <wp:effectExtent l="0" t="7620" r="18415" b="12700"/>
                <wp:wrapNone/>
                <wp:docPr id="14" name="直接连接符 14"/>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60.55pt;mso-position-horizontal:center;z-index:251662336;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7uGd7TAAAABAEAAA8AAAAAAAAAAQAgAAAAIgAAAGRycy9k&#10;b3ducmV2LnhtbFBLAQIUABQAAAAIAIdO4kCJIQG7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抄送：区委办公室，区人大常委会办公室，区政协办公室，区法院，区检察院，区人武部。</w:t>
      </w:r>
    </w:p>
    <w:p>
      <w:pPr>
        <w:keepNext w:val="0"/>
        <w:keepLines w:val="0"/>
        <w:pageBreakBefore w:val="0"/>
        <w:widowControl w:val="0"/>
        <w:kinsoku/>
        <w:wordWrap/>
        <w:overflowPunct/>
        <w:topLinePunct w:val="0"/>
        <w:autoSpaceDE/>
        <w:autoSpaceDN/>
        <w:bidi w:val="0"/>
        <w:adjustRightInd/>
        <w:snapToGrid/>
        <w:spacing w:line="600" w:lineRule="exact"/>
        <w:ind w:left="0" w:leftChars="0" w:right="320" w:rightChars="100" w:firstLine="280" w:firstLineChars="100"/>
        <w:textAlignment w:val="auto"/>
      </w:pPr>
      <w:r>
        <w:rPr>
          <w:rFonts w:ascii="Calibri" w:hAnsi="Calibri" w:eastAsia="宋体"/>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427355</wp:posOffset>
                </wp:positionV>
                <wp:extent cx="5838190" cy="381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59.7pt;mso-position-horizontal:center;z-index:251664384;mso-width-relative:page;mso-height-relative:page;" filled="f" stroked="t" coordsize="21600,21600"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lVCNUAAAAGAQAADwAAAAAAAAABACAAAAAiAAAAZHJzL2Rv&#10;d25yZXYueG1sUEsBAhQAFAAAAAgAh07iQMc2igEEAgAAAgQAAA4AAAAAAAAAAQAgAAAAJAEAAGRy&#10;cy9lMm9Eb2MueG1sUEsFBgAAAAAGAAYAWQEAAJoFAAAAAA==&#10;">
                <v:fill on="f" focussize="0,0"/>
                <v:stroke weight="1.25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45720</wp:posOffset>
                </wp:positionV>
                <wp:extent cx="5830570" cy="0"/>
                <wp:effectExtent l="0" t="4445" r="0" b="0"/>
                <wp:wrapNone/>
                <wp:docPr id="16" name="直接连接符 16"/>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59.1pt;mso-position-horizontal:center;z-index:251663360;mso-width-relative:page;mso-height-relative:page;" filled="f" stroked="t" coordsize="21600,21600"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VQp4PSAAAABAEAAA8AAAAAAAAAAQAgAAAAIgAAAGRycy9kb3ducmV2&#10;LnhtbFBLAQIUABQAAAAIAIdO4kBtHWi3AgIAAP4DAAAOAAAAAAAAAAEAIAAAACEBAABkcnMvZTJv&#10;RG9jLnhtbFBLBQYAAAAABgAGAFkBAACVBQAAAAA=&#10;">
                <v:fill on="f" focussize="0,0"/>
                <v:stroke color="#000000" joinstyle="round"/>
                <v:imagedata o:title=""/>
                <o:lock v:ext="edit" aspectratio="f"/>
              </v:line>
            </w:pict>
          </mc:Fallback>
        </mc:AlternateContent>
      </w:r>
      <w:r>
        <w:rPr>
          <w:rFonts w:hint="eastAsia" w:ascii="仿宋_GB2312" w:eastAsia="仿宋_GB2312"/>
          <w:sz w:val="28"/>
          <w:szCs w:val="28"/>
        </w:rPr>
        <w:t>济南市章丘区人民政府办公室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sz w:val="28"/>
          <w:szCs w:val="28"/>
          <w:lang w:val="en-US" w:eastAsia="zh-CN"/>
        </w:rPr>
        <w:t>1</w:t>
      </w:r>
      <w:r>
        <w:rPr>
          <w:rFonts w:hint="eastAsia" w:ascii="仿宋_GB2312" w:eastAsia="仿宋_GB2312"/>
          <w:sz w:val="28"/>
          <w:szCs w:val="28"/>
        </w:rPr>
        <w:t>月</w:t>
      </w:r>
      <w:r>
        <w:rPr>
          <w:rFonts w:hint="eastAsia" w:ascii="仿宋_GB2312"/>
          <w:sz w:val="28"/>
          <w:szCs w:val="28"/>
          <w:lang w:val="en-US" w:eastAsia="zh-CN"/>
        </w:rPr>
        <w:t>17</w:t>
      </w:r>
      <w:r>
        <w:rPr>
          <w:rFonts w:hint="eastAsia" w:ascii="仿宋_GB2312" w:eastAsia="仿宋_GB2312"/>
          <w:sz w:val="28"/>
          <w:szCs w:val="28"/>
        </w:rPr>
        <w:t>日印发</w:t>
      </w:r>
      <w:r>
        <w:rPr>
          <w:sz w:val="28"/>
          <w:szCs w:val="28"/>
        </w:rPr>
        <mc:AlternateContent>
          <mc:Choice Requires="wps">
            <w:drawing>
              <wp:anchor distT="0" distB="0" distL="114300" distR="114300" simplePos="0" relativeHeight="251665408"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5408;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txbxContent>
                </v:textbox>
              </v:shape>
            </w:pict>
          </mc:Fallback>
        </mc:AlternateContent>
      </w:r>
    </w:p>
    <w:p>
      <w:pPr>
        <w:pStyle w:val="2"/>
      </w:pPr>
    </w:p>
    <w:sectPr>
      <w:pgSz w:w="11906" w:h="16838"/>
      <w:pgMar w:top="1440" w:right="1474" w:bottom="1440" w:left="147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panose1 w:val="02010604000101010101"/>
    <w:charset w:val="86"/>
    <w:family w:val="auto"/>
    <w:pitch w:val="default"/>
    <w:sig w:usb0="00000001" w:usb1="080E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1"/>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- 40 -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1"/>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- 40 -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218"/>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ODVkYzBjZTlkMjI5Y2FjMTliZWUxMDUzNjQwNjYifQ=="/>
  </w:docVars>
  <w:rsids>
    <w:rsidRoot w:val="00172A27"/>
    <w:rsid w:val="00014890"/>
    <w:rsid w:val="0003550E"/>
    <w:rsid w:val="00042DA5"/>
    <w:rsid w:val="000C3597"/>
    <w:rsid w:val="000D5E68"/>
    <w:rsid w:val="00122030"/>
    <w:rsid w:val="00124BA5"/>
    <w:rsid w:val="00133A56"/>
    <w:rsid w:val="00136B68"/>
    <w:rsid w:val="0013740B"/>
    <w:rsid w:val="00141F36"/>
    <w:rsid w:val="00153C5E"/>
    <w:rsid w:val="00172A27"/>
    <w:rsid w:val="0017786C"/>
    <w:rsid w:val="0019066D"/>
    <w:rsid w:val="001A4ED1"/>
    <w:rsid w:val="001B3410"/>
    <w:rsid w:val="001E4DF4"/>
    <w:rsid w:val="001F7E96"/>
    <w:rsid w:val="0021660F"/>
    <w:rsid w:val="0022729B"/>
    <w:rsid w:val="002409F8"/>
    <w:rsid w:val="00254332"/>
    <w:rsid w:val="002606A2"/>
    <w:rsid w:val="00264EDF"/>
    <w:rsid w:val="0027421D"/>
    <w:rsid w:val="00284480"/>
    <w:rsid w:val="00294A07"/>
    <w:rsid w:val="002B28F0"/>
    <w:rsid w:val="0032001B"/>
    <w:rsid w:val="003360F5"/>
    <w:rsid w:val="00355F21"/>
    <w:rsid w:val="003626B0"/>
    <w:rsid w:val="0036576A"/>
    <w:rsid w:val="003902CA"/>
    <w:rsid w:val="003963FE"/>
    <w:rsid w:val="003A07EB"/>
    <w:rsid w:val="003C30EF"/>
    <w:rsid w:val="003D2710"/>
    <w:rsid w:val="003E54B2"/>
    <w:rsid w:val="00411FC2"/>
    <w:rsid w:val="004127F2"/>
    <w:rsid w:val="00431E86"/>
    <w:rsid w:val="004357B2"/>
    <w:rsid w:val="0045431D"/>
    <w:rsid w:val="00470A4E"/>
    <w:rsid w:val="00496356"/>
    <w:rsid w:val="004C12C5"/>
    <w:rsid w:val="004D7507"/>
    <w:rsid w:val="004E095D"/>
    <w:rsid w:val="004F2E28"/>
    <w:rsid w:val="00506D7B"/>
    <w:rsid w:val="00594F90"/>
    <w:rsid w:val="005D4BC0"/>
    <w:rsid w:val="0062067D"/>
    <w:rsid w:val="006258B1"/>
    <w:rsid w:val="0063532E"/>
    <w:rsid w:val="00641401"/>
    <w:rsid w:val="00651C8C"/>
    <w:rsid w:val="006522D9"/>
    <w:rsid w:val="00653338"/>
    <w:rsid w:val="00657462"/>
    <w:rsid w:val="006A0AC3"/>
    <w:rsid w:val="006D67D9"/>
    <w:rsid w:val="006D6F3B"/>
    <w:rsid w:val="006E37A8"/>
    <w:rsid w:val="006E3B91"/>
    <w:rsid w:val="00712EB0"/>
    <w:rsid w:val="0072264C"/>
    <w:rsid w:val="00724416"/>
    <w:rsid w:val="007432EA"/>
    <w:rsid w:val="007463B5"/>
    <w:rsid w:val="007624EC"/>
    <w:rsid w:val="007955CB"/>
    <w:rsid w:val="007B6DD3"/>
    <w:rsid w:val="007B782F"/>
    <w:rsid w:val="007C1591"/>
    <w:rsid w:val="007D1C4F"/>
    <w:rsid w:val="00800DD5"/>
    <w:rsid w:val="00806FBE"/>
    <w:rsid w:val="00841AD3"/>
    <w:rsid w:val="00853B6D"/>
    <w:rsid w:val="00857896"/>
    <w:rsid w:val="00862836"/>
    <w:rsid w:val="00870DB3"/>
    <w:rsid w:val="008A74DB"/>
    <w:rsid w:val="008D3D89"/>
    <w:rsid w:val="008D458A"/>
    <w:rsid w:val="0090022D"/>
    <w:rsid w:val="00903635"/>
    <w:rsid w:val="009216DA"/>
    <w:rsid w:val="00937D28"/>
    <w:rsid w:val="00957177"/>
    <w:rsid w:val="00967374"/>
    <w:rsid w:val="0097075F"/>
    <w:rsid w:val="00976941"/>
    <w:rsid w:val="0098376C"/>
    <w:rsid w:val="009E325C"/>
    <w:rsid w:val="00A27105"/>
    <w:rsid w:val="00A47739"/>
    <w:rsid w:val="00A568B2"/>
    <w:rsid w:val="00A6102B"/>
    <w:rsid w:val="00A63C64"/>
    <w:rsid w:val="00A63E84"/>
    <w:rsid w:val="00A74036"/>
    <w:rsid w:val="00A81E37"/>
    <w:rsid w:val="00A8424B"/>
    <w:rsid w:val="00AB5398"/>
    <w:rsid w:val="00AD5237"/>
    <w:rsid w:val="00AE200C"/>
    <w:rsid w:val="00AE3C9C"/>
    <w:rsid w:val="00B00BD6"/>
    <w:rsid w:val="00B04F47"/>
    <w:rsid w:val="00B15D9E"/>
    <w:rsid w:val="00B20B43"/>
    <w:rsid w:val="00B20F0D"/>
    <w:rsid w:val="00B31FCC"/>
    <w:rsid w:val="00B95120"/>
    <w:rsid w:val="00BA7206"/>
    <w:rsid w:val="00BF3EA2"/>
    <w:rsid w:val="00C0315B"/>
    <w:rsid w:val="00C161B9"/>
    <w:rsid w:val="00C676FE"/>
    <w:rsid w:val="00CA6176"/>
    <w:rsid w:val="00CC23C7"/>
    <w:rsid w:val="00D03995"/>
    <w:rsid w:val="00D528BE"/>
    <w:rsid w:val="00D52B5A"/>
    <w:rsid w:val="00DA4150"/>
    <w:rsid w:val="00DD5729"/>
    <w:rsid w:val="00DD5C55"/>
    <w:rsid w:val="00DE4007"/>
    <w:rsid w:val="00DF780B"/>
    <w:rsid w:val="00E40E2B"/>
    <w:rsid w:val="00E74718"/>
    <w:rsid w:val="00E832AB"/>
    <w:rsid w:val="00E90583"/>
    <w:rsid w:val="00E931CA"/>
    <w:rsid w:val="00E93434"/>
    <w:rsid w:val="00E978C5"/>
    <w:rsid w:val="00EA2E31"/>
    <w:rsid w:val="00EB3E31"/>
    <w:rsid w:val="00EC0C55"/>
    <w:rsid w:val="00EC2675"/>
    <w:rsid w:val="00EC54AB"/>
    <w:rsid w:val="00EF2A85"/>
    <w:rsid w:val="00EF637D"/>
    <w:rsid w:val="00F12295"/>
    <w:rsid w:val="00F22678"/>
    <w:rsid w:val="00F23314"/>
    <w:rsid w:val="00F23A16"/>
    <w:rsid w:val="00F26823"/>
    <w:rsid w:val="00F45590"/>
    <w:rsid w:val="00F71FD1"/>
    <w:rsid w:val="00FA5936"/>
    <w:rsid w:val="00FA614B"/>
    <w:rsid w:val="00FA6BE4"/>
    <w:rsid w:val="00FC7FB0"/>
    <w:rsid w:val="011A5061"/>
    <w:rsid w:val="014C0F82"/>
    <w:rsid w:val="01C920B4"/>
    <w:rsid w:val="01EF372C"/>
    <w:rsid w:val="02086168"/>
    <w:rsid w:val="020B2A82"/>
    <w:rsid w:val="024646FA"/>
    <w:rsid w:val="02466C47"/>
    <w:rsid w:val="02550F1B"/>
    <w:rsid w:val="02615CDC"/>
    <w:rsid w:val="02641C78"/>
    <w:rsid w:val="02906F11"/>
    <w:rsid w:val="029A107E"/>
    <w:rsid w:val="02A227A1"/>
    <w:rsid w:val="02BC4875"/>
    <w:rsid w:val="02D41F3A"/>
    <w:rsid w:val="02F542A8"/>
    <w:rsid w:val="031746A4"/>
    <w:rsid w:val="03370150"/>
    <w:rsid w:val="03390CBC"/>
    <w:rsid w:val="03765655"/>
    <w:rsid w:val="037A221A"/>
    <w:rsid w:val="039B31C2"/>
    <w:rsid w:val="039B66C1"/>
    <w:rsid w:val="039C1B43"/>
    <w:rsid w:val="03F26591"/>
    <w:rsid w:val="03FD66EA"/>
    <w:rsid w:val="041B4B2C"/>
    <w:rsid w:val="0458580D"/>
    <w:rsid w:val="045D797B"/>
    <w:rsid w:val="0478650E"/>
    <w:rsid w:val="04954B9B"/>
    <w:rsid w:val="04AE7C11"/>
    <w:rsid w:val="04B7218D"/>
    <w:rsid w:val="04BD7D66"/>
    <w:rsid w:val="05000F07"/>
    <w:rsid w:val="0504435C"/>
    <w:rsid w:val="051A0848"/>
    <w:rsid w:val="051A296F"/>
    <w:rsid w:val="05216798"/>
    <w:rsid w:val="052C154B"/>
    <w:rsid w:val="054F204C"/>
    <w:rsid w:val="055743F2"/>
    <w:rsid w:val="057C0850"/>
    <w:rsid w:val="062611FC"/>
    <w:rsid w:val="066629EB"/>
    <w:rsid w:val="066B41EC"/>
    <w:rsid w:val="069848F8"/>
    <w:rsid w:val="069A690A"/>
    <w:rsid w:val="06AB35FB"/>
    <w:rsid w:val="06AE0203"/>
    <w:rsid w:val="06BD2D1A"/>
    <w:rsid w:val="06BE0CC8"/>
    <w:rsid w:val="06C32971"/>
    <w:rsid w:val="06E84559"/>
    <w:rsid w:val="06F11A42"/>
    <w:rsid w:val="070E5CA2"/>
    <w:rsid w:val="07180D7D"/>
    <w:rsid w:val="07200E1B"/>
    <w:rsid w:val="07292952"/>
    <w:rsid w:val="072A55A1"/>
    <w:rsid w:val="0744651C"/>
    <w:rsid w:val="0745795F"/>
    <w:rsid w:val="074C426E"/>
    <w:rsid w:val="077F0B34"/>
    <w:rsid w:val="079D2618"/>
    <w:rsid w:val="07B124F3"/>
    <w:rsid w:val="07C3483A"/>
    <w:rsid w:val="07D437E9"/>
    <w:rsid w:val="082F33E8"/>
    <w:rsid w:val="08420FF5"/>
    <w:rsid w:val="086B7E81"/>
    <w:rsid w:val="0872043A"/>
    <w:rsid w:val="088B332F"/>
    <w:rsid w:val="08925BDE"/>
    <w:rsid w:val="08AC4EA7"/>
    <w:rsid w:val="08B80EAF"/>
    <w:rsid w:val="08B81A2B"/>
    <w:rsid w:val="08CE54A1"/>
    <w:rsid w:val="08E54DAE"/>
    <w:rsid w:val="09042E4D"/>
    <w:rsid w:val="09167BE2"/>
    <w:rsid w:val="09322AD0"/>
    <w:rsid w:val="09565122"/>
    <w:rsid w:val="0970319E"/>
    <w:rsid w:val="097B09AF"/>
    <w:rsid w:val="09B131BA"/>
    <w:rsid w:val="09C13E54"/>
    <w:rsid w:val="09C24155"/>
    <w:rsid w:val="09FC0E49"/>
    <w:rsid w:val="0A1340EB"/>
    <w:rsid w:val="0A230919"/>
    <w:rsid w:val="0A3B3C06"/>
    <w:rsid w:val="0A52358E"/>
    <w:rsid w:val="0A636CB9"/>
    <w:rsid w:val="0A680871"/>
    <w:rsid w:val="0A6C796D"/>
    <w:rsid w:val="0A7B40F6"/>
    <w:rsid w:val="0A903480"/>
    <w:rsid w:val="0AAC5757"/>
    <w:rsid w:val="0AAE580B"/>
    <w:rsid w:val="0AB25192"/>
    <w:rsid w:val="0AD46D24"/>
    <w:rsid w:val="0AF946D6"/>
    <w:rsid w:val="0B0A77FD"/>
    <w:rsid w:val="0B2F7699"/>
    <w:rsid w:val="0B331013"/>
    <w:rsid w:val="0B4A2346"/>
    <w:rsid w:val="0B585A2F"/>
    <w:rsid w:val="0B5F739C"/>
    <w:rsid w:val="0B6652A5"/>
    <w:rsid w:val="0BA360F5"/>
    <w:rsid w:val="0BBC55DA"/>
    <w:rsid w:val="0BD8329C"/>
    <w:rsid w:val="0BD85361"/>
    <w:rsid w:val="0BEB51B8"/>
    <w:rsid w:val="0C140689"/>
    <w:rsid w:val="0C1469B8"/>
    <w:rsid w:val="0C482FD6"/>
    <w:rsid w:val="0C614282"/>
    <w:rsid w:val="0C7350D3"/>
    <w:rsid w:val="0C824712"/>
    <w:rsid w:val="0C846BBB"/>
    <w:rsid w:val="0C8C699B"/>
    <w:rsid w:val="0CBB72D0"/>
    <w:rsid w:val="0CE40585"/>
    <w:rsid w:val="0D2476E2"/>
    <w:rsid w:val="0D3130C5"/>
    <w:rsid w:val="0D354FEF"/>
    <w:rsid w:val="0D36390C"/>
    <w:rsid w:val="0D3C1FD8"/>
    <w:rsid w:val="0D9F6917"/>
    <w:rsid w:val="0DA36409"/>
    <w:rsid w:val="0DD446E1"/>
    <w:rsid w:val="0DDD6D83"/>
    <w:rsid w:val="0DEE78A5"/>
    <w:rsid w:val="0DF6552A"/>
    <w:rsid w:val="0DF70320"/>
    <w:rsid w:val="0E015FD2"/>
    <w:rsid w:val="0E360AB6"/>
    <w:rsid w:val="0E3A4B4A"/>
    <w:rsid w:val="0E3C017D"/>
    <w:rsid w:val="0E5C1237"/>
    <w:rsid w:val="0E662ED8"/>
    <w:rsid w:val="0E762F3E"/>
    <w:rsid w:val="0EE01118"/>
    <w:rsid w:val="0EE932BF"/>
    <w:rsid w:val="0F016486"/>
    <w:rsid w:val="0F182B02"/>
    <w:rsid w:val="0F1D1A7A"/>
    <w:rsid w:val="0F222D4F"/>
    <w:rsid w:val="0F407BB7"/>
    <w:rsid w:val="0F573FE6"/>
    <w:rsid w:val="0F74061A"/>
    <w:rsid w:val="0F8D45D9"/>
    <w:rsid w:val="0F934688"/>
    <w:rsid w:val="0FA052B1"/>
    <w:rsid w:val="0FC54BC4"/>
    <w:rsid w:val="0FD33E62"/>
    <w:rsid w:val="0FD42332"/>
    <w:rsid w:val="10134CDE"/>
    <w:rsid w:val="10156CA8"/>
    <w:rsid w:val="101868DB"/>
    <w:rsid w:val="10190546"/>
    <w:rsid w:val="102D6023"/>
    <w:rsid w:val="1043262A"/>
    <w:rsid w:val="104F4207"/>
    <w:rsid w:val="10634035"/>
    <w:rsid w:val="10905DFC"/>
    <w:rsid w:val="109A4EC5"/>
    <w:rsid w:val="109C0ED7"/>
    <w:rsid w:val="10A72705"/>
    <w:rsid w:val="10BA0294"/>
    <w:rsid w:val="10E10B2B"/>
    <w:rsid w:val="10EF574B"/>
    <w:rsid w:val="10F03298"/>
    <w:rsid w:val="11176B06"/>
    <w:rsid w:val="111D3569"/>
    <w:rsid w:val="113113C1"/>
    <w:rsid w:val="113D773B"/>
    <w:rsid w:val="115F29E5"/>
    <w:rsid w:val="11640D4F"/>
    <w:rsid w:val="11AD1E4B"/>
    <w:rsid w:val="11B31359"/>
    <w:rsid w:val="11B40D32"/>
    <w:rsid w:val="11C40855"/>
    <w:rsid w:val="124B0164"/>
    <w:rsid w:val="1266516E"/>
    <w:rsid w:val="129A6F57"/>
    <w:rsid w:val="129E37D9"/>
    <w:rsid w:val="12B16DC4"/>
    <w:rsid w:val="12C00654"/>
    <w:rsid w:val="12C85692"/>
    <w:rsid w:val="12CE0B5C"/>
    <w:rsid w:val="12DF12AC"/>
    <w:rsid w:val="12E3072F"/>
    <w:rsid w:val="12FE7EC7"/>
    <w:rsid w:val="13156315"/>
    <w:rsid w:val="132F7D25"/>
    <w:rsid w:val="134C58CD"/>
    <w:rsid w:val="135F0F47"/>
    <w:rsid w:val="136541C4"/>
    <w:rsid w:val="13CF46E8"/>
    <w:rsid w:val="13DA5D81"/>
    <w:rsid w:val="13DE63B4"/>
    <w:rsid w:val="13E46DE7"/>
    <w:rsid w:val="141B0A9C"/>
    <w:rsid w:val="14327C05"/>
    <w:rsid w:val="144258A9"/>
    <w:rsid w:val="148E45B7"/>
    <w:rsid w:val="148F2FCC"/>
    <w:rsid w:val="14A10E6A"/>
    <w:rsid w:val="14AC4402"/>
    <w:rsid w:val="14B50689"/>
    <w:rsid w:val="14C47B28"/>
    <w:rsid w:val="14EB05F0"/>
    <w:rsid w:val="14F40280"/>
    <w:rsid w:val="15267227"/>
    <w:rsid w:val="15721686"/>
    <w:rsid w:val="157760FC"/>
    <w:rsid w:val="15973CBB"/>
    <w:rsid w:val="15E24A14"/>
    <w:rsid w:val="15E924E6"/>
    <w:rsid w:val="15F335E7"/>
    <w:rsid w:val="1625781F"/>
    <w:rsid w:val="16442863"/>
    <w:rsid w:val="164E5F45"/>
    <w:rsid w:val="16531E69"/>
    <w:rsid w:val="165C72D0"/>
    <w:rsid w:val="169863AD"/>
    <w:rsid w:val="169F551D"/>
    <w:rsid w:val="16D27B7A"/>
    <w:rsid w:val="16E6314C"/>
    <w:rsid w:val="16F97039"/>
    <w:rsid w:val="16FA24D7"/>
    <w:rsid w:val="16FB54D7"/>
    <w:rsid w:val="170377DA"/>
    <w:rsid w:val="17196631"/>
    <w:rsid w:val="17231551"/>
    <w:rsid w:val="1732406C"/>
    <w:rsid w:val="174168F2"/>
    <w:rsid w:val="17484185"/>
    <w:rsid w:val="17601B48"/>
    <w:rsid w:val="176B1F0E"/>
    <w:rsid w:val="179C78A5"/>
    <w:rsid w:val="17A56DFB"/>
    <w:rsid w:val="17BC59E4"/>
    <w:rsid w:val="17DB4350"/>
    <w:rsid w:val="17FB776A"/>
    <w:rsid w:val="18047D2E"/>
    <w:rsid w:val="180A6452"/>
    <w:rsid w:val="18211779"/>
    <w:rsid w:val="182224BD"/>
    <w:rsid w:val="183A374F"/>
    <w:rsid w:val="18981F00"/>
    <w:rsid w:val="191775ED"/>
    <w:rsid w:val="19227D9C"/>
    <w:rsid w:val="193F26F4"/>
    <w:rsid w:val="19445F08"/>
    <w:rsid w:val="19514434"/>
    <w:rsid w:val="195346DD"/>
    <w:rsid w:val="19F73082"/>
    <w:rsid w:val="1A0957E4"/>
    <w:rsid w:val="1A0D279E"/>
    <w:rsid w:val="1A260C6F"/>
    <w:rsid w:val="1A33364E"/>
    <w:rsid w:val="1A987E1A"/>
    <w:rsid w:val="1AA153E4"/>
    <w:rsid w:val="1AB61701"/>
    <w:rsid w:val="1B17150B"/>
    <w:rsid w:val="1B1D6C98"/>
    <w:rsid w:val="1B26066F"/>
    <w:rsid w:val="1B354E90"/>
    <w:rsid w:val="1B5420EF"/>
    <w:rsid w:val="1B5742E0"/>
    <w:rsid w:val="1B5A52B8"/>
    <w:rsid w:val="1B5F633C"/>
    <w:rsid w:val="1B661B1C"/>
    <w:rsid w:val="1B823F2F"/>
    <w:rsid w:val="1B9E43EB"/>
    <w:rsid w:val="1BBC3827"/>
    <w:rsid w:val="1BD109B6"/>
    <w:rsid w:val="1BDB16DE"/>
    <w:rsid w:val="1C64585C"/>
    <w:rsid w:val="1C6B24D0"/>
    <w:rsid w:val="1C8575E7"/>
    <w:rsid w:val="1C884A6C"/>
    <w:rsid w:val="1C97366C"/>
    <w:rsid w:val="1C9F1DD3"/>
    <w:rsid w:val="1CBF2475"/>
    <w:rsid w:val="1D0B7468"/>
    <w:rsid w:val="1D257A49"/>
    <w:rsid w:val="1D500166"/>
    <w:rsid w:val="1D662D11"/>
    <w:rsid w:val="1D8A44DE"/>
    <w:rsid w:val="1D901A8B"/>
    <w:rsid w:val="1DF16227"/>
    <w:rsid w:val="1E344776"/>
    <w:rsid w:val="1E3A0EF6"/>
    <w:rsid w:val="1E506C08"/>
    <w:rsid w:val="1E6018FE"/>
    <w:rsid w:val="1EA96E81"/>
    <w:rsid w:val="1EEF4F49"/>
    <w:rsid w:val="1F2F7615"/>
    <w:rsid w:val="1F3B1999"/>
    <w:rsid w:val="1F453F61"/>
    <w:rsid w:val="1F48384C"/>
    <w:rsid w:val="1F550F2B"/>
    <w:rsid w:val="1F5A550D"/>
    <w:rsid w:val="1F871A31"/>
    <w:rsid w:val="1F992E7D"/>
    <w:rsid w:val="1FAA3454"/>
    <w:rsid w:val="1FD438DC"/>
    <w:rsid w:val="200025EA"/>
    <w:rsid w:val="201760BB"/>
    <w:rsid w:val="202D14F7"/>
    <w:rsid w:val="202F7912"/>
    <w:rsid w:val="204D3FA3"/>
    <w:rsid w:val="206D7C23"/>
    <w:rsid w:val="20AC5329"/>
    <w:rsid w:val="20BE5A3F"/>
    <w:rsid w:val="20CB3E96"/>
    <w:rsid w:val="2126084C"/>
    <w:rsid w:val="21323CCE"/>
    <w:rsid w:val="213B6AF9"/>
    <w:rsid w:val="213F6EBA"/>
    <w:rsid w:val="215E1B5C"/>
    <w:rsid w:val="21805290"/>
    <w:rsid w:val="218B684B"/>
    <w:rsid w:val="21BD1837"/>
    <w:rsid w:val="21E57637"/>
    <w:rsid w:val="21F5760F"/>
    <w:rsid w:val="21F778F9"/>
    <w:rsid w:val="222D4672"/>
    <w:rsid w:val="222F2E6D"/>
    <w:rsid w:val="223E61EF"/>
    <w:rsid w:val="224C3476"/>
    <w:rsid w:val="22707314"/>
    <w:rsid w:val="2280589D"/>
    <w:rsid w:val="228B48C8"/>
    <w:rsid w:val="22D005B4"/>
    <w:rsid w:val="23247665"/>
    <w:rsid w:val="2356793D"/>
    <w:rsid w:val="23902475"/>
    <w:rsid w:val="23920772"/>
    <w:rsid w:val="239C19C8"/>
    <w:rsid w:val="239E3026"/>
    <w:rsid w:val="23E6551B"/>
    <w:rsid w:val="23EF1AE9"/>
    <w:rsid w:val="24000D43"/>
    <w:rsid w:val="240E5548"/>
    <w:rsid w:val="241832BF"/>
    <w:rsid w:val="243F6ACD"/>
    <w:rsid w:val="24642A24"/>
    <w:rsid w:val="24977834"/>
    <w:rsid w:val="24BA7DC2"/>
    <w:rsid w:val="24C40E68"/>
    <w:rsid w:val="24DF3300"/>
    <w:rsid w:val="24FF50DF"/>
    <w:rsid w:val="25444A01"/>
    <w:rsid w:val="25B25211"/>
    <w:rsid w:val="25BD347E"/>
    <w:rsid w:val="25C903E3"/>
    <w:rsid w:val="25F566FB"/>
    <w:rsid w:val="26013C87"/>
    <w:rsid w:val="262F18EF"/>
    <w:rsid w:val="2631191C"/>
    <w:rsid w:val="26554EDB"/>
    <w:rsid w:val="267D29C6"/>
    <w:rsid w:val="26831DC8"/>
    <w:rsid w:val="26AF3717"/>
    <w:rsid w:val="26B500D9"/>
    <w:rsid w:val="26C91A26"/>
    <w:rsid w:val="270C4587"/>
    <w:rsid w:val="27254A9B"/>
    <w:rsid w:val="27286C1A"/>
    <w:rsid w:val="276A69CC"/>
    <w:rsid w:val="2772754E"/>
    <w:rsid w:val="277523A6"/>
    <w:rsid w:val="2794213E"/>
    <w:rsid w:val="27B00E7B"/>
    <w:rsid w:val="27BD3AE8"/>
    <w:rsid w:val="27C10C03"/>
    <w:rsid w:val="27CB5C8A"/>
    <w:rsid w:val="27CD1696"/>
    <w:rsid w:val="27EE40BE"/>
    <w:rsid w:val="27F32C74"/>
    <w:rsid w:val="27F91927"/>
    <w:rsid w:val="2813167A"/>
    <w:rsid w:val="281A721C"/>
    <w:rsid w:val="282F6254"/>
    <w:rsid w:val="28374EF0"/>
    <w:rsid w:val="2848675D"/>
    <w:rsid w:val="284B366A"/>
    <w:rsid w:val="28895178"/>
    <w:rsid w:val="28F20E1D"/>
    <w:rsid w:val="296D039B"/>
    <w:rsid w:val="29AC2F70"/>
    <w:rsid w:val="29D27834"/>
    <w:rsid w:val="29E34400"/>
    <w:rsid w:val="29FB15E7"/>
    <w:rsid w:val="2A456FF2"/>
    <w:rsid w:val="2A557F75"/>
    <w:rsid w:val="2A745CC1"/>
    <w:rsid w:val="2A7477C2"/>
    <w:rsid w:val="2AAE3112"/>
    <w:rsid w:val="2AB705F4"/>
    <w:rsid w:val="2AD57466"/>
    <w:rsid w:val="2AE16ADB"/>
    <w:rsid w:val="2AE77731"/>
    <w:rsid w:val="2B175F82"/>
    <w:rsid w:val="2B275DB5"/>
    <w:rsid w:val="2B3D77B1"/>
    <w:rsid w:val="2B4643D2"/>
    <w:rsid w:val="2B495025"/>
    <w:rsid w:val="2B5B4949"/>
    <w:rsid w:val="2B7B47D8"/>
    <w:rsid w:val="2B867790"/>
    <w:rsid w:val="2B8A1732"/>
    <w:rsid w:val="2B9F4254"/>
    <w:rsid w:val="2BD15934"/>
    <w:rsid w:val="2BD31A99"/>
    <w:rsid w:val="2BE63759"/>
    <w:rsid w:val="2BFD2672"/>
    <w:rsid w:val="2BFF63EA"/>
    <w:rsid w:val="2C58799F"/>
    <w:rsid w:val="2C5D10A2"/>
    <w:rsid w:val="2C6C454B"/>
    <w:rsid w:val="2C8A3F56"/>
    <w:rsid w:val="2CD73940"/>
    <w:rsid w:val="2CF573C6"/>
    <w:rsid w:val="2CFF5CD9"/>
    <w:rsid w:val="2D09795E"/>
    <w:rsid w:val="2D0D4B37"/>
    <w:rsid w:val="2D101C32"/>
    <w:rsid w:val="2D334111"/>
    <w:rsid w:val="2D355376"/>
    <w:rsid w:val="2DB476A8"/>
    <w:rsid w:val="2DB518ED"/>
    <w:rsid w:val="2DCC74F6"/>
    <w:rsid w:val="2DD92C6B"/>
    <w:rsid w:val="2DE429C5"/>
    <w:rsid w:val="2E416C6C"/>
    <w:rsid w:val="2E48691B"/>
    <w:rsid w:val="2E683A05"/>
    <w:rsid w:val="2E9B47A0"/>
    <w:rsid w:val="2E9D19F2"/>
    <w:rsid w:val="2EC34150"/>
    <w:rsid w:val="2EDB4C0B"/>
    <w:rsid w:val="2EE10029"/>
    <w:rsid w:val="2EFA4906"/>
    <w:rsid w:val="2F186C76"/>
    <w:rsid w:val="2F4B0519"/>
    <w:rsid w:val="2F605DF7"/>
    <w:rsid w:val="2F6F0335"/>
    <w:rsid w:val="2F703F8B"/>
    <w:rsid w:val="2FA9320A"/>
    <w:rsid w:val="2FEC45A0"/>
    <w:rsid w:val="302C7547"/>
    <w:rsid w:val="304721AB"/>
    <w:rsid w:val="306477C7"/>
    <w:rsid w:val="308A7C00"/>
    <w:rsid w:val="30923FC2"/>
    <w:rsid w:val="30B74770"/>
    <w:rsid w:val="30CB2D3F"/>
    <w:rsid w:val="30CC7AFA"/>
    <w:rsid w:val="30CE6CD3"/>
    <w:rsid w:val="30FE0FC2"/>
    <w:rsid w:val="31413001"/>
    <w:rsid w:val="31474E3D"/>
    <w:rsid w:val="316E16CA"/>
    <w:rsid w:val="31803901"/>
    <w:rsid w:val="31A92CDE"/>
    <w:rsid w:val="31BC7066"/>
    <w:rsid w:val="320347BD"/>
    <w:rsid w:val="32230E16"/>
    <w:rsid w:val="32250A4D"/>
    <w:rsid w:val="32264C00"/>
    <w:rsid w:val="32383175"/>
    <w:rsid w:val="323B6F67"/>
    <w:rsid w:val="32490D2E"/>
    <w:rsid w:val="32750693"/>
    <w:rsid w:val="327D626F"/>
    <w:rsid w:val="32931E51"/>
    <w:rsid w:val="32990C1B"/>
    <w:rsid w:val="329A2CCE"/>
    <w:rsid w:val="329B40F0"/>
    <w:rsid w:val="32C959A4"/>
    <w:rsid w:val="32DE0A5F"/>
    <w:rsid w:val="32F80037"/>
    <w:rsid w:val="333C56A1"/>
    <w:rsid w:val="333E1EEE"/>
    <w:rsid w:val="334A1458"/>
    <w:rsid w:val="334D42A9"/>
    <w:rsid w:val="336043D5"/>
    <w:rsid w:val="336C0BA8"/>
    <w:rsid w:val="338373BE"/>
    <w:rsid w:val="33A27C51"/>
    <w:rsid w:val="33AD28A2"/>
    <w:rsid w:val="33C12154"/>
    <w:rsid w:val="33C54151"/>
    <w:rsid w:val="33C543BD"/>
    <w:rsid w:val="33CB14B4"/>
    <w:rsid w:val="33CC1FBE"/>
    <w:rsid w:val="33D43E21"/>
    <w:rsid w:val="33E40F94"/>
    <w:rsid w:val="33F14845"/>
    <w:rsid w:val="33FC2829"/>
    <w:rsid w:val="34083A7A"/>
    <w:rsid w:val="341F3E0A"/>
    <w:rsid w:val="3436533D"/>
    <w:rsid w:val="3437019C"/>
    <w:rsid w:val="344335DF"/>
    <w:rsid w:val="34875646"/>
    <w:rsid w:val="348A17A1"/>
    <w:rsid w:val="348D6010"/>
    <w:rsid w:val="349E1626"/>
    <w:rsid w:val="34B13516"/>
    <w:rsid w:val="34F825F0"/>
    <w:rsid w:val="34FB7399"/>
    <w:rsid w:val="3576395F"/>
    <w:rsid w:val="359924B4"/>
    <w:rsid w:val="35BF15F2"/>
    <w:rsid w:val="35D20EA2"/>
    <w:rsid w:val="35F90798"/>
    <w:rsid w:val="3621658F"/>
    <w:rsid w:val="362670C0"/>
    <w:rsid w:val="362E64B5"/>
    <w:rsid w:val="36597592"/>
    <w:rsid w:val="365E2C93"/>
    <w:rsid w:val="36626E4B"/>
    <w:rsid w:val="366A3054"/>
    <w:rsid w:val="36760C01"/>
    <w:rsid w:val="367D6240"/>
    <w:rsid w:val="368F34BF"/>
    <w:rsid w:val="36912C49"/>
    <w:rsid w:val="36961506"/>
    <w:rsid w:val="36B50993"/>
    <w:rsid w:val="36EC4D1F"/>
    <w:rsid w:val="36F50DE2"/>
    <w:rsid w:val="36FB5C15"/>
    <w:rsid w:val="3747561C"/>
    <w:rsid w:val="37663775"/>
    <w:rsid w:val="376C759F"/>
    <w:rsid w:val="377E4518"/>
    <w:rsid w:val="379320DC"/>
    <w:rsid w:val="379415C6"/>
    <w:rsid w:val="37D250BE"/>
    <w:rsid w:val="383D0CA5"/>
    <w:rsid w:val="38986544"/>
    <w:rsid w:val="38BE14EE"/>
    <w:rsid w:val="38BF282C"/>
    <w:rsid w:val="38D82B35"/>
    <w:rsid w:val="38DB3D3B"/>
    <w:rsid w:val="390A22F5"/>
    <w:rsid w:val="39162FC5"/>
    <w:rsid w:val="3923260E"/>
    <w:rsid w:val="394D4E04"/>
    <w:rsid w:val="39750E50"/>
    <w:rsid w:val="397E1F72"/>
    <w:rsid w:val="3985766E"/>
    <w:rsid w:val="39894922"/>
    <w:rsid w:val="39A363C6"/>
    <w:rsid w:val="39B55A77"/>
    <w:rsid w:val="39C63A1E"/>
    <w:rsid w:val="39CE15AB"/>
    <w:rsid w:val="39D20489"/>
    <w:rsid w:val="39D42E32"/>
    <w:rsid w:val="3A84499C"/>
    <w:rsid w:val="3AD34BE5"/>
    <w:rsid w:val="3B191180"/>
    <w:rsid w:val="3B240D28"/>
    <w:rsid w:val="3B256C41"/>
    <w:rsid w:val="3B5A03CC"/>
    <w:rsid w:val="3B666220"/>
    <w:rsid w:val="3B67390C"/>
    <w:rsid w:val="3BC32345"/>
    <w:rsid w:val="3BD32B95"/>
    <w:rsid w:val="3BE23B49"/>
    <w:rsid w:val="3BE70D1A"/>
    <w:rsid w:val="3BFB2AA1"/>
    <w:rsid w:val="3C081E6C"/>
    <w:rsid w:val="3C223DB6"/>
    <w:rsid w:val="3C2C426A"/>
    <w:rsid w:val="3C3A3473"/>
    <w:rsid w:val="3C4358DE"/>
    <w:rsid w:val="3C5549F7"/>
    <w:rsid w:val="3C7F254D"/>
    <w:rsid w:val="3C891560"/>
    <w:rsid w:val="3CB0781A"/>
    <w:rsid w:val="3CB43221"/>
    <w:rsid w:val="3CB92FA3"/>
    <w:rsid w:val="3CE058C5"/>
    <w:rsid w:val="3CE929FB"/>
    <w:rsid w:val="3D0D627A"/>
    <w:rsid w:val="3D2C5463"/>
    <w:rsid w:val="3D440282"/>
    <w:rsid w:val="3D4A5933"/>
    <w:rsid w:val="3D505724"/>
    <w:rsid w:val="3D8C0B42"/>
    <w:rsid w:val="3DA216E5"/>
    <w:rsid w:val="3DA27705"/>
    <w:rsid w:val="3E33045B"/>
    <w:rsid w:val="3E3A6C94"/>
    <w:rsid w:val="3EB978C9"/>
    <w:rsid w:val="3ED51497"/>
    <w:rsid w:val="3F0B4C4E"/>
    <w:rsid w:val="3F224529"/>
    <w:rsid w:val="3F8A3998"/>
    <w:rsid w:val="3F987CCF"/>
    <w:rsid w:val="3FB348DB"/>
    <w:rsid w:val="3FD7221F"/>
    <w:rsid w:val="4024421A"/>
    <w:rsid w:val="4036569E"/>
    <w:rsid w:val="404B17A6"/>
    <w:rsid w:val="4062177C"/>
    <w:rsid w:val="406C7F24"/>
    <w:rsid w:val="407A652F"/>
    <w:rsid w:val="40AD6E3E"/>
    <w:rsid w:val="40DB2447"/>
    <w:rsid w:val="40DD0EC3"/>
    <w:rsid w:val="41014012"/>
    <w:rsid w:val="4112385B"/>
    <w:rsid w:val="41707C65"/>
    <w:rsid w:val="41A655FB"/>
    <w:rsid w:val="41AD23D7"/>
    <w:rsid w:val="41B24E06"/>
    <w:rsid w:val="41BE4345"/>
    <w:rsid w:val="41C87049"/>
    <w:rsid w:val="41E334C6"/>
    <w:rsid w:val="41EF26D8"/>
    <w:rsid w:val="41F25CC2"/>
    <w:rsid w:val="41F842C5"/>
    <w:rsid w:val="422E75D1"/>
    <w:rsid w:val="426C29B5"/>
    <w:rsid w:val="429430A8"/>
    <w:rsid w:val="43415731"/>
    <w:rsid w:val="43543135"/>
    <w:rsid w:val="435C016E"/>
    <w:rsid w:val="437A2F68"/>
    <w:rsid w:val="437E1E93"/>
    <w:rsid w:val="438742AA"/>
    <w:rsid w:val="438B11E9"/>
    <w:rsid w:val="439B0BD4"/>
    <w:rsid w:val="43A40E6C"/>
    <w:rsid w:val="44024677"/>
    <w:rsid w:val="440E4863"/>
    <w:rsid w:val="447E7C04"/>
    <w:rsid w:val="44801341"/>
    <w:rsid w:val="448B2969"/>
    <w:rsid w:val="44B67CB7"/>
    <w:rsid w:val="44BA5ED5"/>
    <w:rsid w:val="44DC0A00"/>
    <w:rsid w:val="44E91336"/>
    <w:rsid w:val="450320EE"/>
    <w:rsid w:val="4547396A"/>
    <w:rsid w:val="454848E8"/>
    <w:rsid w:val="454949A9"/>
    <w:rsid w:val="456821A8"/>
    <w:rsid w:val="457E325E"/>
    <w:rsid w:val="45863281"/>
    <w:rsid w:val="4592039F"/>
    <w:rsid w:val="45C07C3A"/>
    <w:rsid w:val="45C27569"/>
    <w:rsid w:val="45DA44F8"/>
    <w:rsid w:val="45F92816"/>
    <w:rsid w:val="46274762"/>
    <w:rsid w:val="46296A32"/>
    <w:rsid w:val="462D025A"/>
    <w:rsid w:val="46A6151B"/>
    <w:rsid w:val="46EC77AF"/>
    <w:rsid w:val="46FF4DC5"/>
    <w:rsid w:val="471326E2"/>
    <w:rsid w:val="47212067"/>
    <w:rsid w:val="47283F82"/>
    <w:rsid w:val="47412D01"/>
    <w:rsid w:val="47820CD0"/>
    <w:rsid w:val="47A64C40"/>
    <w:rsid w:val="47CF0645"/>
    <w:rsid w:val="47EA3499"/>
    <w:rsid w:val="482905D9"/>
    <w:rsid w:val="484A7800"/>
    <w:rsid w:val="487D1259"/>
    <w:rsid w:val="489D24F0"/>
    <w:rsid w:val="48B22B37"/>
    <w:rsid w:val="48B23F09"/>
    <w:rsid w:val="48CF1B79"/>
    <w:rsid w:val="48DD051D"/>
    <w:rsid w:val="490D6AEC"/>
    <w:rsid w:val="492D3A8B"/>
    <w:rsid w:val="492F2399"/>
    <w:rsid w:val="494E5E23"/>
    <w:rsid w:val="4957268B"/>
    <w:rsid w:val="49641F5F"/>
    <w:rsid w:val="49D325E1"/>
    <w:rsid w:val="49DA131D"/>
    <w:rsid w:val="49DB6183"/>
    <w:rsid w:val="49F02AA1"/>
    <w:rsid w:val="4A0363EF"/>
    <w:rsid w:val="4A1A058F"/>
    <w:rsid w:val="4A1B4E8E"/>
    <w:rsid w:val="4A24750C"/>
    <w:rsid w:val="4A2D2D08"/>
    <w:rsid w:val="4A322353"/>
    <w:rsid w:val="4A470ECB"/>
    <w:rsid w:val="4A6A7F22"/>
    <w:rsid w:val="4A6F2535"/>
    <w:rsid w:val="4ABB4A84"/>
    <w:rsid w:val="4AD270D0"/>
    <w:rsid w:val="4AFE323F"/>
    <w:rsid w:val="4B024796"/>
    <w:rsid w:val="4B1E3D99"/>
    <w:rsid w:val="4B4C2E7A"/>
    <w:rsid w:val="4B671D3C"/>
    <w:rsid w:val="4B7779B8"/>
    <w:rsid w:val="4B7C777E"/>
    <w:rsid w:val="4B8B0627"/>
    <w:rsid w:val="4B941061"/>
    <w:rsid w:val="4BC83ABA"/>
    <w:rsid w:val="4BCC0E8E"/>
    <w:rsid w:val="4BD562BE"/>
    <w:rsid w:val="4BE8790D"/>
    <w:rsid w:val="4C303F46"/>
    <w:rsid w:val="4C435A13"/>
    <w:rsid w:val="4C727FE8"/>
    <w:rsid w:val="4CB06914"/>
    <w:rsid w:val="4CB27EBB"/>
    <w:rsid w:val="4CC15C7C"/>
    <w:rsid w:val="4CCA21B4"/>
    <w:rsid w:val="4CEB7D2A"/>
    <w:rsid w:val="4CFF6984"/>
    <w:rsid w:val="4D2103BE"/>
    <w:rsid w:val="4D456258"/>
    <w:rsid w:val="4D6F6D5E"/>
    <w:rsid w:val="4D720CBA"/>
    <w:rsid w:val="4D721E3E"/>
    <w:rsid w:val="4D7B7443"/>
    <w:rsid w:val="4D7D2EB0"/>
    <w:rsid w:val="4D8B4326"/>
    <w:rsid w:val="4D9A2D51"/>
    <w:rsid w:val="4DA36AAA"/>
    <w:rsid w:val="4DE464D6"/>
    <w:rsid w:val="4DE866D1"/>
    <w:rsid w:val="4DE96EB8"/>
    <w:rsid w:val="4E1E1245"/>
    <w:rsid w:val="4E2A212E"/>
    <w:rsid w:val="4E396375"/>
    <w:rsid w:val="4E432B26"/>
    <w:rsid w:val="4E4B32C8"/>
    <w:rsid w:val="4E9126F5"/>
    <w:rsid w:val="4ECA2E2F"/>
    <w:rsid w:val="4ECB2A72"/>
    <w:rsid w:val="4F26251E"/>
    <w:rsid w:val="4F2E33B3"/>
    <w:rsid w:val="4F2E6E63"/>
    <w:rsid w:val="4F433D5E"/>
    <w:rsid w:val="4F88097C"/>
    <w:rsid w:val="4FC372D1"/>
    <w:rsid w:val="4FE17A31"/>
    <w:rsid w:val="50142720"/>
    <w:rsid w:val="50340B55"/>
    <w:rsid w:val="503936A7"/>
    <w:rsid w:val="50577032"/>
    <w:rsid w:val="507C5F94"/>
    <w:rsid w:val="50D2487A"/>
    <w:rsid w:val="50D60E2A"/>
    <w:rsid w:val="50D62476"/>
    <w:rsid w:val="514B4B0E"/>
    <w:rsid w:val="517B5C63"/>
    <w:rsid w:val="5180364E"/>
    <w:rsid w:val="518C1631"/>
    <w:rsid w:val="51C433FE"/>
    <w:rsid w:val="51CC55AA"/>
    <w:rsid w:val="51D34F75"/>
    <w:rsid w:val="51DE14EA"/>
    <w:rsid w:val="51F2387E"/>
    <w:rsid w:val="520E4180"/>
    <w:rsid w:val="523F4CEB"/>
    <w:rsid w:val="525F4E51"/>
    <w:rsid w:val="52747FAD"/>
    <w:rsid w:val="529A41C6"/>
    <w:rsid w:val="52A1504A"/>
    <w:rsid w:val="52B950AD"/>
    <w:rsid w:val="52DA7516"/>
    <w:rsid w:val="52E01757"/>
    <w:rsid w:val="531972BF"/>
    <w:rsid w:val="531A1604"/>
    <w:rsid w:val="531A69CE"/>
    <w:rsid w:val="5343478C"/>
    <w:rsid w:val="53EC2369"/>
    <w:rsid w:val="53EC3702"/>
    <w:rsid w:val="542E352F"/>
    <w:rsid w:val="543B69CE"/>
    <w:rsid w:val="54553688"/>
    <w:rsid w:val="54672983"/>
    <w:rsid w:val="54BE527C"/>
    <w:rsid w:val="54C47293"/>
    <w:rsid w:val="54CB18FC"/>
    <w:rsid w:val="54D1532C"/>
    <w:rsid w:val="54F17170"/>
    <w:rsid w:val="54F57838"/>
    <w:rsid w:val="55165DE5"/>
    <w:rsid w:val="5520772D"/>
    <w:rsid w:val="55350AD3"/>
    <w:rsid w:val="559360D2"/>
    <w:rsid w:val="55F61E19"/>
    <w:rsid w:val="560A0BFF"/>
    <w:rsid w:val="562C6881"/>
    <w:rsid w:val="562D0572"/>
    <w:rsid w:val="5630443C"/>
    <w:rsid w:val="56345B86"/>
    <w:rsid w:val="564C6C57"/>
    <w:rsid w:val="564F0DCB"/>
    <w:rsid w:val="565C5C55"/>
    <w:rsid w:val="569B442D"/>
    <w:rsid w:val="569F09DC"/>
    <w:rsid w:val="56B30750"/>
    <w:rsid w:val="56B769E8"/>
    <w:rsid w:val="56BF7B41"/>
    <w:rsid w:val="56D74471"/>
    <w:rsid w:val="56F74C57"/>
    <w:rsid w:val="573E597A"/>
    <w:rsid w:val="574C0DCA"/>
    <w:rsid w:val="57625D06"/>
    <w:rsid w:val="57765BC9"/>
    <w:rsid w:val="57BC6B4E"/>
    <w:rsid w:val="57C50131"/>
    <w:rsid w:val="57CC7610"/>
    <w:rsid w:val="57EA4F19"/>
    <w:rsid w:val="57FE31F1"/>
    <w:rsid w:val="580F02FB"/>
    <w:rsid w:val="581A1DBB"/>
    <w:rsid w:val="582811C4"/>
    <w:rsid w:val="583F5F35"/>
    <w:rsid w:val="5845651C"/>
    <w:rsid w:val="585B30A7"/>
    <w:rsid w:val="586F7835"/>
    <w:rsid w:val="587D18F6"/>
    <w:rsid w:val="58BF7360"/>
    <w:rsid w:val="58D551C7"/>
    <w:rsid w:val="58E023EE"/>
    <w:rsid w:val="59177A39"/>
    <w:rsid w:val="592A0379"/>
    <w:rsid w:val="59455D72"/>
    <w:rsid w:val="595C6329"/>
    <w:rsid w:val="59660C99"/>
    <w:rsid w:val="596A6CE9"/>
    <w:rsid w:val="599214E3"/>
    <w:rsid w:val="59C63594"/>
    <w:rsid w:val="59E33728"/>
    <w:rsid w:val="59FA7D07"/>
    <w:rsid w:val="5A2E0E4D"/>
    <w:rsid w:val="5A44578C"/>
    <w:rsid w:val="5A7443EB"/>
    <w:rsid w:val="5AC60CC3"/>
    <w:rsid w:val="5AF01FD2"/>
    <w:rsid w:val="5AF2343A"/>
    <w:rsid w:val="5B1B0A03"/>
    <w:rsid w:val="5B2833D3"/>
    <w:rsid w:val="5B32723B"/>
    <w:rsid w:val="5B7F76D2"/>
    <w:rsid w:val="5B9947DF"/>
    <w:rsid w:val="5BAF5AFC"/>
    <w:rsid w:val="5BBF11FE"/>
    <w:rsid w:val="5BDF7D04"/>
    <w:rsid w:val="5BE8074A"/>
    <w:rsid w:val="5BF6243F"/>
    <w:rsid w:val="5C1C1E0D"/>
    <w:rsid w:val="5C53108C"/>
    <w:rsid w:val="5CA16EC6"/>
    <w:rsid w:val="5CD07C2F"/>
    <w:rsid w:val="5CD8534F"/>
    <w:rsid w:val="5CDB250B"/>
    <w:rsid w:val="5CDB4609"/>
    <w:rsid w:val="5CF46886"/>
    <w:rsid w:val="5CFA4EF1"/>
    <w:rsid w:val="5CFC2FCD"/>
    <w:rsid w:val="5D2C1350"/>
    <w:rsid w:val="5D4F00C4"/>
    <w:rsid w:val="5D6825CE"/>
    <w:rsid w:val="5D9B0B76"/>
    <w:rsid w:val="5D9C28D2"/>
    <w:rsid w:val="5DE569B4"/>
    <w:rsid w:val="5DEF61B8"/>
    <w:rsid w:val="5E3746FF"/>
    <w:rsid w:val="5E3F3918"/>
    <w:rsid w:val="5E657247"/>
    <w:rsid w:val="5E954CDE"/>
    <w:rsid w:val="5EBF7FAC"/>
    <w:rsid w:val="5ECE68D8"/>
    <w:rsid w:val="5F066BA0"/>
    <w:rsid w:val="5F347BD0"/>
    <w:rsid w:val="5F7B6097"/>
    <w:rsid w:val="5F9267BC"/>
    <w:rsid w:val="5FA40E9C"/>
    <w:rsid w:val="5FED0570"/>
    <w:rsid w:val="600C001D"/>
    <w:rsid w:val="603E05CA"/>
    <w:rsid w:val="60541E4B"/>
    <w:rsid w:val="6066590A"/>
    <w:rsid w:val="608D0CD1"/>
    <w:rsid w:val="60A338A2"/>
    <w:rsid w:val="60A63CE0"/>
    <w:rsid w:val="60A95EA9"/>
    <w:rsid w:val="61001CE1"/>
    <w:rsid w:val="610C7230"/>
    <w:rsid w:val="612F1C8C"/>
    <w:rsid w:val="613D1B21"/>
    <w:rsid w:val="61693824"/>
    <w:rsid w:val="6189553E"/>
    <w:rsid w:val="61A765C6"/>
    <w:rsid w:val="61D54F1C"/>
    <w:rsid w:val="62011CC3"/>
    <w:rsid w:val="620E33BA"/>
    <w:rsid w:val="62100412"/>
    <w:rsid w:val="62316ECA"/>
    <w:rsid w:val="6239234B"/>
    <w:rsid w:val="623F0019"/>
    <w:rsid w:val="625B3BFC"/>
    <w:rsid w:val="62871AC1"/>
    <w:rsid w:val="62946B85"/>
    <w:rsid w:val="629E08AE"/>
    <w:rsid w:val="62C41B19"/>
    <w:rsid w:val="62D4536B"/>
    <w:rsid w:val="62E16B55"/>
    <w:rsid w:val="62E51C37"/>
    <w:rsid w:val="62FA5428"/>
    <w:rsid w:val="630375A7"/>
    <w:rsid w:val="631611E8"/>
    <w:rsid w:val="63165FEC"/>
    <w:rsid w:val="634D4690"/>
    <w:rsid w:val="635F4777"/>
    <w:rsid w:val="638C44AC"/>
    <w:rsid w:val="63A15DE4"/>
    <w:rsid w:val="63A85387"/>
    <w:rsid w:val="63AA707F"/>
    <w:rsid w:val="63AC0B88"/>
    <w:rsid w:val="63AE3503"/>
    <w:rsid w:val="63C530A4"/>
    <w:rsid w:val="63FC6B1D"/>
    <w:rsid w:val="644707BF"/>
    <w:rsid w:val="645628B1"/>
    <w:rsid w:val="64594335"/>
    <w:rsid w:val="648464B3"/>
    <w:rsid w:val="64991E74"/>
    <w:rsid w:val="64B243EF"/>
    <w:rsid w:val="64C73242"/>
    <w:rsid w:val="64E42046"/>
    <w:rsid w:val="64F7710C"/>
    <w:rsid w:val="653603C7"/>
    <w:rsid w:val="65541223"/>
    <w:rsid w:val="659669B1"/>
    <w:rsid w:val="65B714E4"/>
    <w:rsid w:val="65CB136C"/>
    <w:rsid w:val="65D44B98"/>
    <w:rsid w:val="662122AF"/>
    <w:rsid w:val="66854BCD"/>
    <w:rsid w:val="668C50D8"/>
    <w:rsid w:val="66B15BBE"/>
    <w:rsid w:val="66B42D2C"/>
    <w:rsid w:val="66B6254D"/>
    <w:rsid w:val="66BA2932"/>
    <w:rsid w:val="66D63EED"/>
    <w:rsid w:val="66DA5C21"/>
    <w:rsid w:val="66DC0E84"/>
    <w:rsid w:val="66DC1A00"/>
    <w:rsid w:val="67173BD6"/>
    <w:rsid w:val="674C3ED2"/>
    <w:rsid w:val="67520977"/>
    <w:rsid w:val="67973CEA"/>
    <w:rsid w:val="67B0541D"/>
    <w:rsid w:val="67ED4D2D"/>
    <w:rsid w:val="680B1697"/>
    <w:rsid w:val="683D5DA1"/>
    <w:rsid w:val="683F1C38"/>
    <w:rsid w:val="685974F1"/>
    <w:rsid w:val="68611F51"/>
    <w:rsid w:val="687121FC"/>
    <w:rsid w:val="688701A8"/>
    <w:rsid w:val="68C21BBE"/>
    <w:rsid w:val="68C71FD8"/>
    <w:rsid w:val="69313CF8"/>
    <w:rsid w:val="697A0561"/>
    <w:rsid w:val="69836C50"/>
    <w:rsid w:val="69955C6D"/>
    <w:rsid w:val="69B83AA1"/>
    <w:rsid w:val="69C846CC"/>
    <w:rsid w:val="69FB179B"/>
    <w:rsid w:val="6A382CD0"/>
    <w:rsid w:val="6A5A2A20"/>
    <w:rsid w:val="6A9A4BF2"/>
    <w:rsid w:val="6AB54D87"/>
    <w:rsid w:val="6AC24D97"/>
    <w:rsid w:val="6AE2642C"/>
    <w:rsid w:val="6AE6633C"/>
    <w:rsid w:val="6AF41DCB"/>
    <w:rsid w:val="6B2B202B"/>
    <w:rsid w:val="6B4B3856"/>
    <w:rsid w:val="6B933279"/>
    <w:rsid w:val="6BA433A8"/>
    <w:rsid w:val="6BCA0ED3"/>
    <w:rsid w:val="6BDF750A"/>
    <w:rsid w:val="6BF50124"/>
    <w:rsid w:val="6C1621F3"/>
    <w:rsid w:val="6C4060C4"/>
    <w:rsid w:val="6C577204"/>
    <w:rsid w:val="6CAA72E4"/>
    <w:rsid w:val="6CB22527"/>
    <w:rsid w:val="6CCE1B27"/>
    <w:rsid w:val="6CF7258E"/>
    <w:rsid w:val="6D043B3A"/>
    <w:rsid w:val="6D3656BC"/>
    <w:rsid w:val="6D3723BF"/>
    <w:rsid w:val="6D4115D0"/>
    <w:rsid w:val="6D584203"/>
    <w:rsid w:val="6D750CE6"/>
    <w:rsid w:val="6D9143ED"/>
    <w:rsid w:val="6D926027"/>
    <w:rsid w:val="6DA26DCA"/>
    <w:rsid w:val="6DB01F1B"/>
    <w:rsid w:val="6DBD74F5"/>
    <w:rsid w:val="6DE356B7"/>
    <w:rsid w:val="6E086836"/>
    <w:rsid w:val="6E5321F9"/>
    <w:rsid w:val="6E5D5152"/>
    <w:rsid w:val="6E8C2E06"/>
    <w:rsid w:val="6EA95970"/>
    <w:rsid w:val="6ECA4B30"/>
    <w:rsid w:val="6F0909D2"/>
    <w:rsid w:val="6F1C479A"/>
    <w:rsid w:val="6F4B7A38"/>
    <w:rsid w:val="6F52659F"/>
    <w:rsid w:val="6F6F481B"/>
    <w:rsid w:val="6F8E5895"/>
    <w:rsid w:val="6FA25E90"/>
    <w:rsid w:val="6FE96534"/>
    <w:rsid w:val="701A717A"/>
    <w:rsid w:val="70200D7C"/>
    <w:rsid w:val="70781894"/>
    <w:rsid w:val="70894235"/>
    <w:rsid w:val="70923C0D"/>
    <w:rsid w:val="709B4CE2"/>
    <w:rsid w:val="70B561A6"/>
    <w:rsid w:val="70B831B4"/>
    <w:rsid w:val="70E44E41"/>
    <w:rsid w:val="71235A4A"/>
    <w:rsid w:val="71327367"/>
    <w:rsid w:val="715048A2"/>
    <w:rsid w:val="71C33FFC"/>
    <w:rsid w:val="71E83C4A"/>
    <w:rsid w:val="72241CC3"/>
    <w:rsid w:val="722B2C26"/>
    <w:rsid w:val="726E5D14"/>
    <w:rsid w:val="727828BF"/>
    <w:rsid w:val="72B55429"/>
    <w:rsid w:val="72DE74A3"/>
    <w:rsid w:val="72F076D4"/>
    <w:rsid w:val="72F51BF2"/>
    <w:rsid w:val="731358A4"/>
    <w:rsid w:val="7316154B"/>
    <w:rsid w:val="736A203C"/>
    <w:rsid w:val="73871538"/>
    <w:rsid w:val="73B92376"/>
    <w:rsid w:val="73E6326A"/>
    <w:rsid w:val="742B17EF"/>
    <w:rsid w:val="74371495"/>
    <w:rsid w:val="745A03F4"/>
    <w:rsid w:val="745A2F2B"/>
    <w:rsid w:val="74623E20"/>
    <w:rsid w:val="746F3809"/>
    <w:rsid w:val="74845878"/>
    <w:rsid w:val="748963DE"/>
    <w:rsid w:val="74A20D8F"/>
    <w:rsid w:val="74B35591"/>
    <w:rsid w:val="74F40465"/>
    <w:rsid w:val="75091E74"/>
    <w:rsid w:val="75627538"/>
    <w:rsid w:val="756B5045"/>
    <w:rsid w:val="75E2628C"/>
    <w:rsid w:val="75E968C9"/>
    <w:rsid w:val="763824B1"/>
    <w:rsid w:val="769F71B2"/>
    <w:rsid w:val="76B36644"/>
    <w:rsid w:val="76B850E0"/>
    <w:rsid w:val="76BE5456"/>
    <w:rsid w:val="76E74E42"/>
    <w:rsid w:val="76EC5BFD"/>
    <w:rsid w:val="77866F8C"/>
    <w:rsid w:val="778D4A3B"/>
    <w:rsid w:val="77FC01C8"/>
    <w:rsid w:val="78204EF1"/>
    <w:rsid w:val="78835840"/>
    <w:rsid w:val="78934E13"/>
    <w:rsid w:val="78A75226"/>
    <w:rsid w:val="78BE4104"/>
    <w:rsid w:val="78C6720A"/>
    <w:rsid w:val="78D30FCD"/>
    <w:rsid w:val="78E11066"/>
    <w:rsid w:val="7927798A"/>
    <w:rsid w:val="79584959"/>
    <w:rsid w:val="79601FD1"/>
    <w:rsid w:val="79777BFE"/>
    <w:rsid w:val="79DD4194"/>
    <w:rsid w:val="7A106FE1"/>
    <w:rsid w:val="7A3D2CED"/>
    <w:rsid w:val="7A537D43"/>
    <w:rsid w:val="7A907C93"/>
    <w:rsid w:val="7AA96444"/>
    <w:rsid w:val="7AB30147"/>
    <w:rsid w:val="7ACE1B9B"/>
    <w:rsid w:val="7AD64911"/>
    <w:rsid w:val="7B1339BA"/>
    <w:rsid w:val="7B1D7318"/>
    <w:rsid w:val="7B3158EC"/>
    <w:rsid w:val="7B3A712F"/>
    <w:rsid w:val="7B4D3E4D"/>
    <w:rsid w:val="7B573C84"/>
    <w:rsid w:val="7B8B4F6C"/>
    <w:rsid w:val="7B8E31D2"/>
    <w:rsid w:val="7B951721"/>
    <w:rsid w:val="7BAE6AB2"/>
    <w:rsid w:val="7BC97DDF"/>
    <w:rsid w:val="7C0A121F"/>
    <w:rsid w:val="7C27265D"/>
    <w:rsid w:val="7C3D2950"/>
    <w:rsid w:val="7C401BE6"/>
    <w:rsid w:val="7C4A08CC"/>
    <w:rsid w:val="7C700A51"/>
    <w:rsid w:val="7CA96002"/>
    <w:rsid w:val="7CA9705F"/>
    <w:rsid w:val="7CAD0B17"/>
    <w:rsid w:val="7D01465A"/>
    <w:rsid w:val="7D0F6B5B"/>
    <w:rsid w:val="7D162B61"/>
    <w:rsid w:val="7D3049B7"/>
    <w:rsid w:val="7DA51DCE"/>
    <w:rsid w:val="7DB27F6D"/>
    <w:rsid w:val="7DB424FD"/>
    <w:rsid w:val="7DD57BC3"/>
    <w:rsid w:val="7DE472E2"/>
    <w:rsid w:val="7DEE5FDE"/>
    <w:rsid w:val="7DFE7FBF"/>
    <w:rsid w:val="7E245E91"/>
    <w:rsid w:val="7E32274A"/>
    <w:rsid w:val="7E352E3A"/>
    <w:rsid w:val="7E430410"/>
    <w:rsid w:val="7E461B56"/>
    <w:rsid w:val="7E4C3FCF"/>
    <w:rsid w:val="7E6A24B8"/>
    <w:rsid w:val="7E802209"/>
    <w:rsid w:val="7ECC3A22"/>
    <w:rsid w:val="7F012205"/>
    <w:rsid w:val="7F054287"/>
    <w:rsid w:val="7F0709B7"/>
    <w:rsid w:val="7F2C21C7"/>
    <w:rsid w:val="7F5D226A"/>
    <w:rsid w:val="7F66572A"/>
    <w:rsid w:val="7F674F10"/>
    <w:rsid w:val="7F6900A7"/>
    <w:rsid w:val="7F894A7D"/>
    <w:rsid w:val="7FA90E2D"/>
    <w:rsid w:val="7FFA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60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autoRedefine/>
    <w:qFormat/>
    <w:uiPriority w:val="0"/>
    <w:pPr>
      <w:keepNext/>
      <w:keepLines/>
      <w:outlineLvl w:val="0"/>
    </w:pPr>
    <w:rPr>
      <w:rFonts w:eastAsia="黑体"/>
      <w:kern w:val="44"/>
    </w:rPr>
  </w:style>
  <w:style w:type="paragraph" w:styleId="4">
    <w:name w:val="heading 2"/>
    <w:basedOn w:val="1"/>
    <w:next w:val="1"/>
    <w:link w:val="30"/>
    <w:autoRedefine/>
    <w:unhideWhenUsed/>
    <w:qFormat/>
    <w:uiPriority w:val="0"/>
    <w:pPr>
      <w:keepNext/>
      <w:keepLines/>
      <w:outlineLvl w:val="1"/>
    </w:pPr>
    <w:rPr>
      <w:rFonts w:eastAsia="楷体_GB2312"/>
    </w:rPr>
  </w:style>
  <w:style w:type="paragraph" w:styleId="5">
    <w:name w:val="heading 3"/>
    <w:basedOn w:val="1"/>
    <w:next w:val="1"/>
    <w:link w:val="28"/>
    <w:autoRedefine/>
    <w:semiHidden/>
    <w:unhideWhenUsed/>
    <w:qFormat/>
    <w:uiPriority w:val="0"/>
    <w:pPr>
      <w:keepNext/>
      <w:keepLines/>
      <w:outlineLvl w:val="2"/>
    </w:pPr>
    <w:rPr>
      <w:b/>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评价报告正文"/>
    <w:basedOn w:val="1"/>
    <w:autoRedefine/>
    <w:qFormat/>
    <w:uiPriority w:val="0"/>
    <w:pPr>
      <w:spacing w:line="360" w:lineRule="auto"/>
      <w:ind w:firstLine="560"/>
    </w:pPr>
    <w:rPr>
      <w:rFonts w:ascii="Times New Roman" w:hAnsi="Times New Roman" w:eastAsia="宋体"/>
      <w:sz w:val="28"/>
      <w:szCs w:val="28"/>
    </w:rPr>
  </w:style>
  <w:style w:type="paragraph" w:styleId="6">
    <w:name w:val="Normal Indent"/>
    <w:basedOn w:val="1"/>
    <w:next w:val="1"/>
    <w:autoRedefine/>
    <w:unhideWhenUsed/>
    <w:qFormat/>
    <w:uiPriority w:val="99"/>
    <w:pPr>
      <w:ind w:firstLine="420"/>
    </w:pPr>
  </w:style>
  <w:style w:type="paragraph" w:styleId="7">
    <w:name w:val="index 5"/>
    <w:basedOn w:val="1"/>
    <w:next w:val="1"/>
    <w:autoRedefine/>
    <w:unhideWhenUsed/>
    <w:qFormat/>
    <w:uiPriority w:val="99"/>
    <w:pPr>
      <w:ind w:firstLine="640"/>
    </w:pPr>
  </w:style>
  <w:style w:type="paragraph" w:styleId="8">
    <w:name w:val="annotation text"/>
    <w:basedOn w:val="1"/>
    <w:link w:val="26"/>
    <w:autoRedefine/>
    <w:qFormat/>
    <w:uiPriority w:val="0"/>
    <w:pPr>
      <w:widowControl/>
      <w:kinsoku w:val="0"/>
      <w:autoSpaceDE w:val="0"/>
      <w:autoSpaceDN w:val="0"/>
      <w:ind w:firstLine="0" w:firstLineChars="0"/>
      <w:jc w:val="center"/>
    </w:pPr>
    <w:rPr>
      <w:b/>
      <w:color w:val="000000"/>
      <w:kern w:val="0"/>
      <w:sz w:val="24"/>
    </w:rPr>
  </w:style>
  <w:style w:type="paragraph" w:styleId="9">
    <w:name w:val="Body Text"/>
    <w:basedOn w:val="1"/>
    <w:next w:val="1"/>
    <w:autoRedefine/>
    <w:qFormat/>
    <w:uiPriority w:val="99"/>
    <w:pPr>
      <w:spacing w:after="120" w:line="360" w:lineRule="auto"/>
      <w:ind w:firstLine="200"/>
    </w:pPr>
    <w:rPr>
      <w:sz w:val="28"/>
    </w:rPr>
  </w:style>
  <w:style w:type="paragraph" w:styleId="10">
    <w:name w:val="Body Text Indent"/>
    <w:basedOn w:val="1"/>
    <w:next w:val="1"/>
    <w:link w:val="39"/>
    <w:autoRedefine/>
    <w:unhideWhenUsed/>
    <w:qFormat/>
    <w:uiPriority w:val="99"/>
    <w:pPr>
      <w:spacing w:after="120"/>
      <w:ind w:left="420" w:leftChars="200"/>
    </w:pPr>
  </w:style>
  <w:style w:type="paragraph" w:styleId="11">
    <w:name w:val="footer"/>
    <w:basedOn w:val="1"/>
    <w:link w:val="38"/>
    <w:autoRedefine/>
    <w:qFormat/>
    <w:uiPriority w:val="99"/>
    <w:pPr>
      <w:tabs>
        <w:tab w:val="center" w:pos="4153"/>
        <w:tab w:val="right" w:pos="8306"/>
      </w:tabs>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toc 1"/>
    <w:basedOn w:val="1"/>
    <w:next w:val="1"/>
    <w:autoRedefine/>
    <w:qFormat/>
    <w:uiPriority w:val="39"/>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spacing w:beforeAutospacing="1" w:afterAutospacing="1"/>
      <w:jc w:val="left"/>
    </w:pPr>
    <w:rPr>
      <w:kern w:val="0"/>
      <w:sz w:val="24"/>
    </w:rPr>
  </w:style>
  <w:style w:type="paragraph" w:styleId="16">
    <w:name w:val="annotation subject"/>
    <w:basedOn w:val="8"/>
    <w:next w:val="8"/>
    <w:link w:val="41"/>
    <w:autoRedefine/>
    <w:qFormat/>
    <w:uiPriority w:val="0"/>
    <w:pPr>
      <w:widowControl w:val="0"/>
      <w:kinsoku/>
      <w:autoSpaceDE/>
      <w:autoSpaceDN/>
      <w:ind w:firstLine="880" w:firstLineChars="200"/>
      <w:jc w:val="left"/>
    </w:pPr>
    <w:rPr>
      <w:bCs/>
      <w:color w:val="auto"/>
      <w:kern w:val="2"/>
      <w:sz w:val="32"/>
    </w:rPr>
  </w:style>
  <w:style w:type="paragraph" w:styleId="17">
    <w:name w:val="Body Text First Indent 2"/>
    <w:basedOn w:val="10"/>
    <w:next w:val="18"/>
    <w:autoRedefine/>
    <w:qFormat/>
    <w:uiPriority w:val="0"/>
    <w:pPr>
      <w:ind w:firstLine="420"/>
    </w:pPr>
    <w:rPr>
      <w:sz w:val="21"/>
      <w:szCs w:val="20"/>
    </w:rPr>
  </w:style>
  <w:style w:type="paragraph" w:customStyle="1" w:styleId="18">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0"/>
    <w:rPr>
      <w:i/>
    </w:rPr>
  </w:style>
  <w:style w:type="character" w:styleId="24">
    <w:name w:val="Hyperlink"/>
    <w:basedOn w:val="21"/>
    <w:autoRedefine/>
    <w:qFormat/>
    <w:uiPriority w:val="99"/>
    <w:rPr>
      <w:color w:val="0000FF"/>
      <w:u w:val="single"/>
    </w:rPr>
  </w:style>
  <w:style w:type="character" w:styleId="25">
    <w:name w:val="annotation reference"/>
    <w:basedOn w:val="21"/>
    <w:autoRedefine/>
    <w:qFormat/>
    <w:uiPriority w:val="0"/>
    <w:rPr>
      <w:sz w:val="21"/>
      <w:szCs w:val="21"/>
    </w:rPr>
  </w:style>
  <w:style w:type="character" w:customStyle="1" w:styleId="26">
    <w:name w:val="批注文字 字符"/>
    <w:basedOn w:val="21"/>
    <w:link w:val="8"/>
    <w:autoRedefine/>
    <w:qFormat/>
    <w:uiPriority w:val="0"/>
    <w:rPr>
      <w:rFonts w:eastAsia="仿宋_GB2312"/>
      <w:b/>
      <w:color w:val="000000"/>
      <w:sz w:val="24"/>
      <w:szCs w:val="24"/>
    </w:rPr>
  </w:style>
  <w:style w:type="paragraph" w:customStyle="1" w:styleId="27">
    <w:name w:val="表格文字"/>
    <w:basedOn w:val="1"/>
    <w:autoRedefine/>
    <w:qFormat/>
    <w:uiPriority w:val="0"/>
    <w:pPr>
      <w:spacing w:line="276" w:lineRule="auto"/>
      <w:ind w:firstLine="0" w:firstLineChars="0"/>
      <w:jc w:val="center"/>
    </w:pPr>
    <w:rPr>
      <w:rFonts w:cs="仿宋_GB2312"/>
      <w:bCs/>
      <w:spacing w:val="-5"/>
      <w:sz w:val="24"/>
    </w:rPr>
  </w:style>
  <w:style w:type="character" w:customStyle="1" w:styleId="28">
    <w:name w:val="标题 3 字符"/>
    <w:link w:val="5"/>
    <w:autoRedefine/>
    <w:qFormat/>
    <w:uiPriority w:val="0"/>
    <w:rPr>
      <w:b/>
    </w:rPr>
  </w:style>
  <w:style w:type="paragraph" w:customStyle="1" w:styleId="29">
    <w:name w:val="正文-文本"/>
    <w:basedOn w:val="1"/>
    <w:autoRedefine/>
    <w:qFormat/>
    <w:uiPriority w:val="0"/>
    <w:pPr>
      <w:widowControl/>
      <w:spacing w:line="580" w:lineRule="exact"/>
      <w:ind w:firstLine="200"/>
    </w:pPr>
    <w:rPr>
      <w:szCs w:val="32"/>
    </w:rPr>
  </w:style>
  <w:style w:type="character" w:customStyle="1" w:styleId="30">
    <w:name w:val="标题 2 字符"/>
    <w:link w:val="4"/>
    <w:autoRedefine/>
    <w:qFormat/>
    <w:uiPriority w:val="0"/>
    <w:rPr>
      <w:rFonts w:eastAsia="楷体_GB2312"/>
    </w:rPr>
  </w:style>
  <w:style w:type="paragraph" w:customStyle="1" w:styleId="31">
    <w:name w:val="WPSOffice手动目录 1"/>
    <w:autoRedefine/>
    <w:qFormat/>
    <w:uiPriority w:val="0"/>
    <w:rPr>
      <w:rFonts w:asciiTheme="minorHAnsi" w:hAnsiTheme="minorHAnsi" w:eastAsiaTheme="minorEastAsia" w:cstheme="minorBidi"/>
      <w:lang w:val="en-US" w:eastAsia="zh-CN" w:bidi="ar-SA"/>
    </w:rPr>
  </w:style>
  <w:style w:type="paragraph" w:customStyle="1" w:styleId="32">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3">
    <w:name w:val="Table Paragraph"/>
    <w:autoRedefine/>
    <w:qFormat/>
    <w:uiPriority w:val="1"/>
    <w:pPr>
      <w:widowControl w:val="0"/>
      <w:jc w:val="both"/>
    </w:pPr>
    <w:rPr>
      <w:rFonts w:ascii="Calibri" w:hAnsi="Calibri" w:eastAsia="宋体" w:cs="Times New Roman"/>
      <w:kern w:val="2"/>
      <w:sz w:val="21"/>
      <w:szCs w:val="24"/>
      <w:lang w:val="en-US" w:eastAsia="zh-CN" w:bidi="ar-SA"/>
    </w:rPr>
  </w:style>
  <w:style w:type="paragraph" w:customStyle="1" w:styleId="34">
    <w:name w:val="修订1"/>
    <w:autoRedefine/>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35">
    <w:name w:val="修订2"/>
    <w:autoRedefine/>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36">
    <w:name w:val="修订3"/>
    <w:autoRedefine/>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37">
    <w:name w:val="修订4"/>
    <w:autoRedefine/>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38">
    <w:name w:val="页脚 字符"/>
    <w:basedOn w:val="21"/>
    <w:link w:val="11"/>
    <w:autoRedefine/>
    <w:qFormat/>
    <w:uiPriority w:val="99"/>
    <w:rPr>
      <w:rFonts w:hint="eastAsia" w:ascii="仿宋" w:hAnsi="仿宋" w:eastAsia="仿宋" w:cs="仿宋"/>
      <w:kern w:val="2"/>
      <w:sz w:val="18"/>
      <w:szCs w:val="18"/>
    </w:rPr>
  </w:style>
  <w:style w:type="character" w:customStyle="1" w:styleId="39">
    <w:name w:val="正文文本缩进 字符"/>
    <w:basedOn w:val="21"/>
    <w:link w:val="10"/>
    <w:autoRedefine/>
    <w:qFormat/>
    <w:uiPriority w:val="0"/>
    <w:rPr>
      <w:rFonts w:hint="eastAsia" w:ascii="仿宋_GB2312" w:eastAsia="仿宋_GB2312" w:cs="仿宋_GB2312"/>
      <w:kern w:val="2"/>
      <w:sz w:val="32"/>
      <w:szCs w:val="24"/>
    </w:rPr>
  </w:style>
  <w:style w:type="paragraph" w:customStyle="1" w:styleId="40">
    <w:name w:val="修订5"/>
    <w:autoRedefine/>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41">
    <w:name w:val="批注主题 字符"/>
    <w:basedOn w:val="26"/>
    <w:link w:val="16"/>
    <w:autoRedefine/>
    <w:qFormat/>
    <w:uiPriority w:val="0"/>
    <w:rPr>
      <w:rFonts w:eastAsia="仿宋_GB2312"/>
      <w:bCs/>
      <w:color w:val="000000"/>
      <w:kern w:val="2"/>
      <w:sz w:val="32"/>
      <w:szCs w:val="24"/>
    </w:rPr>
  </w:style>
  <w:style w:type="paragraph" w:customStyle="1" w:styleId="42">
    <w:name w:val="修订6"/>
    <w:autoRedefine/>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958D6-B833-4D5B-8758-6F17D8C31807}">
  <ds:schemaRefs/>
</ds:datastoreItem>
</file>

<file path=docProps/app.xml><?xml version="1.0" encoding="utf-8"?>
<Properties xmlns="http://schemas.openxmlformats.org/officeDocument/2006/extended-properties" xmlns:vt="http://schemas.openxmlformats.org/officeDocument/2006/docPropsVTypes">
  <Template>Normal</Template>
  <Pages>52</Pages>
  <Words>3696</Words>
  <Characters>21070</Characters>
  <Lines>175</Lines>
  <Paragraphs>49</Paragraphs>
  <TotalTime>2</TotalTime>
  <ScaleCrop>false</ScaleCrop>
  <LinksUpToDate>false</LinksUpToDate>
  <CharactersWithSpaces>24717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2024-01-12T10:54:00Z</dcterms:created>
  <dc:creator>XP</dc:creator>
  <cp:lastModifiedBy>晓</cp:lastModifiedBy>
  <cp:lastPrinted>2024-01-12T10:54:00Z</cp:lastPrinted>
  <dcterms:modified xsi:type="dcterms:W3CDTF">2024-01-18T01:53:32Z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49CD4F4FF7794462B2BDA3BCDD42507E_13</vt:lpwstr>
  </property>
</Properties>
</file>