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80" w:lineRule="exact"/>
        <w:ind w:firstLine="310" w:firstLineChars="100"/>
        <w:rPr>
          <w:sz w:val="31"/>
          <w:szCs w:val="31"/>
        </w:rPr>
      </w:pPr>
    </w:p>
    <w:p>
      <w:pPr>
        <w:spacing w:line="200" w:lineRule="exact"/>
        <w:jc w:val="center"/>
        <w:rPr>
          <w:rFonts w:ascii="华文中宋" w:hAnsi="华文中宋" w:eastAsia="华文中宋"/>
          <w:b/>
          <w:color w:val="000000"/>
          <w:spacing w:val="100"/>
          <w:w w:val="65"/>
          <w:sz w:val="115"/>
          <w:szCs w:val="22"/>
        </w:rPr>
      </w:pPr>
    </w:p>
    <w:p>
      <w:pPr>
        <w:spacing w:line="200" w:lineRule="exact"/>
        <w:jc w:val="center"/>
        <w:rPr>
          <w:rFonts w:ascii="华文中宋" w:hAnsi="华文中宋" w:eastAsia="华文中宋"/>
          <w:b/>
          <w:color w:val="000000"/>
          <w:spacing w:val="100"/>
          <w:w w:val="65"/>
          <w:sz w:val="115"/>
          <w:szCs w:val="22"/>
        </w:rPr>
      </w:pPr>
    </w:p>
    <w:p>
      <w:pPr>
        <w:spacing w:line="200" w:lineRule="exact"/>
        <w:jc w:val="center"/>
        <w:rPr>
          <w:rFonts w:ascii="华文中宋" w:hAnsi="华文中宋" w:eastAsia="华文中宋"/>
          <w:b/>
          <w:color w:val="000000"/>
          <w:spacing w:val="100"/>
          <w:w w:val="65"/>
          <w:sz w:val="115"/>
          <w:szCs w:val="22"/>
        </w:rPr>
      </w:pPr>
    </w:p>
    <w:p>
      <w:pPr>
        <w:spacing w:line="200" w:lineRule="exact"/>
        <w:jc w:val="center"/>
        <w:rPr>
          <w:rFonts w:ascii="华文中宋" w:hAnsi="华文中宋" w:eastAsia="华文中宋"/>
          <w:b/>
          <w:color w:val="000000"/>
          <w:spacing w:val="100"/>
          <w:w w:val="65"/>
          <w:sz w:val="115"/>
          <w:szCs w:val="22"/>
        </w:rPr>
      </w:pPr>
    </w:p>
    <w:p>
      <w:pPr>
        <w:spacing w:line="200" w:lineRule="exact"/>
        <w:jc w:val="center"/>
        <w:rPr>
          <w:rFonts w:ascii="华文中宋" w:hAnsi="华文中宋" w:eastAsia="华文中宋"/>
          <w:b/>
          <w:color w:val="000000"/>
          <w:spacing w:val="100"/>
          <w:w w:val="65"/>
          <w:sz w:val="115"/>
          <w:szCs w:val="22"/>
        </w:rPr>
      </w:pPr>
    </w:p>
    <w:p>
      <w:pPr>
        <w:spacing w:line="200" w:lineRule="exact"/>
        <w:jc w:val="center"/>
        <w:rPr>
          <w:rFonts w:ascii="华文中宋" w:hAnsi="华文中宋" w:eastAsia="华文中宋"/>
          <w:b/>
          <w:color w:val="000000"/>
          <w:spacing w:val="100"/>
          <w:w w:val="65"/>
          <w:sz w:val="115"/>
          <w:szCs w:val="22"/>
        </w:rPr>
      </w:pPr>
    </w:p>
    <w:p>
      <w:pPr>
        <w:spacing w:line="1500" w:lineRule="exact"/>
        <w:jc w:val="center"/>
        <w:rPr>
          <w:rFonts w:ascii="文星标宋" w:hAnsi="文星标宋" w:eastAsia="文星标宋"/>
          <w:b/>
          <w:color w:val="FF0000"/>
          <w:spacing w:val="-6"/>
          <w:w w:val="50"/>
          <w:sz w:val="147"/>
          <w:szCs w:val="22"/>
        </w:rPr>
      </w:pPr>
      <w:r>
        <w:rPr>
          <w:rFonts w:hint="eastAsia" w:ascii="文星标宋" w:hAnsi="文星标宋" w:eastAsia="文星标宋"/>
          <w:b/>
          <w:color w:val="FF0000"/>
          <w:spacing w:val="-6"/>
          <w:w w:val="50"/>
          <w:sz w:val="147"/>
          <w:szCs w:val="22"/>
        </w:rPr>
        <w:t>济南市章丘区人民政府文件</w:t>
      </w:r>
    </w:p>
    <w:p>
      <w:pPr>
        <w:spacing w:line="500" w:lineRule="exact"/>
        <w:jc w:val="center"/>
        <w:rPr>
          <w:rFonts w:ascii="华文中宋" w:hAnsi="华文中宋" w:eastAsia="华文中宋"/>
          <w:b/>
          <w:color w:val="000000"/>
          <w:w w:val="70"/>
          <w:sz w:val="125"/>
          <w:szCs w:val="22"/>
        </w:rPr>
      </w:pPr>
      <w:r>
        <w:rPr>
          <w:rFonts w:hint="eastAsia" w:ascii="华文中宋" w:hAnsi="华文中宋" w:eastAsia="华文中宋"/>
          <w:b/>
          <w:color w:val="000000"/>
          <w:w w:val="70"/>
          <w:sz w:val="125"/>
          <w:szCs w:val="22"/>
        </w:rPr>
        <w:tab/>
      </w:r>
      <w:r>
        <w:rPr>
          <w:rFonts w:hint="eastAsia" w:ascii="华文中宋" w:hAnsi="华文中宋" w:eastAsia="华文中宋"/>
          <w:b/>
          <w:color w:val="000000"/>
          <w:w w:val="70"/>
          <w:sz w:val="125"/>
          <w:szCs w:val="22"/>
        </w:rPr>
        <w:tab/>
      </w:r>
    </w:p>
    <w:p>
      <w:pPr>
        <w:spacing w:line="600" w:lineRule="exact"/>
        <w:jc w:val="center"/>
        <w:rPr>
          <w:rFonts w:hAnsi="文星标宋"/>
          <w:color w:val="000000"/>
          <w:sz w:val="32"/>
          <w:szCs w:val="32"/>
        </w:rPr>
      </w:pPr>
    </w:p>
    <w:p>
      <w:pPr>
        <w:spacing w:line="6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章政发〔2022〕8号</w:t>
      </w:r>
    </w:p>
    <w:p>
      <w:pPr>
        <w:tabs>
          <w:tab w:val="center" w:pos="4422"/>
          <w:tab w:val="right" w:pos="8844"/>
        </w:tabs>
        <w:spacing w:line="400" w:lineRule="exact"/>
        <w:rPr>
          <w:rFonts w:ascii="华文中宋" w:hAnsi="华文中宋" w:eastAsia="华文中宋"/>
          <w:b/>
          <w:color w:val="000000"/>
          <w:w w:val="70"/>
          <w:sz w:val="125"/>
          <w:szCs w:val="22"/>
        </w:rPr>
      </w:pPr>
      <w:r>
        <w:rPr>
          <w:rFonts w:ascii="华文中宋" w:hAnsi="华文中宋" w:eastAsia="华文中宋"/>
          <w:b/>
          <w:color w:val="000000"/>
          <w:sz w:val="125"/>
          <w:szCs w:val="2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71755</wp:posOffset>
                </wp:positionV>
                <wp:extent cx="5742940" cy="0"/>
                <wp:effectExtent l="0" t="9525" r="10160" b="15875"/>
                <wp:wrapNone/>
                <wp:docPr id="1" name="直接连接符 1"/>
                <wp:cNvGraphicFramePr/>
                <a:graphic xmlns:a="http://schemas.openxmlformats.org/drawingml/2006/main">
                  <a:graphicData uri="http://schemas.microsoft.com/office/word/2010/wordprocessingShape">
                    <wps:wsp>
                      <wps:cNvCnPr/>
                      <wps:spPr>
                        <a:xfrm>
                          <a:off x="0" y="0"/>
                          <a:ext cx="5742940" cy="0"/>
                        </a:xfrm>
                        <a:prstGeom prst="line">
                          <a:avLst/>
                        </a:prstGeom>
                        <a:ln w="19050" cap="flat" cmpd="sng">
                          <a:solidFill>
                            <a:srgbClr val="FF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top:5.65pt;height:0pt;width:452.2pt;mso-position-horizontal:center;z-index:251659264;mso-width-relative:page;mso-height-relative:page;" filled="f" stroked="t" coordsize="21600,21600" o:gfxdata="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A0FMtUAAAAGAQAADwAAAAAAAAABACAAAAAiAAAAZHJzL2Rvd25y&#10;ZXYueG1sUEsBAhQAFAAAAAgAh07iQIioOPMBAgAA/QMAAA4AAAAAAAAAAQAgAAAAJAEAAGRycy9l&#10;Mm9Eb2MueG1sUEsFBgAAAAAGAAYAWQEAAJcFAAAAAA==&#10;">
                <v:fill on="f" focussize="0,0"/>
                <v:stroke weight="1.5pt" color="#FF0000" joinstyle="round"/>
                <v:imagedata o:title=""/>
                <o:lock v:ext="edit" aspectratio="f"/>
              </v:line>
            </w:pict>
          </mc:Fallback>
        </mc:AlternateContent>
      </w:r>
    </w:p>
    <w:p>
      <w:pPr>
        <w:pStyle w:val="10"/>
        <w:overflowPunct w:val="0"/>
        <w:spacing w:before="0" w:line="500" w:lineRule="exact"/>
        <w:rPr>
          <w:sz w:val="43"/>
          <w:szCs w:val="43"/>
        </w:rPr>
      </w:pPr>
    </w:p>
    <w:p>
      <w:pPr>
        <w:suppressAutoHyphens w:val="0"/>
        <w:spacing w:line="62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济南市章丘区人民政府</w:t>
      </w:r>
    </w:p>
    <w:p>
      <w:pPr>
        <w:suppressAutoHyphens w:val="0"/>
        <w:spacing w:line="62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关于印发济南市章丘区“十四五”妇女发展规划和济南市章丘区“十四五”儿童发展规划的</w:t>
      </w:r>
    </w:p>
    <w:p>
      <w:pPr>
        <w:suppressAutoHyphens w:val="0"/>
        <w:spacing w:line="62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通  知</w:t>
      </w:r>
    </w:p>
    <w:p>
      <w:pPr>
        <w:suppressAutoHyphens w:val="0"/>
        <w:spacing w:line="62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uppressAutoHyphens w:val="0"/>
        <w:spacing w:line="620" w:lineRule="exact"/>
        <w:jc w:val="left"/>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各镇人民政府、街道办事处，区政府各部门（单位）：</w:t>
      </w:r>
    </w:p>
    <w:p>
      <w:pPr>
        <w:suppressAutoHyphens w:val="0"/>
        <w:spacing w:line="620" w:lineRule="exact"/>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现将《济南市章丘区“十四五”妇女发展规划》《济南市章丘区“十四五”儿童发展规划》印发给你们，请认真组织实施。</w:t>
      </w:r>
    </w:p>
    <w:p>
      <w:pPr>
        <w:suppressAutoHyphens w:val="0"/>
        <w:spacing w:line="620" w:lineRule="exact"/>
        <w:jc w:val="left"/>
        <w:rPr>
          <w:rFonts w:ascii="仿宋_GB2312" w:hAnsi="仿宋_GB2312" w:eastAsia="仿宋_GB2312" w:cs="仿宋_GB2312"/>
          <w:color w:val="000000" w:themeColor="text1"/>
          <w:sz w:val="32"/>
          <w:szCs w:val="32"/>
          <w14:textFill>
            <w14:solidFill>
              <w14:schemeClr w14:val="tx1"/>
            </w14:solidFill>
          </w14:textFill>
        </w:rPr>
      </w:pPr>
    </w:p>
    <w:p>
      <w:pPr>
        <w:suppressAutoHyphens w:val="0"/>
        <w:spacing w:line="620" w:lineRule="exact"/>
        <w:jc w:val="left"/>
        <w:rPr>
          <w:rFonts w:ascii="仿宋_GB2312" w:hAnsi="仿宋_GB2312" w:eastAsia="仿宋_GB2312" w:cs="仿宋_GB2312"/>
          <w:color w:val="000000" w:themeColor="text1"/>
          <w:sz w:val="32"/>
          <w:szCs w:val="32"/>
          <w14:textFill>
            <w14:solidFill>
              <w14:schemeClr w14:val="tx1"/>
            </w14:solidFill>
          </w14:textFill>
        </w:rPr>
      </w:pPr>
    </w:p>
    <w:p>
      <w:pPr>
        <w:suppressAutoHyphens w:val="0"/>
        <w:spacing w:line="62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济南市章丘区人民政府</w:t>
      </w:r>
    </w:p>
    <w:p>
      <w:pPr>
        <w:suppressAutoHyphens w:val="0"/>
        <w:spacing w:line="620" w:lineRule="exact"/>
        <w:ind w:firstLine="6080" w:firstLineChars="19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2022年5月26日</w:t>
      </w:r>
    </w:p>
    <w:p>
      <w:pPr>
        <w:suppressAutoHyphens w:val="0"/>
        <w:spacing w:line="62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uppressAutoHyphens w:val="0"/>
        <w:spacing w:line="62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济南市章丘区“十四五”妇女发展规划</w:t>
      </w:r>
    </w:p>
    <w:p>
      <w:pPr>
        <w:suppressAutoHyphens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妇女是人类文明的开创者、社会进步的推动者，是全面建设社会主义现代化国家的重要力量。男女平等和妇女全面发展程度是检验社会文明进步的重要标准。为</w:t>
      </w:r>
      <w:r>
        <w:rPr>
          <w:rFonts w:ascii="仿宋_GB2312" w:hAnsi="仿宋_GB2312" w:eastAsia="仿宋_GB2312" w:cs="仿宋_GB2312"/>
          <w:color w:val="000000" w:themeColor="text1"/>
          <w:sz w:val="32"/>
          <w:szCs w:val="32"/>
          <w14:textFill>
            <w14:solidFill>
              <w14:schemeClr w14:val="tx1"/>
            </w14:solidFill>
          </w14:textFill>
        </w:rPr>
        <w:t>贯彻落实男女平等基本国策，</w:t>
      </w:r>
      <w:r>
        <w:rPr>
          <w:rFonts w:hint="eastAsia" w:ascii="仿宋_GB2312" w:hAnsi="仿宋_GB2312" w:eastAsia="仿宋_GB2312" w:cs="仿宋_GB2312"/>
          <w:color w:val="000000" w:themeColor="text1"/>
          <w:sz w:val="32"/>
          <w:szCs w:val="32"/>
          <w14:textFill>
            <w14:solidFill>
              <w14:schemeClr w14:val="tx1"/>
            </w14:solidFill>
          </w14:textFill>
        </w:rPr>
        <w:t>进一步推进我区妇女与经济社会同步协调发展，依照《中华人民共和国宪法》《中华人民共和国民法典》《中华人民共和国妇女权益保障法》等有关法律法规，按照《中国妇女发展纲要（2</w:t>
      </w:r>
      <w:r>
        <w:rPr>
          <w:rFonts w:ascii="仿宋_GB2312" w:hAnsi="仿宋_GB2312" w:eastAsia="仿宋_GB2312" w:cs="仿宋_GB2312"/>
          <w:color w:val="000000" w:themeColor="text1"/>
          <w:sz w:val="32"/>
          <w:szCs w:val="32"/>
          <w14:textFill>
            <w14:solidFill>
              <w14:schemeClr w14:val="tx1"/>
            </w14:solidFill>
          </w14:textFill>
        </w:rPr>
        <w:t>021</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2030</w:t>
      </w:r>
      <w:r>
        <w:rPr>
          <w:rFonts w:hint="eastAsia" w:ascii="仿宋_GB2312" w:hAnsi="仿宋_GB2312" w:eastAsia="仿宋_GB2312" w:cs="仿宋_GB2312"/>
          <w:color w:val="000000" w:themeColor="text1"/>
          <w:sz w:val="32"/>
          <w:szCs w:val="32"/>
          <w14:textFill>
            <w14:solidFill>
              <w14:schemeClr w14:val="tx1"/>
            </w14:solidFill>
          </w14:textFill>
        </w:rPr>
        <w:t>年）》《山东省“十四五”妇女发展规划</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《济南市“十四五”妇女发展规划》《章丘区国民经济和社会发展第十四个五年规划和二○三五年远景目标纲要》总体要求，结合我区妇女发展实际，制定本规划。</w:t>
      </w:r>
    </w:p>
    <w:p>
      <w:pPr>
        <w:suppressAutoHyphens w:val="0"/>
        <w:spacing w:line="620" w:lineRule="exact"/>
        <w:ind w:firstLine="640" w:firstLineChars="200"/>
        <w:outlineLvl w:val="0"/>
        <w:rPr>
          <w:rFonts w:ascii="黑体" w:hAnsi="黑体" w:eastAsia="黑体" w:cs="仿宋_GB2312"/>
          <w:color w:val="000000" w:themeColor="text1"/>
          <w:sz w:val="32"/>
          <w:szCs w:val="32"/>
          <w14:textFill>
            <w14:solidFill>
              <w14:schemeClr w14:val="tx1"/>
            </w14:solidFill>
          </w14:textFill>
        </w:rPr>
      </w:pPr>
      <w:bookmarkStart w:id="0" w:name="_Toc959188085"/>
      <w:r>
        <w:rPr>
          <w:rFonts w:hint="eastAsia" w:ascii="黑体" w:hAnsi="黑体" w:eastAsia="黑体" w:cs="仿宋_GB2312"/>
          <w:color w:val="000000" w:themeColor="text1"/>
          <w:sz w:val="32"/>
          <w:szCs w:val="32"/>
          <w14:textFill>
            <w14:solidFill>
              <w14:schemeClr w14:val="tx1"/>
            </w14:solidFill>
          </w14:textFill>
        </w:rPr>
        <w:t>一、发展现状和趋势</w:t>
      </w:r>
      <w:bookmarkEnd w:id="0"/>
    </w:p>
    <w:p>
      <w:pPr>
        <w:suppressAutoHyphens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和国家高度重视妇女事业和妇女发展。党的十八大以来，以习近平同志为核心的党中央将“坚持男女平等基本国策，保障妇女儿童合法权益”写入党的施政纲领，作为治国理政的重要内容，支持妇女发挥“半边天”作用，促进妇女全面发展加速</w:t>
      </w:r>
      <w:r>
        <w:rPr>
          <w:rFonts w:ascii="仿宋_GB2312" w:hAnsi="仿宋_GB2312" w:eastAsia="仿宋_GB2312" w:cs="仿宋_GB2312"/>
          <w:color w:val="000000" w:themeColor="text1"/>
          <w:sz w:val="32"/>
          <w:szCs w:val="32"/>
          <w14:textFill>
            <w14:solidFill>
              <w14:schemeClr w14:val="tx1"/>
            </w14:solidFill>
          </w14:textFill>
        </w:rPr>
        <w:t>行动</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w:t>
      </w:r>
      <w:r>
        <w:rPr>
          <w:rFonts w:ascii="仿宋_GB2312" w:hAnsi="仿宋_GB2312" w:eastAsia="仿宋_GB2312" w:cs="仿宋_GB2312"/>
          <w:color w:val="000000" w:themeColor="text1"/>
          <w:sz w:val="32"/>
          <w:szCs w:val="32"/>
          <w14:textFill>
            <w14:solidFill>
              <w14:schemeClr w14:val="tx1"/>
            </w14:solidFill>
          </w14:textFill>
        </w:rPr>
        <w:t>过</w:t>
      </w:r>
      <w:r>
        <w:rPr>
          <w:rFonts w:hint="eastAsia" w:ascii="仿宋_GB2312" w:hAnsi="仿宋_GB2312" w:eastAsia="仿宋_GB2312" w:cs="仿宋_GB2312"/>
          <w:color w:val="000000" w:themeColor="text1"/>
          <w:sz w:val="32"/>
          <w:szCs w:val="32"/>
          <w14:textFill>
            <w14:solidFill>
              <w14:schemeClr w14:val="tx1"/>
            </w14:solidFill>
          </w14:textFill>
        </w:rPr>
        <w:t>“十三五”时期不</w:t>
      </w:r>
      <w:r>
        <w:rPr>
          <w:rFonts w:ascii="仿宋_GB2312" w:hAnsi="仿宋_GB2312" w:eastAsia="仿宋_GB2312" w:cs="仿宋_GB2312"/>
          <w:color w:val="000000" w:themeColor="text1"/>
          <w:sz w:val="32"/>
          <w:szCs w:val="32"/>
          <w14:textFill>
            <w14:solidFill>
              <w14:schemeClr w14:val="tx1"/>
            </w14:solidFill>
          </w14:textFill>
        </w:rPr>
        <w:t>懈努力</w:t>
      </w:r>
      <w:r>
        <w:rPr>
          <w:rFonts w:hint="eastAsia" w:ascii="仿宋_GB2312" w:hAnsi="仿宋_GB2312" w:eastAsia="仿宋_GB2312" w:cs="仿宋_GB2312"/>
          <w:color w:val="000000" w:themeColor="text1"/>
          <w:sz w:val="32"/>
          <w:szCs w:val="32"/>
          <w14:textFill>
            <w14:solidFill>
              <w14:schemeClr w14:val="tx1"/>
            </w14:solidFill>
          </w14:textFill>
        </w:rPr>
        <w:t>，我区妇女健康状况极大改善，受教育程度进一步提高，参与经济社会发展的程度不断增强，参与决策和管理的水平不断提高，社会保障水平稳步提升，合法权益得到有效保障，妇女发展的社会和自然环境更为优化，妇女发展和妇女事业取得了历史性新成就。</w:t>
      </w:r>
    </w:p>
    <w:p>
      <w:pPr>
        <w:suppressAutoHyphens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进入新时代，社会主要矛盾发生历史性变化，妇女群众对美好生活的需要日益广泛，妇女发展不平衡不充分问题仍然突出。法律规定的男女平等权利在一些领域未能完全实现，针对妇女的偏见、歧视、暴力依然存在。主要</w:t>
      </w:r>
      <w:r>
        <w:rPr>
          <w:rFonts w:ascii="仿宋_GB2312" w:hAnsi="仿宋_GB2312" w:eastAsia="仿宋_GB2312" w:cs="仿宋_GB2312"/>
          <w:color w:val="000000" w:themeColor="text1"/>
          <w:sz w:val="32"/>
          <w:szCs w:val="32"/>
          <w14:textFill>
            <w14:solidFill>
              <w14:schemeClr w14:val="tx1"/>
            </w14:solidFill>
          </w14:textFill>
        </w:rPr>
        <w:t>表现在</w:t>
      </w:r>
      <w:r>
        <w:rPr>
          <w:rFonts w:hint="eastAsia" w:ascii="仿宋_GB2312" w:hAnsi="仿宋_GB2312" w:eastAsia="仿宋_GB2312" w:cs="仿宋_GB2312"/>
          <w:color w:val="000000" w:themeColor="text1"/>
          <w:sz w:val="32"/>
          <w:szCs w:val="32"/>
          <w14:textFill>
            <w14:solidFill>
              <w14:schemeClr w14:val="tx1"/>
            </w14:solidFill>
          </w14:textFill>
        </w:rPr>
        <w:t>：妇女的健康需求有待进一步满足，</w:t>
      </w:r>
      <w:r>
        <w:rPr>
          <w:rFonts w:ascii="仿宋_GB2312" w:hAnsi="仿宋_GB2312" w:eastAsia="仿宋_GB2312" w:cs="仿宋_GB2312"/>
          <w:color w:val="000000" w:themeColor="text1"/>
          <w:sz w:val="32"/>
          <w:szCs w:val="32"/>
          <w14:textFill>
            <w14:solidFill>
              <w14:schemeClr w14:val="tx1"/>
            </w14:solidFill>
          </w14:textFill>
        </w:rPr>
        <w:t>妇女参与政治和社会治理的深度和成效有待提升</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妇女就业的社会环境和政策支持尚需持续优化</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妇女在人身财产、婚姻家庭等方面的权益</w:t>
      </w:r>
      <w:r>
        <w:rPr>
          <w:rFonts w:hint="eastAsia" w:ascii="仿宋_GB2312" w:hAnsi="仿宋_GB2312" w:eastAsia="仿宋_GB2312" w:cs="仿宋_GB2312"/>
          <w:color w:val="000000" w:themeColor="text1"/>
          <w:sz w:val="32"/>
          <w:szCs w:val="32"/>
          <w14:textFill>
            <w14:solidFill>
              <w14:schemeClr w14:val="tx1"/>
            </w14:solidFill>
          </w14:textFill>
        </w:rPr>
        <w:t>保障面临</w:t>
      </w:r>
      <w:r>
        <w:rPr>
          <w:rFonts w:ascii="仿宋_GB2312" w:hAnsi="仿宋_GB2312" w:eastAsia="仿宋_GB2312" w:cs="仿宋_GB2312"/>
          <w:color w:val="000000" w:themeColor="text1"/>
          <w:sz w:val="32"/>
          <w:szCs w:val="32"/>
          <w14:textFill>
            <w14:solidFill>
              <w14:schemeClr w14:val="tx1"/>
            </w14:solidFill>
          </w14:textFill>
        </w:rPr>
        <w:t>现实困难</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促进家庭生育的政策和社会支持体系需进一步完善</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ascii="仿宋_GB2312" w:hAnsi="仿宋_GB2312" w:eastAsia="仿宋_GB2312" w:cs="仿宋_GB2312"/>
          <w:color w:val="000000" w:themeColor="text1"/>
          <w:sz w:val="32"/>
          <w:szCs w:val="32"/>
          <w14:textFill>
            <w14:solidFill>
              <w14:schemeClr w14:val="tx1"/>
            </w14:solidFill>
          </w14:textFill>
        </w:rPr>
        <w:t>促进妇女全面发展</w:t>
      </w:r>
      <w:r>
        <w:rPr>
          <w:rFonts w:hint="eastAsia" w:ascii="仿宋_GB2312" w:hAnsi="仿宋_GB2312" w:eastAsia="仿宋_GB2312" w:cs="仿宋_GB2312"/>
          <w:color w:val="000000" w:themeColor="text1"/>
          <w:sz w:val="32"/>
          <w:szCs w:val="32"/>
          <w14:textFill>
            <w14:solidFill>
              <w14:schemeClr w14:val="tx1"/>
            </w14:solidFill>
          </w14:textFill>
        </w:rPr>
        <w:t>仍</w:t>
      </w:r>
      <w:r>
        <w:rPr>
          <w:rFonts w:ascii="仿宋_GB2312" w:hAnsi="仿宋_GB2312" w:eastAsia="仿宋_GB2312" w:cs="仿宋_GB2312"/>
          <w:color w:val="000000" w:themeColor="text1"/>
          <w:sz w:val="32"/>
          <w:szCs w:val="32"/>
          <w14:textFill>
            <w14:solidFill>
              <w14:schemeClr w14:val="tx1"/>
            </w14:solidFill>
          </w14:textFill>
        </w:rPr>
        <w:t>任重道远</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“十四五”时期，是我区推动</w:t>
      </w:r>
      <w:r>
        <w:rPr>
          <w:rFonts w:ascii="仿宋_GB2312" w:hAnsi="仿宋_GB2312" w:eastAsia="仿宋_GB2312" w:cs="仿宋_GB2312"/>
          <w:color w:val="000000" w:themeColor="text1"/>
          <w:sz w:val="32"/>
          <w:szCs w:val="32"/>
          <w14:textFill>
            <w14:solidFill>
              <w14:schemeClr w14:val="tx1"/>
            </w14:solidFill>
          </w14:textFill>
        </w:rPr>
        <w:t>黄河流域生态保护和高质量发展，</w:t>
      </w:r>
      <w:r>
        <w:rPr>
          <w:rFonts w:hint="eastAsia" w:ascii="仿宋_GB2312" w:hAnsi="仿宋_GB2312" w:eastAsia="仿宋_GB2312" w:cs="仿宋_GB2312"/>
          <w:color w:val="000000" w:themeColor="text1"/>
          <w:sz w:val="32"/>
          <w:szCs w:val="32"/>
          <w14:textFill>
            <w14:solidFill>
              <w14:schemeClr w14:val="tx1"/>
            </w14:solidFill>
          </w14:textFill>
        </w:rPr>
        <w:t>加快推进新时代社会主义济东强区建设的关键时期。新发展阶段，</w:t>
      </w:r>
      <w:r>
        <w:rPr>
          <w:rFonts w:ascii="仿宋_GB2312" w:hAnsi="仿宋_GB2312" w:eastAsia="仿宋_GB2312" w:cs="仿宋_GB2312"/>
          <w:color w:val="000000" w:themeColor="text1"/>
          <w:sz w:val="32"/>
          <w:szCs w:val="32"/>
          <w14:textFill>
            <w14:solidFill>
              <w14:schemeClr w14:val="tx1"/>
            </w14:solidFill>
          </w14:textFill>
        </w:rPr>
        <w:t>为妇女</w:t>
      </w:r>
      <w:r>
        <w:rPr>
          <w:rFonts w:hint="eastAsia" w:ascii="仿宋_GB2312" w:hAnsi="仿宋_GB2312" w:eastAsia="仿宋_GB2312" w:cs="仿宋_GB2312"/>
          <w:color w:val="000000" w:themeColor="text1"/>
          <w:sz w:val="32"/>
          <w:szCs w:val="32"/>
          <w14:textFill>
            <w14:solidFill>
              <w14:schemeClr w14:val="tx1"/>
            </w14:solidFill>
          </w14:textFill>
        </w:rPr>
        <w:t>全面</w:t>
      </w:r>
      <w:r>
        <w:rPr>
          <w:rFonts w:ascii="仿宋_GB2312" w:hAnsi="仿宋_GB2312" w:eastAsia="仿宋_GB2312" w:cs="仿宋_GB2312"/>
          <w:color w:val="000000" w:themeColor="text1"/>
          <w:sz w:val="32"/>
          <w:szCs w:val="32"/>
          <w14:textFill>
            <w14:solidFill>
              <w14:schemeClr w14:val="tx1"/>
            </w14:solidFill>
          </w14:textFill>
        </w:rPr>
        <w:t>发展</w:t>
      </w:r>
      <w:r>
        <w:rPr>
          <w:rFonts w:hint="eastAsia" w:ascii="仿宋_GB2312" w:hAnsi="仿宋_GB2312" w:eastAsia="仿宋_GB2312" w:cs="仿宋_GB2312"/>
          <w:color w:val="000000" w:themeColor="text1"/>
          <w:sz w:val="32"/>
          <w:szCs w:val="32"/>
          <w14:textFill>
            <w14:solidFill>
              <w14:schemeClr w14:val="tx1"/>
            </w14:solidFill>
          </w14:textFill>
        </w:rPr>
        <w:t>和妇女事业发展</w:t>
      </w:r>
      <w:r>
        <w:rPr>
          <w:rFonts w:ascii="仿宋_GB2312" w:hAnsi="仿宋_GB2312" w:eastAsia="仿宋_GB2312" w:cs="仿宋_GB2312"/>
          <w:color w:val="000000" w:themeColor="text1"/>
          <w:sz w:val="32"/>
          <w:szCs w:val="32"/>
          <w14:textFill>
            <w14:solidFill>
              <w14:schemeClr w14:val="tx1"/>
            </w14:solidFill>
          </w14:textFill>
        </w:rPr>
        <w:t>提供了</w:t>
      </w:r>
      <w:r>
        <w:rPr>
          <w:rFonts w:hint="eastAsia" w:ascii="仿宋_GB2312" w:hAnsi="仿宋_GB2312" w:eastAsia="仿宋_GB2312" w:cs="仿宋_GB2312"/>
          <w:color w:val="000000" w:themeColor="text1"/>
          <w:sz w:val="32"/>
          <w:szCs w:val="32"/>
          <w14:textFill>
            <w14:solidFill>
              <w14:schemeClr w14:val="tx1"/>
            </w14:solidFill>
          </w14:textFill>
        </w:rPr>
        <w:t>前所未有</w:t>
      </w:r>
      <w:r>
        <w:rPr>
          <w:rFonts w:ascii="仿宋_GB2312" w:hAnsi="仿宋_GB2312" w:eastAsia="仿宋_GB2312" w:cs="仿宋_GB2312"/>
          <w:color w:val="000000" w:themeColor="text1"/>
          <w:sz w:val="32"/>
          <w:szCs w:val="32"/>
          <w14:textFill>
            <w14:solidFill>
              <w14:schemeClr w14:val="tx1"/>
            </w14:solidFill>
          </w14:textFill>
        </w:rPr>
        <w:t>的机遇</w:t>
      </w:r>
      <w:r>
        <w:rPr>
          <w:rFonts w:hint="eastAsia" w:ascii="仿宋_GB2312" w:hAnsi="仿宋_GB2312" w:eastAsia="仿宋_GB2312" w:cs="仿宋_GB2312"/>
          <w:color w:val="000000" w:themeColor="text1"/>
          <w:sz w:val="32"/>
          <w:szCs w:val="32"/>
          <w14:textFill>
            <w14:solidFill>
              <w14:schemeClr w14:val="tx1"/>
            </w14:solidFill>
          </w14:textFill>
        </w:rPr>
        <w:t>和挑战。新起点新征程，要贯彻以人民为中心的发展思想，坚持新发展理念，坚持系统观念，充分发挥妇女在社会生活和家庭生活中的独特作用，增强妇女的获得感幸福感安全感，科学规划妇女全面发展的新目标新任务，健全完善制度机制，团结引领妇女建功新时代、奋进新征程。</w:t>
      </w:r>
    </w:p>
    <w:p>
      <w:pPr>
        <w:suppressAutoHyphens w:val="0"/>
        <w:spacing w:line="620" w:lineRule="exact"/>
        <w:ind w:firstLine="640" w:firstLineChars="200"/>
        <w:outlineLvl w:val="0"/>
        <w:rPr>
          <w:rFonts w:ascii="Times New Roman" w:hAnsi="黑体" w:eastAsia="黑体"/>
          <w:color w:val="000000" w:themeColor="text1"/>
          <w:sz w:val="32"/>
          <w:szCs w:val="32"/>
          <w14:textFill>
            <w14:solidFill>
              <w14:schemeClr w14:val="tx1"/>
            </w14:solidFill>
          </w14:textFill>
        </w:rPr>
      </w:pPr>
      <w:bookmarkStart w:id="1" w:name="_Toc1049256471"/>
      <w:r>
        <w:rPr>
          <w:rFonts w:hint="eastAsia" w:ascii="Times New Roman" w:hAnsi="黑体" w:eastAsia="黑体"/>
          <w:color w:val="000000" w:themeColor="text1"/>
          <w:sz w:val="32"/>
          <w:szCs w:val="32"/>
          <w14:textFill>
            <w14:solidFill>
              <w14:schemeClr w14:val="tx1"/>
            </w14:solidFill>
          </w14:textFill>
        </w:rPr>
        <w:t>二、</w:t>
      </w:r>
      <w:r>
        <w:rPr>
          <w:rFonts w:ascii="Times New Roman" w:hAnsi="黑体" w:eastAsia="黑体"/>
          <w:color w:val="000000" w:themeColor="text1"/>
          <w:sz w:val="32"/>
          <w:szCs w:val="32"/>
          <w14:textFill>
            <w14:solidFill>
              <w14:schemeClr w14:val="tx1"/>
            </w14:solidFill>
          </w14:textFill>
        </w:rPr>
        <w:t>指导思想</w:t>
      </w:r>
      <w:r>
        <w:rPr>
          <w:rFonts w:hint="eastAsia" w:ascii="Times New Roman" w:hAnsi="黑体" w:eastAsia="黑体"/>
          <w:color w:val="000000" w:themeColor="text1"/>
          <w:sz w:val="32"/>
          <w:szCs w:val="32"/>
          <w14:textFill>
            <w14:solidFill>
              <w14:schemeClr w14:val="tx1"/>
            </w14:solidFill>
          </w14:textFill>
        </w:rPr>
        <w:t>、</w:t>
      </w:r>
      <w:r>
        <w:rPr>
          <w:rFonts w:ascii="Times New Roman" w:hAnsi="黑体" w:eastAsia="黑体"/>
          <w:color w:val="000000" w:themeColor="text1"/>
          <w:sz w:val="32"/>
          <w:szCs w:val="32"/>
          <w14:textFill>
            <w14:solidFill>
              <w14:schemeClr w14:val="tx1"/>
            </w14:solidFill>
          </w14:textFill>
        </w:rPr>
        <w:t>基本原则和</w:t>
      </w:r>
      <w:r>
        <w:rPr>
          <w:rFonts w:hint="eastAsia" w:ascii="Times New Roman" w:hAnsi="黑体" w:eastAsia="黑体"/>
          <w:color w:val="000000" w:themeColor="text1"/>
          <w:sz w:val="32"/>
          <w:szCs w:val="32"/>
          <w14:textFill>
            <w14:solidFill>
              <w14:schemeClr w14:val="tx1"/>
            </w14:solidFill>
          </w14:textFill>
        </w:rPr>
        <w:t>总体</w:t>
      </w:r>
      <w:r>
        <w:rPr>
          <w:rFonts w:ascii="Times New Roman" w:hAnsi="黑体" w:eastAsia="黑体"/>
          <w:color w:val="000000" w:themeColor="text1"/>
          <w:sz w:val="32"/>
          <w:szCs w:val="32"/>
          <w14:textFill>
            <w14:solidFill>
              <w14:schemeClr w14:val="tx1"/>
            </w14:solidFill>
          </w14:textFill>
        </w:rPr>
        <w:t>目标</w:t>
      </w:r>
      <w:bookmarkEnd w:id="1"/>
    </w:p>
    <w:p>
      <w:pPr>
        <w:suppressAutoHyphens w:val="0"/>
        <w:spacing w:line="620" w:lineRule="exact"/>
        <w:ind w:firstLine="640" w:firstLineChars="200"/>
        <w:outlineLvl w:val="1"/>
        <w:rPr>
          <w:rFonts w:ascii="仿宋_GB2312" w:hAnsi="仿宋_GB2312" w:eastAsia="仿宋_GB2312" w:cs="仿宋_GB2312"/>
          <w:color w:val="000000" w:themeColor="text1"/>
          <w:sz w:val="32"/>
          <w:szCs w:val="32"/>
          <w14:textFill>
            <w14:solidFill>
              <w14:schemeClr w14:val="tx1"/>
            </w14:solidFill>
          </w14:textFill>
        </w:rPr>
      </w:pPr>
      <w:bookmarkStart w:id="2" w:name="_Toc550095504"/>
      <w:r>
        <w:rPr>
          <w:rFonts w:ascii="Times New Roman" w:hAnsi="楷体" w:eastAsia="楷体_GB2312"/>
          <w:color w:val="000000" w:themeColor="text1"/>
          <w:sz w:val="32"/>
          <w:szCs w:val="32"/>
          <w14:textFill>
            <w14:solidFill>
              <w14:schemeClr w14:val="tx1"/>
            </w14:solidFill>
          </w14:textFill>
        </w:rPr>
        <w:t>（一）指导思想</w:t>
      </w:r>
      <w:bookmarkEnd w:id="2"/>
      <w:r>
        <w:rPr>
          <w:rFonts w:hint="eastAsia" w:ascii="Times New Roman" w:hAnsi="楷体" w:eastAsia="楷体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坚持以习近平新时代中国特色社会主义思想为指导，深</w:t>
      </w:r>
      <w:r>
        <w:rPr>
          <w:rFonts w:hint="eastAsia" w:ascii="仿宋_GB2312" w:hAnsi="仿宋_GB2312" w:eastAsia="仿宋_GB2312" w:cs="仿宋_GB2312"/>
          <w:color w:val="000000" w:themeColor="text1"/>
          <w:kern w:val="0"/>
          <w:sz w:val="32"/>
          <w:szCs w:val="32"/>
          <w14:textFill>
            <w14:solidFill>
              <w14:schemeClr w14:val="tx1"/>
            </w14:solidFill>
          </w14:textFill>
        </w:rPr>
        <w:t>入贯彻党的十九大和十九届二中、三中、四中、五中、六中全会精神，把握新发展阶段，贯彻新发展理念，融入新发展格局，贯彻落实男女平等基本国策，保障妇女合法权益，推动性别平等成为全社会共同遵循的行为规范和价值标准，引领妇女做伟大事业的建设者、文明风尚的倡导者、敢于追梦的奋斗者，充分发挥妇女在济东强区建设中的“半边天”作用，保障</w:t>
      </w:r>
      <w:r>
        <w:rPr>
          <w:rFonts w:ascii="仿宋_GB2312" w:hAnsi="仿宋_GB2312" w:eastAsia="仿宋_GB2312" w:cs="仿宋_GB2312"/>
          <w:color w:val="000000" w:themeColor="text1"/>
          <w:kern w:val="0"/>
          <w:sz w:val="32"/>
          <w:szCs w:val="32"/>
          <w14:textFill>
            <w14:solidFill>
              <w14:schemeClr w14:val="tx1"/>
            </w14:solidFill>
          </w14:textFill>
        </w:rPr>
        <w:t>妇女依法平等</w:t>
      </w:r>
      <w:r>
        <w:rPr>
          <w:rFonts w:hint="eastAsia" w:ascii="仿宋_GB2312" w:hAnsi="仿宋_GB2312" w:eastAsia="仿宋_GB2312" w:cs="仿宋_GB2312"/>
          <w:color w:val="000000" w:themeColor="text1"/>
          <w:kern w:val="0"/>
          <w:sz w:val="32"/>
          <w:szCs w:val="32"/>
          <w14:textFill>
            <w14:solidFill>
              <w14:schemeClr w14:val="tx1"/>
            </w14:solidFill>
          </w14:textFill>
        </w:rPr>
        <w:t>行使</w:t>
      </w:r>
      <w:r>
        <w:rPr>
          <w:rFonts w:ascii="仿宋_GB2312" w:hAnsi="仿宋_GB2312" w:eastAsia="仿宋_GB2312" w:cs="仿宋_GB2312"/>
          <w:color w:val="000000" w:themeColor="text1"/>
          <w:kern w:val="0"/>
          <w:sz w:val="32"/>
          <w:szCs w:val="32"/>
          <w14:textFill>
            <w14:solidFill>
              <w14:schemeClr w14:val="tx1"/>
            </w14:solidFill>
          </w14:textFill>
        </w:rPr>
        <w:t>民主权利</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平等</w:t>
      </w:r>
      <w:r>
        <w:rPr>
          <w:rFonts w:hint="eastAsia" w:ascii="仿宋_GB2312" w:hAnsi="仿宋_GB2312" w:eastAsia="仿宋_GB2312" w:cs="仿宋_GB2312"/>
          <w:color w:val="000000" w:themeColor="text1"/>
          <w:kern w:val="0"/>
          <w:sz w:val="32"/>
          <w:szCs w:val="32"/>
          <w14:textFill>
            <w14:solidFill>
              <w14:schemeClr w14:val="tx1"/>
            </w14:solidFill>
          </w14:textFill>
        </w:rPr>
        <w:t>参与</w:t>
      </w:r>
      <w:r>
        <w:rPr>
          <w:rFonts w:ascii="仿宋_GB2312" w:hAnsi="仿宋_GB2312" w:eastAsia="仿宋_GB2312" w:cs="仿宋_GB2312"/>
          <w:color w:val="000000" w:themeColor="text1"/>
          <w:kern w:val="0"/>
          <w:sz w:val="32"/>
          <w:szCs w:val="32"/>
          <w14:textFill>
            <w14:solidFill>
              <w14:schemeClr w14:val="tx1"/>
            </w14:solidFill>
          </w14:textFill>
        </w:rPr>
        <w:t>经济社会发展</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平等享有改革发展成果，</w:t>
      </w:r>
      <w:r>
        <w:rPr>
          <w:rFonts w:hint="eastAsia" w:ascii="仿宋_GB2312" w:hAnsi="仿宋_GB2312" w:eastAsia="仿宋_GB2312" w:cs="仿宋_GB2312"/>
          <w:color w:val="000000" w:themeColor="text1"/>
          <w:sz w:val="32"/>
          <w:szCs w:val="32"/>
          <w14:textFill>
            <w14:solidFill>
              <w14:schemeClr w14:val="tx1"/>
            </w14:solidFill>
          </w14:textFill>
        </w:rPr>
        <w:t>促进我区妇</w:t>
      </w:r>
      <w:r>
        <w:rPr>
          <w:rFonts w:ascii="仿宋_GB2312" w:hAnsi="仿宋_GB2312" w:eastAsia="仿宋_GB2312" w:cs="仿宋_GB2312"/>
          <w:color w:val="000000" w:themeColor="text1"/>
          <w:sz w:val="32"/>
          <w:szCs w:val="32"/>
          <w14:textFill>
            <w14:solidFill>
              <w14:schemeClr w14:val="tx1"/>
            </w14:solidFill>
          </w14:textFill>
        </w:rPr>
        <w:t>女</w:t>
      </w:r>
      <w:r>
        <w:rPr>
          <w:rFonts w:hint="eastAsia" w:ascii="仿宋_GB2312" w:hAnsi="仿宋_GB2312" w:eastAsia="仿宋_GB2312" w:cs="仿宋_GB2312"/>
          <w:color w:val="000000" w:themeColor="text1"/>
          <w:sz w:val="32"/>
          <w:szCs w:val="32"/>
          <w14:textFill>
            <w14:solidFill>
              <w14:schemeClr w14:val="tx1"/>
            </w14:solidFill>
          </w14:textFill>
        </w:rPr>
        <w:t>及</w:t>
      </w:r>
      <w:r>
        <w:rPr>
          <w:rFonts w:ascii="仿宋_GB2312" w:hAnsi="仿宋_GB2312" w:eastAsia="仿宋_GB2312" w:cs="仿宋_GB2312"/>
          <w:color w:val="000000" w:themeColor="text1"/>
          <w:sz w:val="32"/>
          <w:szCs w:val="32"/>
          <w14:textFill>
            <w14:solidFill>
              <w14:schemeClr w14:val="tx1"/>
            </w14:solidFill>
          </w14:textFill>
        </w:rPr>
        <w:t>妇女</w:t>
      </w:r>
      <w:r>
        <w:rPr>
          <w:rFonts w:hint="eastAsia" w:ascii="仿宋_GB2312" w:hAnsi="仿宋_GB2312" w:eastAsia="仿宋_GB2312" w:cs="仿宋_GB2312"/>
          <w:color w:val="000000" w:themeColor="text1"/>
          <w:sz w:val="32"/>
          <w:szCs w:val="32"/>
          <w14:textFill>
            <w14:solidFill>
              <w14:schemeClr w14:val="tx1"/>
            </w14:solidFill>
          </w14:textFill>
        </w:rPr>
        <w:t>事业在新</w:t>
      </w:r>
      <w:r>
        <w:rPr>
          <w:rFonts w:ascii="仿宋_GB2312" w:hAnsi="仿宋_GB2312" w:eastAsia="仿宋_GB2312" w:cs="仿宋_GB2312"/>
          <w:color w:val="000000" w:themeColor="text1"/>
          <w:sz w:val="32"/>
          <w:szCs w:val="32"/>
          <w14:textFill>
            <w14:solidFill>
              <w14:schemeClr w14:val="tx1"/>
            </w14:solidFill>
          </w14:textFill>
        </w:rPr>
        <w:t>时代走在前列</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outlineLvl w:val="1"/>
        <w:rPr>
          <w:rFonts w:ascii="Times New Roman" w:hAnsi="Times New Roman" w:eastAsia="楷体_GB2312"/>
          <w:color w:val="000000" w:themeColor="text1"/>
          <w:sz w:val="32"/>
          <w:szCs w:val="32"/>
          <w14:textFill>
            <w14:solidFill>
              <w14:schemeClr w14:val="tx1"/>
            </w14:solidFill>
          </w14:textFill>
        </w:rPr>
      </w:pPr>
      <w:bookmarkStart w:id="3" w:name="_Toc1729847417"/>
      <w:r>
        <w:rPr>
          <w:rFonts w:ascii="Times New Roman" w:hAnsi="楷体" w:eastAsia="楷体_GB2312"/>
          <w:color w:val="000000" w:themeColor="text1"/>
          <w:sz w:val="32"/>
          <w:szCs w:val="32"/>
          <w14:textFill>
            <w14:solidFill>
              <w14:schemeClr w14:val="tx1"/>
            </w14:solidFill>
          </w14:textFill>
        </w:rPr>
        <w:t>（二）基本原则</w:t>
      </w:r>
      <w:bookmarkEnd w:id="3"/>
      <w:r>
        <w:rPr>
          <w:rFonts w:hint="eastAsia" w:ascii="Times New Roman" w:hAnsi="楷体" w:eastAsia="楷体_GB2312"/>
          <w:color w:val="000000" w:themeColor="text1"/>
          <w:sz w:val="32"/>
          <w:szCs w:val="32"/>
          <w14:textFill>
            <w14:solidFill>
              <w14:schemeClr w14:val="tx1"/>
            </w14:solidFill>
          </w14:textFill>
        </w:rPr>
        <w:t>。</w:t>
      </w:r>
    </w:p>
    <w:p>
      <w:pPr>
        <w:suppressAutoHyphens w:val="0"/>
        <w:overflowPunct w:val="0"/>
        <w:adjustRightInd w:val="0"/>
        <w:snapToGrid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1.坚持党的全面领导原则。深刻认识“两个确立”的决定性意义，增强“四个意识”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坚定“四个自信”</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做到“两个维护”，坚持</w:t>
      </w:r>
      <w:r>
        <w:rPr>
          <w:rFonts w:ascii="仿宋_GB2312" w:hAnsi="仿宋_GB2312" w:eastAsia="仿宋_GB2312" w:cs="仿宋_GB2312"/>
          <w:color w:val="000000" w:themeColor="text1"/>
          <w:kern w:val="0"/>
          <w:sz w:val="32"/>
          <w:szCs w:val="32"/>
          <w14:textFill>
            <w14:solidFill>
              <w14:schemeClr w14:val="tx1"/>
            </w14:solidFill>
          </w14:textFill>
        </w:rPr>
        <w:t>妇女事业</w:t>
      </w:r>
      <w:r>
        <w:rPr>
          <w:rFonts w:hint="eastAsia" w:ascii="仿宋_GB2312" w:hAnsi="仿宋_GB2312" w:eastAsia="仿宋_GB2312" w:cs="仿宋_GB2312"/>
          <w:color w:val="000000" w:themeColor="text1"/>
          <w:kern w:val="0"/>
          <w:sz w:val="32"/>
          <w:szCs w:val="32"/>
          <w14:textFill>
            <w14:solidFill>
              <w14:schemeClr w14:val="tx1"/>
            </w14:solidFill>
          </w14:textFill>
        </w:rPr>
        <w:t>发展</w:t>
      </w:r>
      <w:r>
        <w:rPr>
          <w:rFonts w:ascii="仿宋_GB2312" w:hAnsi="仿宋_GB2312" w:eastAsia="仿宋_GB2312" w:cs="仿宋_GB2312"/>
          <w:color w:val="000000" w:themeColor="text1"/>
          <w:kern w:val="0"/>
          <w:sz w:val="32"/>
          <w:szCs w:val="32"/>
          <w14:textFill>
            <w14:solidFill>
              <w14:schemeClr w14:val="tx1"/>
            </w14:solidFill>
          </w14:textFill>
        </w:rPr>
        <w:t>的正确政治方向，贯彻落实党中央关于妇女事业发展的决策部署，切实把党的领导</w:t>
      </w:r>
      <w:r>
        <w:rPr>
          <w:rFonts w:hint="eastAsia" w:ascii="仿宋_GB2312" w:hAnsi="仿宋_GB2312" w:eastAsia="仿宋_GB2312" w:cs="仿宋_GB2312"/>
          <w:color w:val="000000" w:themeColor="text1"/>
          <w:kern w:val="0"/>
          <w:sz w:val="32"/>
          <w:szCs w:val="32"/>
          <w14:textFill>
            <w14:solidFill>
              <w14:schemeClr w14:val="tx1"/>
            </w14:solidFill>
          </w14:textFill>
        </w:rPr>
        <w:t>贯穿到</w:t>
      </w:r>
      <w:r>
        <w:rPr>
          <w:rFonts w:ascii="仿宋_GB2312" w:hAnsi="仿宋_GB2312" w:eastAsia="仿宋_GB2312" w:cs="仿宋_GB2312"/>
          <w:color w:val="000000" w:themeColor="text1"/>
          <w:kern w:val="0"/>
          <w:sz w:val="32"/>
          <w:szCs w:val="32"/>
          <w14:textFill>
            <w14:solidFill>
              <w14:schemeClr w14:val="tx1"/>
            </w14:solidFill>
          </w14:textFill>
        </w:rPr>
        <w:t>妇女事业</w:t>
      </w:r>
      <w:r>
        <w:rPr>
          <w:rFonts w:hint="eastAsia" w:ascii="仿宋_GB2312" w:hAnsi="仿宋_GB2312" w:eastAsia="仿宋_GB2312" w:cs="仿宋_GB2312"/>
          <w:color w:val="000000" w:themeColor="text1"/>
          <w:kern w:val="0"/>
          <w:sz w:val="32"/>
          <w:szCs w:val="32"/>
          <w14:textFill>
            <w14:solidFill>
              <w14:schemeClr w14:val="tx1"/>
            </w14:solidFill>
          </w14:textFill>
        </w:rPr>
        <w:t>发</w:t>
      </w:r>
      <w:r>
        <w:rPr>
          <w:rFonts w:ascii="仿宋_GB2312" w:hAnsi="仿宋_GB2312" w:eastAsia="仿宋_GB2312" w:cs="仿宋_GB2312"/>
          <w:color w:val="000000" w:themeColor="text1"/>
          <w:kern w:val="0"/>
          <w:sz w:val="32"/>
          <w:szCs w:val="32"/>
          <w14:textFill>
            <w14:solidFill>
              <w14:schemeClr w14:val="tx1"/>
            </w14:solidFill>
          </w14:textFill>
        </w:rPr>
        <w:t>展的</w:t>
      </w:r>
      <w:r>
        <w:rPr>
          <w:rFonts w:hint="eastAsia" w:ascii="仿宋_GB2312" w:hAnsi="仿宋_GB2312" w:eastAsia="仿宋_GB2312" w:cs="仿宋_GB2312"/>
          <w:color w:val="000000" w:themeColor="text1"/>
          <w:kern w:val="0"/>
          <w:sz w:val="32"/>
          <w:szCs w:val="32"/>
          <w14:textFill>
            <w14:solidFill>
              <w14:schemeClr w14:val="tx1"/>
            </w14:solidFill>
          </w14:textFill>
        </w:rPr>
        <w:t>全</w:t>
      </w:r>
      <w:r>
        <w:rPr>
          <w:rFonts w:ascii="仿宋_GB2312" w:hAnsi="仿宋_GB2312" w:eastAsia="仿宋_GB2312" w:cs="仿宋_GB2312"/>
          <w:color w:val="000000" w:themeColor="text1"/>
          <w:kern w:val="0"/>
          <w:sz w:val="32"/>
          <w:szCs w:val="32"/>
          <w14:textFill>
            <w14:solidFill>
              <w14:schemeClr w14:val="tx1"/>
            </w14:solidFill>
          </w14:textFill>
        </w:rPr>
        <w:t>过程和各方面。</w:t>
      </w:r>
    </w:p>
    <w:p>
      <w:pPr>
        <w:suppressAutoHyphens w:val="0"/>
        <w:overflowPunct w:val="0"/>
        <w:adjustRightInd w:val="0"/>
        <w:snapToGrid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.坚持</w:t>
      </w:r>
      <w:r>
        <w:rPr>
          <w:rFonts w:ascii="仿宋_GB2312" w:hAnsi="仿宋_GB2312" w:eastAsia="仿宋_GB2312" w:cs="仿宋_GB2312"/>
          <w:color w:val="000000" w:themeColor="text1"/>
          <w:kern w:val="0"/>
          <w:sz w:val="32"/>
          <w:szCs w:val="32"/>
          <w14:textFill>
            <w14:solidFill>
              <w14:schemeClr w14:val="tx1"/>
            </w14:solidFill>
          </w14:textFill>
        </w:rPr>
        <w:t>妇女事业与经济社会同步</w:t>
      </w:r>
      <w:r>
        <w:rPr>
          <w:rFonts w:hint="eastAsia" w:ascii="仿宋_GB2312" w:hAnsi="仿宋_GB2312" w:eastAsia="仿宋_GB2312" w:cs="仿宋_GB2312"/>
          <w:color w:val="000000" w:themeColor="text1"/>
          <w:kern w:val="0"/>
          <w:sz w:val="32"/>
          <w:szCs w:val="32"/>
          <w14:textFill>
            <w14:solidFill>
              <w14:schemeClr w14:val="tx1"/>
            </w14:solidFill>
          </w14:textFill>
        </w:rPr>
        <w:t>协调发展原则。将促进妇女全面发展目标任务纳入全区经济社会发展总体规划，纳入专项规划，纳入民生实事项目，同部署、同落实，让</w:t>
      </w:r>
      <w:r>
        <w:rPr>
          <w:rFonts w:ascii="仿宋_GB2312" w:hAnsi="仿宋_GB2312" w:eastAsia="仿宋_GB2312" w:cs="仿宋_GB2312"/>
          <w:color w:val="000000" w:themeColor="text1"/>
          <w:kern w:val="0"/>
          <w:sz w:val="32"/>
          <w:szCs w:val="32"/>
          <w14:textFill>
            <w14:solidFill>
              <w14:schemeClr w14:val="tx1"/>
            </w14:solidFill>
          </w14:textFill>
        </w:rPr>
        <w:t>经济社会发展成果更多惠及广大妇女。</w:t>
      </w:r>
      <w:r>
        <w:rPr>
          <w:rFonts w:hint="eastAsia" w:ascii="仿宋_GB2312" w:hAnsi="仿宋_GB2312" w:eastAsia="仿宋_GB2312" w:cs="仿宋_GB2312"/>
          <w:color w:val="000000" w:themeColor="text1"/>
          <w:kern w:val="0"/>
          <w:sz w:val="32"/>
          <w:szCs w:val="32"/>
          <w14:textFill>
            <w14:solidFill>
              <w14:schemeClr w14:val="tx1"/>
            </w14:solidFill>
          </w14:textFill>
        </w:rPr>
        <w:t>坚持统筹兼顾，推动城乡、区域、群体之间妇女均衡发展。</w:t>
      </w:r>
    </w:p>
    <w:p>
      <w:pPr>
        <w:suppressAutoHyphens w:val="0"/>
        <w:overflowPunct w:val="0"/>
        <w:adjustRightInd w:val="0"/>
        <w:snapToGrid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.坚持男</w:t>
      </w:r>
      <w:r>
        <w:rPr>
          <w:rFonts w:ascii="仿宋_GB2312" w:hAnsi="仿宋_GB2312" w:eastAsia="仿宋_GB2312" w:cs="仿宋_GB2312"/>
          <w:color w:val="000000" w:themeColor="text1"/>
          <w:kern w:val="0"/>
          <w:sz w:val="32"/>
          <w:szCs w:val="32"/>
          <w14:textFill>
            <w14:solidFill>
              <w14:schemeClr w14:val="tx1"/>
            </w14:solidFill>
          </w14:textFill>
        </w:rPr>
        <w:t>女两性</w:t>
      </w:r>
      <w:r>
        <w:rPr>
          <w:rFonts w:hint="eastAsia" w:ascii="仿宋_GB2312" w:hAnsi="仿宋_GB2312" w:eastAsia="仿宋_GB2312" w:cs="仿宋_GB2312"/>
          <w:color w:val="000000" w:themeColor="text1"/>
          <w:kern w:val="0"/>
          <w:sz w:val="32"/>
          <w:szCs w:val="32"/>
          <w14:textFill>
            <w14:solidFill>
              <w14:schemeClr w14:val="tx1"/>
            </w14:solidFill>
          </w14:textFill>
        </w:rPr>
        <w:t>平等发展原则。贯彻落实男女平等基本国策，在出台法规政策、编制规划、配置资源、部署工作中充分考虑两性的现实差异和妇女的特殊利益，营造更加平等、包容、可持续的发展环境，缩小男</w:t>
      </w:r>
      <w:r>
        <w:rPr>
          <w:rFonts w:ascii="仿宋_GB2312" w:hAnsi="仿宋_GB2312" w:eastAsia="仿宋_GB2312" w:cs="仿宋_GB2312"/>
          <w:color w:val="000000" w:themeColor="text1"/>
          <w:kern w:val="0"/>
          <w:sz w:val="32"/>
          <w:szCs w:val="32"/>
          <w14:textFill>
            <w14:solidFill>
              <w14:schemeClr w14:val="tx1"/>
            </w14:solidFill>
          </w14:textFill>
        </w:rPr>
        <w:t>女两性</w:t>
      </w:r>
      <w:r>
        <w:rPr>
          <w:rFonts w:hint="eastAsia" w:ascii="仿宋_GB2312" w:hAnsi="仿宋_GB2312" w:eastAsia="仿宋_GB2312" w:cs="仿宋_GB2312"/>
          <w:color w:val="000000" w:themeColor="text1"/>
          <w:kern w:val="0"/>
          <w:sz w:val="32"/>
          <w:szCs w:val="32"/>
          <w14:textFill>
            <w14:solidFill>
              <w14:schemeClr w14:val="tx1"/>
            </w14:solidFill>
          </w14:textFill>
        </w:rPr>
        <w:t>发展差距。</w:t>
      </w:r>
    </w:p>
    <w:p>
      <w:pPr>
        <w:suppressAutoHyphens w:val="0"/>
        <w:overflowPunct w:val="0"/>
        <w:adjustRightInd w:val="0"/>
        <w:snapToGrid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.坚持</w:t>
      </w:r>
      <w:r>
        <w:rPr>
          <w:rFonts w:ascii="仿宋_GB2312" w:hAnsi="仿宋_GB2312" w:eastAsia="仿宋_GB2312" w:cs="仿宋_GB2312"/>
          <w:color w:val="000000" w:themeColor="text1"/>
          <w:kern w:val="0"/>
          <w:sz w:val="32"/>
          <w:szCs w:val="32"/>
          <w14:textFill>
            <w14:solidFill>
              <w14:schemeClr w14:val="tx1"/>
            </w14:solidFill>
          </w14:textFill>
        </w:rPr>
        <w:t>促进妇女</w:t>
      </w:r>
      <w:r>
        <w:rPr>
          <w:rFonts w:hint="eastAsia" w:ascii="仿宋_GB2312" w:hAnsi="仿宋_GB2312" w:eastAsia="仿宋_GB2312" w:cs="仿宋_GB2312"/>
          <w:color w:val="000000" w:themeColor="text1"/>
          <w:kern w:val="0"/>
          <w:sz w:val="32"/>
          <w:szCs w:val="32"/>
          <w14:textFill>
            <w14:solidFill>
              <w14:schemeClr w14:val="tx1"/>
            </w14:solidFill>
          </w14:textFill>
        </w:rPr>
        <w:t>全面发展原则。统筹兼顾妇女在政治、经济、文化、社会和家庭生活等方面的发展利益，有效解决制约妇女发展的重点难点问题，协调</w:t>
      </w:r>
      <w:r>
        <w:rPr>
          <w:rFonts w:ascii="仿宋_GB2312" w:hAnsi="仿宋_GB2312" w:eastAsia="仿宋_GB2312" w:cs="仿宋_GB2312"/>
          <w:color w:val="000000" w:themeColor="text1"/>
          <w:kern w:val="0"/>
          <w:sz w:val="32"/>
          <w:szCs w:val="32"/>
          <w14:textFill>
            <w14:solidFill>
              <w14:schemeClr w14:val="tx1"/>
            </w14:solidFill>
          </w14:textFill>
        </w:rPr>
        <w:t>推进妇女在各领域的全面发展</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uppressAutoHyphens w:val="0"/>
        <w:overflowPunct w:val="0"/>
        <w:adjustRightInd w:val="0"/>
        <w:snapToGrid w:val="0"/>
        <w:spacing w:line="620" w:lineRule="exact"/>
        <w:ind w:firstLine="640" w:firstLineChars="200"/>
        <w:rPr>
          <w:rFonts w:ascii="仿宋_GB2312" w:eastAsia="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5.坚持共建共</w:t>
      </w:r>
      <w:r>
        <w:rPr>
          <w:rFonts w:ascii="仿宋_GB2312" w:hAnsi="仿宋_GB2312" w:eastAsia="仿宋_GB2312" w:cs="仿宋_GB2312"/>
          <w:color w:val="000000" w:themeColor="text1"/>
          <w:kern w:val="0"/>
          <w:sz w:val="32"/>
          <w:szCs w:val="32"/>
          <w14:textFill>
            <w14:solidFill>
              <w14:schemeClr w14:val="tx1"/>
            </w14:solidFill>
          </w14:textFill>
        </w:rPr>
        <w:t>治</w:t>
      </w:r>
      <w:r>
        <w:rPr>
          <w:rFonts w:hint="eastAsia" w:ascii="仿宋_GB2312" w:hAnsi="仿宋_GB2312" w:eastAsia="仿宋_GB2312" w:cs="仿宋_GB2312"/>
          <w:color w:val="000000" w:themeColor="text1"/>
          <w:kern w:val="0"/>
          <w:sz w:val="32"/>
          <w:szCs w:val="32"/>
          <w14:textFill>
            <w14:solidFill>
              <w14:schemeClr w14:val="tx1"/>
            </w14:solidFill>
          </w14:textFill>
        </w:rPr>
        <w:t>共享原则。依法保障妇女参与经济社会发展的权利，尊重妇女的主体地位，充分发挥妇女在统筹推进“五位一体”总体布局，协调推进“四个全面”战略布局中的重要作用，</w:t>
      </w:r>
      <w:r>
        <w:rPr>
          <w:rFonts w:hint="eastAsia" w:ascii="仿宋_GB2312" w:eastAsia="仿宋_GB2312"/>
          <w:color w:val="000000" w:themeColor="text1"/>
          <w:kern w:val="0"/>
          <w:sz w:val="32"/>
          <w:szCs w:val="32"/>
          <w14:textFill>
            <w14:solidFill>
              <w14:schemeClr w14:val="tx1"/>
            </w14:solidFill>
          </w14:textFill>
        </w:rPr>
        <w:t>促进妇女积极投身高质量发展，踊跃参与新时代社会主义济东强区</w:t>
      </w:r>
      <w:r>
        <w:rPr>
          <w:rFonts w:ascii="仿宋_GB2312" w:eastAsia="仿宋_GB2312"/>
          <w:color w:val="000000" w:themeColor="text1"/>
          <w:kern w:val="0"/>
          <w:sz w:val="32"/>
          <w:szCs w:val="32"/>
          <w14:textFill>
            <w14:solidFill>
              <w14:schemeClr w14:val="tx1"/>
            </w14:solidFill>
          </w14:textFill>
        </w:rPr>
        <w:t>建设</w:t>
      </w:r>
      <w:r>
        <w:rPr>
          <w:rFonts w:hint="eastAsia" w:ascii="仿宋_GB2312" w:eastAsia="仿宋_GB2312"/>
          <w:color w:val="000000" w:themeColor="text1"/>
          <w:kern w:val="0"/>
          <w:sz w:val="32"/>
          <w:szCs w:val="32"/>
          <w14:textFill>
            <w14:solidFill>
              <w14:schemeClr w14:val="tx1"/>
            </w14:solidFill>
          </w14:textFill>
        </w:rPr>
        <w:t>，共享经济社会发展成果。</w:t>
      </w:r>
    </w:p>
    <w:p>
      <w:pPr>
        <w:suppressAutoHyphens w:val="0"/>
        <w:overflowPunct w:val="0"/>
        <w:spacing w:line="620" w:lineRule="exact"/>
        <w:ind w:firstLine="640" w:firstLineChars="200"/>
        <w:outlineLvl w:val="1"/>
        <w:rPr>
          <w:rFonts w:ascii="仿宋_GB2312" w:eastAsia="仿宋_GB2312"/>
          <w:color w:val="000000" w:themeColor="text1"/>
          <w:sz w:val="32"/>
          <w:szCs w:val="32"/>
          <w14:textFill>
            <w14:solidFill>
              <w14:schemeClr w14:val="tx1"/>
            </w14:solidFill>
          </w14:textFill>
        </w:rPr>
      </w:pPr>
      <w:bookmarkStart w:id="4" w:name="_Toc717009914"/>
      <w:r>
        <w:rPr>
          <w:rFonts w:hint="eastAsia" w:ascii="Times New Roman" w:hAnsi="楷体" w:eastAsia="楷体_GB2312"/>
          <w:color w:val="000000" w:themeColor="text1"/>
          <w:sz w:val="32"/>
          <w:szCs w:val="32"/>
          <w14:textFill>
            <w14:solidFill>
              <w14:schemeClr w14:val="tx1"/>
            </w14:solidFill>
          </w14:textFill>
        </w:rPr>
        <w:t>（三）</w:t>
      </w:r>
      <w:r>
        <w:rPr>
          <w:rFonts w:ascii="Times New Roman" w:hAnsi="楷体" w:eastAsia="楷体_GB2312"/>
          <w:color w:val="000000" w:themeColor="text1"/>
          <w:sz w:val="32"/>
          <w:szCs w:val="32"/>
          <w14:textFill>
            <w14:solidFill>
              <w14:schemeClr w14:val="tx1"/>
            </w14:solidFill>
          </w14:textFill>
        </w:rPr>
        <w:t>总体目标</w:t>
      </w:r>
      <w:bookmarkEnd w:id="4"/>
      <w:r>
        <w:rPr>
          <w:rFonts w:hint="eastAsia" w:ascii="Times New Roman" w:hAnsi="楷体" w:eastAsia="楷体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男女平等基本国策得到深入贯彻落实，促进男女平等和妇女全面发展的制度机制创新完善。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法规政策体系更加完善，社会主义家庭文明新风尚广泛弘扬。男女平等理念更加深入人心，妇女发展环境更为优化。法治体系更加健全，妇女合法权益得到切实保障。妇女的获得感幸福感安全感显著提升。</w:t>
      </w:r>
    </w:p>
    <w:p>
      <w:pPr>
        <w:suppressAutoHyphens w:val="0"/>
        <w:spacing w:line="620" w:lineRule="exact"/>
        <w:ind w:firstLine="640" w:firstLineChars="200"/>
        <w:outlineLvl w:val="0"/>
        <w:rPr>
          <w:rFonts w:ascii="Times New Roman" w:hAnsi="黑体" w:eastAsia="黑体"/>
          <w:color w:val="000000" w:themeColor="text1"/>
          <w:sz w:val="32"/>
          <w:szCs w:val="32"/>
          <w14:textFill>
            <w14:solidFill>
              <w14:schemeClr w14:val="tx1"/>
            </w14:solidFill>
          </w14:textFill>
        </w:rPr>
      </w:pPr>
      <w:bookmarkStart w:id="5" w:name="_Toc1687330941"/>
      <w:r>
        <w:rPr>
          <w:rFonts w:hint="eastAsia" w:ascii="Times New Roman" w:hAnsi="黑体" w:eastAsia="黑体"/>
          <w:color w:val="000000" w:themeColor="text1"/>
          <w:sz w:val="32"/>
          <w:szCs w:val="32"/>
          <w14:textFill>
            <w14:solidFill>
              <w14:schemeClr w14:val="tx1"/>
            </w14:solidFill>
          </w14:textFill>
        </w:rPr>
        <w:t>三、</w:t>
      </w:r>
      <w:r>
        <w:rPr>
          <w:rFonts w:ascii="Times New Roman" w:hAnsi="黑体" w:eastAsia="黑体"/>
          <w:color w:val="000000" w:themeColor="text1"/>
          <w:sz w:val="32"/>
          <w:szCs w:val="32"/>
          <w14:textFill>
            <w14:solidFill>
              <w14:schemeClr w14:val="tx1"/>
            </w14:solidFill>
          </w14:textFill>
        </w:rPr>
        <w:t>发展领</w:t>
      </w:r>
      <w:r>
        <w:rPr>
          <w:rFonts w:hint="eastAsia" w:ascii="Times New Roman" w:hAnsi="黑体" w:eastAsia="黑体"/>
          <w:color w:val="000000" w:themeColor="text1"/>
          <w:sz w:val="32"/>
          <w:szCs w:val="32"/>
          <w14:textFill>
            <w14:solidFill>
              <w14:schemeClr w14:val="tx1"/>
            </w14:solidFill>
          </w14:textFill>
        </w:rPr>
        <w:t>域、主</w:t>
      </w:r>
      <w:r>
        <w:rPr>
          <w:rFonts w:ascii="Times New Roman" w:hAnsi="黑体" w:eastAsia="黑体"/>
          <w:color w:val="000000" w:themeColor="text1"/>
          <w:sz w:val="32"/>
          <w:szCs w:val="32"/>
          <w14:textFill>
            <w14:solidFill>
              <w14:schemeClr w14:val="tx1"/>
            </w14:solidFill>
          </w14:textFill>
        </w:rPr>
        <w:t>要</w:t>
      </w:r>
      <w:r>
        <w:rPr>
          <w:rFonts w:hint="eastAsia" w:ascii="Times New Roman" w:hAnsi="黑体" w:eastAsia="黑体"/>
          <w:color w:val="000000" w:themeColor="text1"/>
          <w:sz w:val="32"/>
          <w:szCs w:val="32"/>
          <w14:textFill>
            <w14:solidFill>
              <w14:schemeClr w14:val="tx1"/>
            </w14:solidFill>
          </w14:textFill>
        </w:rPr>
        <w:t>目标和</w:t>
      </w:r>
      <w:r>
        <w:rPr>
          <w:rFonts w:ascii="Times New Roman" w:hAnsi="黑体" w:eastAsia="黑体"/>
          <w:color w:val="000000" w:themeColor="text1"/>
          <w:sz w:val="32"/>
          <w:szCs w:val="32"/>
          <w14:textFill>
            <w14:solidFill>
              <w14:schemeClr w14:val="tx1"/>
            </w14:solidFill>
          </w14:textFill>
        </w:rPr>
        <w:t>策略</w:t>
      </w:r>
      <w:r>
        <w:rPr>
          <w:rFonts w:hint="eastAsia" w:ascii="Times New Roman" w:hAnsi="黑体" w:eastAsia="黑体"/>
          <w:color w:val="000000" w:themeColor="text1"/>
          <w:sz w:val="32"/>
          <w:szCs w:val="32"/>
          <w14:textFill>
            <w14:solidFill>
              <w14:schemeClr w14:val="tx1"/>
            </w14:solidFill>
          </w14:textFill>
        </w:rPr>
        <w:t>措施</w:t>
      </w:r>
      <w:bookmarkEnd w:id="5"/>
      <w:bookmarkStart w:id="6" w:name="_Hlk67640879"/>
    </w:p>
    <w:p>
      <w:pPr>
        <w:suppressAutoHyphens w:val="0"/>
        <w:spacing w:line="620" w:lineRule="exact"/>
        <w:ind w:firstLine="640" w:firstLineChars="200"/>
        <w:outlineLvl w:val="1"/>
        <w:rPr>
          <w:rFonts w:ascii="Times New Roman" w:hAnsi="楷体" w:eastAsia="楷体_GB2312"/>
          <w:color w:val="000000" w:themeColor="text1"/>
          <w:sz w:val="32"/>
          <w:szCs w:val="32"/>
          <w14:textFill>
            <w14:solidFill>
              <w14:schemeClr w14:val="tx1"/>
            </w14:solidFill>
          </w14:textFill>
        </w:rPr>
      </w:pPr>
      <w:bookmarkStart w:id="7" w:name="_Toc1220578601"/>
      <w:r>
        <w:rPr>
          <w:rFonts w:ascii="Times New Roman" w:hAnsi="楷体" w:eastAsia="楷体_GB2312"/>
          <w:color w:val="000000" w:themeColor="text1"/>
          <w:sz w:val="32"/>
          <w:szCs w:val="32"/>
          <w14:textFill>
            <w14:solidFill>
              <w14:schemeClr w14:val="tx1"/>
            </w14:solidFill>
          </w14:textFill>
        </w:rPr>
        <w:t>（一）妇女与健康</w:t>
      </w:r>
      <w:bookmarkEnd w:id="6"/>
      <w:bookmarkEnd w:id="7"/>
      <w:r>
        <w:rPr>
          <w:rFonts w:hint="eastAsia" w:ascii="Times New Roman" w:hAnsi="楷体" w:eastAsia="楷体_GB2312"/>
          <w:color w:val="000000" w:themeColor="text1"/>
          <w:sz w:val="32"/>
          <w:szCs w:val="32"/>
          <w14:textFill>
            <w14:solidFill>
              <w14:schemeClr w14:val="tx1"/>
            </w14:solidFill>
          </w14:textFill>
        </w:rPr>
        <w:t>。</w:t>
      </w:r>
    </w:p>
    <w:p>
      <w:pPr>
        <w:suppressAutoHyphens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1.主要目标。</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（1）妇女全生命周期享有良好的卫生健康服务，妇女人均预期寿命延长，人均健康预期寿命提高。</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（牵头单位：区卫生健康局，责任单位：区医保局）</w:t>
      </w:r>
    </w:p>
    <w:p>
      <w:pPr>
        <w:suppressAutoHyphens w:val="0"/>
        <w:overflowPunct w:val="0"/>
        <w:adjustRightInd w:val="0"/>
        <w:snapToGrid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（2）孕产妇死亡率控制在8/10万以下，城乡、区域差距缩小。</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牵头单位：区卫生健康局）</w:t>
      </w:r>
    </w:p>
    <w:p>
      <w:pPr>
        <w:suppressAutoHyphens w:val="0"/>
        <w:overflowPunct w:val="0"/>
        <w:spacing w:line="620" w:lineRule="exact"/>
        <w:ind w:firstLine="640" w:firstLineChars="200"/>
        <w:rPr>
          <w:rFonts w:ascii="楷体" w:hAnsi="楷体" w:eastAsia="楷体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（3）妇女常见病筛查率达到85%以上。</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（牵头单位：区卫生健康局，责任单位：区财政局、区妇联、区总工会）</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妇女宫颈癌、乳腺癌防治意识明显提高。宫颈癌、乳腺癌综合防治能力不断增强。农村适龄妇女和城镇低保适龄妇女宫颈癌、乳腺癌人群检查率分别达到85%以上。35-45岁妇女宫颈癌规范筛查覆盖率达到70%以上。15岁之前适龄女孩HPV（人乳头瘤病毒</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疫苗接种率达到90%以上。宫颈癌及癌前病变规范治疗率达到90%以上。（</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牵头单位：区卫生健康局，责任单位：区财政局、区妇联、区总工会</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）减少艾滋病、梅毒和乙肝母婴传播，艾滋病母婴传播率下降到</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%以下。（</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牵头单位：区卫生健康局，责任单位：区公安分局、区妇联</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（6）改善妇女营养状况。预防</w:t>
      </w:r>
      <w:r>
        <w:rPr>
          <w:rFonts w:ascii="仿宋_GB2312" w:hAnsi="仿宋_GB2312" w:eastAsia="仿宋_GB2312" w:cs="仿宋_GB2312"/>
          <w:color w:val="000000" w:themeColor="text1"/>
          <w:sz w:val="32"/>
          <w:szCs w:val="32"/>
          <w14:textFill>
            <w14:solidFill>
              <w14:schemeClr w14:val="tx1"/>
            </w14:solidFill>
          </w14:textFill>
        </w:rPr>
        <w:t>和减少</w:t>
      </w:r>
      <w:r>
        <w:rPr>
          <w:rFonts w:hint="eastAsia" w:ascii="仿宋_GB2312" w:hAnsi="仿宋_GB2312" w:eastAsia="仿宋_GB2312" w:cs="仿宋_GB2312"/>
          <w:color w:val="000000" w:themeColor="text1"/>
          <w:sz w:val="32"/>
          <w:szCs w:val="32"/>
          <w14:textFill>
            <w14:solidFill>
              <w14:schemeClr w14:val="tx1"/>
            </w14:solidFill>
          </w14:textFill>
        </w:rPr>
        <w:t>孕产妇贫血。（</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牵头单位：区卫生健康局，责任单位：区市场监管局、区妇联</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8" w:name="_Hlk67640926"/>
      <w:r>
        <w:rPr>
          <w:rFonts w:hint="eastAsia" w:ascii="仿宋_GB2312" w:hAnsi="仿宋_GB2312" w:eastAsia="仿宋_GB2312" w:cs="仿宋_GB2312"/>
          <w:color w:val="000000" w:themeColor="text1"/>
          <w:sz w:val="32"/>
          <w:szCs w:val="32"/>
          <w14:textFill>
            <w14:solidFill>
              <w14:schemeClr w14:val="tx1"/>
            </w14:solidFill>
          </w14:textFill>
        </w:rPr>
        <w:t>（7）普及健康知识，提高妇女健康素养水平。（</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牵头单位：区卫生健康局，责任单位：区委宣传部、区教育和体育局、区融媒中心、区</w:t>
      </w:r>
      <w:r>
        <w:rPr>
          <w:rFonts w:ascii="楷体" w:hAnsi="楷体" w:eastAsia="楷体_GB2312" w:cs="仿宋_GB2312"/>
          <w:color w:val="000000" w:themeColor="text1"/>
          <w:sz w:val="32"/>
          <w:szCs w:val="32"/>
          <w14:textFill>
            <w14:solidFill>
              <w14:schemeClr w14:val="tx1"/>
            </w14:solidFill>
          </w14:textFill>
        </w:rPr>
        <w:t>妇联</w:t>
      </w:r>
      <w:r>
        <w:rPr>
          <w:rFonts w:hint="eastAsia" w:ascii="仿宋_GB2312" w:hAnsi="仿宋_GB2312" w:eastAsia="仿宋_GB2312" w:cs="仿宋_GB2312"/>
          <w:color w:val="000000" w:themeColor="text1"/>
          <w:sz w:val="32"/>
          <w:szCs w:val="32"/>
          <w14:textFill>
            <w14:solidFill>
              <w14:schemeClr w14:val="tx1"/>
            </w14:solidFill>
          </w14:textFill>
        </w:rPr>
        <w:t>）</w:t>
      </w:r>
    </w:p>
    <w:bookmarkEnd w:id="8"/>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9" w:name="_Hlk67640959"/>
      <w:r>
        <w:rPr>
          <w:rFonts w:hint="eastAsia" w:ascii="仿宋_GB2312" w:hAnsi="仿宋_GB2312" w:eastAsia="仿宋_GB2312" w:cs="仿宋_GB2312"/>
          <w:color w:val="000000" w:themeColor="text1"/>
          <w:sz w:val="32"/>
          <w:szCs w:val="32"/>
          <w14:textFill>
            <w14:solidFill>
              <w14:schemeClr w14:val="tx1"/>
            </w14:solidFill>
          </w14:textFill>
        </w:rPr>
        <w:t>（8）增强妇女心理健康意识，妇女焦虑障碍、抑郁症患病率上升趋势减缓。（</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牵头单位：区卫生健康局，责任单位：区委宣传部、区融媒中心、区</w:t>
      </w:r>
      <w:r>
        <w:rPr>
          <w:rFonts w:ascii="楷体" w:hAnsi="楷体" w:eastAsia="楷体_GB2312" w:cs="仿宋_GB2312"/>
          <w:color w:val="000000" w:themeColor="text1"/>
          <w:sz w:val="32"/>
          <w:szCs w:val="32"/>
          <w14:textFill>
            <w14:solidFill>
              <w14:schemeClr w14:val="tx1"/>
            </w14:solidFill>
          </w14:textFill>
        </w:rPr>
        <w:t>妇联</w:t>
      </w:r>
      <w:r>
        <w:rPr>
          <w:rFonts w:hint="eastAsia" w:ascii="仿宋_GB2312" w:hAnsi="仿宋_GB2312" w:eastAsia="仿宋_GB2312" w:cs="仿宋_GB2312"/>
          <w:color w:val="000000" w:themeColor="text1"/>
          <w:sz w:val="32"/>
          <w:szCs w:val="32"/>
          <w14:textFill>
            <w14:solidFill>
              <w14:schemeClr w14:val="tx1"/>
            </w14:solidFill>
          </w14:textFill>
        </w:rPr>
        <w:t>）</w:t>
      </w:r>
    </w:p>
    <w:bookmarkEnd w:id="9"/>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（9）普及生殖健康和优生优育知识，减少非意愿妊娠。（</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牵头单位：区卫生健康局，责任单位：区市场监管局、区委宣传部、区融媒中心、区教育和体育局、区妇联</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（10）提高妇女经常参加体育锻炼人数比例。提高妇女体质测定标准合格比例。（</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牵头单位：区教育和体育局，责任单位：区妇联、区总工会</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）健全妇幼健康服务体系，提升妇幼健康服务能力，妇女健康水平不断提高。（</w:t>
      </w:r>
      <w:r>
        <w:rPr>
          <w:rFonts w:hint="eastAsia" w:ascii="楷体" w:hAnsi="楷体" w:eastAsia="楷体_GB2312" w:cs="仿宋_GB2312"/>
          <w:color w:val="000000" w:themeColor="text1"/>
          <w:sz w:val="32"/>
          <w:szCs w:val="32"/>
          <w14:textFill>
            <w14:solidFill>
              <w14:schemeClr w14:val="tx1"/>
            </w14:solidFill>
          </w14:textFill>
        </w:rPr>
        <w:t>牵头单位：区卫生健康局</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2.策略措施。</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完善保障妇女健康的制度机制。建立健全政府主导、部门协同、社会参与、行业监管、科技支撑的妇女健康保障工作机制。统筹完善医保、医疗、医药和监管机制，保障妇女获得高质量、有效率、可负担的医疗和保健服务。加大对妇女健康事业的财政投入。完善公共卫生应急管理体系，关注妇女的特殊需求。</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加强妇幼健康服务体系建设。健全以妇幼保健机构为核心、以基层医疗卫生机构为基础、以大中型医院和教学科研机构为支撑的妇幼健康服务网络，提升妇幼健康服务供给能力和水平。实施“妇幼健康保障工程”，持续推进危重孕产妇救治，推进区妇幼保健机构标准化建设和规范化管理。强化区、（街道）镇、村三级妇幼卫生服务网络建设，完善基层网底和转诊网络。加强复合型妇幼健康人才和产科、助产等急需紧缺人才的培养使用。</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建立完善妇女全生命周期的健康管理模式。针对青春期、孕产期、育龄期、更年期和老年期等妇女的健康需求，提供全方位健康管理服务。坚持保健与临床结合，预防为主、关口前移，发挥多学科协作优势，积极发挥中医药在妇幼保健和妇女病防治中的作用。为妇女提供宣传教育、咨询指导、筛查评估、综合干预和应急救治等全方位的卫生健康服务，提高妇女健康水平和人均健康预期寿命。</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（4）保障孕产妇安全分娩。提倡科学备孕和适龄怀孕，保持适宜生育间隔，控制剖宫产率。推进婚前、孕前、孕期保健服务更加公平可及，促进优生优育。提供生育</w:t>
      </w:r>
      <w:r>
        <w:rPr>
          <w:rFonts w:ascii="仿宋_GB2312" w:hAnsi="仿宋_GB2312" w:eastAsia="仿宋_GB2312" w:cs="仿宋_GB2312"/>
          <w:color w:val="000000" w:themeColor="text1"/>
          <w:sz w:val="32"/>
          <w:szCs w:val="32"/>
          <w14:textFill>
            <w14:solidFill>
              <w14:schemeClr w14:val="tx1"/>
            </w14:solidFill>
          </w14:textFill>
        </w:rPr>
        <w:t>全程基本医疗保健服务</w:t>
      </w:r>
      <w:r>
        <w:rPr>
          <w:rFonts w:hint="eastAsia" w:ascii="仿宋_GB2312" w:hAnsi="仿宋_GB2312" w:eastAsia="仿宋_GB2312" w:cs="仿宋_GB2312"/>
          <w:color w:val="000000" w:themeColor="text1"/>
          <w:sz w:val="32"/>
          <w:szCs w:val="32"/>
          <w14:textFill>
            <w14:solidFill>
              <w14:schemeClr w14:val="tx1"/>
            </w14:solidFill>
          </w14:textFill>
        </w:rPr>
        <w:t>，将孕产妇健康管理纳入</w:t>
      </w:r>
      <w:r>
        <w:rPr>
          <w:rFonts w:ascii="仿宋_GB2312" w:hAnsi="仿宋_GB2312" w:eastAsia="仿宋_GB2312" w:cs="仿宋_GB2312"/>
          <w:color w:val="000000" w:themeColor="text1"/>
          <w:sz w:val="32"/>
          <w:szCs w:val="32"/>
          <w14:textFill>
            <w14:solidFill>
              <w14:schemeClr w14:val="tx1"/>
            </w14:solidFill>
          </w14:textFill>
        </w:rPr>
        <w:t>基本公共服务范围</w:t>
      </w:r>
      <w:r>
        <w:rPr>
          <w:rFonts w:hint="eastAsia" w:ascii="仿宋_GB2312" w:hAnsi="仿宋_GB2312" w:eastAsia="仿宋_GB2312" w:cs="仿宋_GB2312"/>
          <w:color w:val="000000" w:themeColor="text1"/>
          <w:sz w:val="32"/>
          <w:szCs w:val="32"/>
          <w14:textFill>
            <w14:solidFill>
              <w14:schemeClr w14:val="tx1"/>
            </w14:solidFill>
          </w14:textFill>
        </w:rPr>
        <w:t>，孕产</w:t>
      </w:r>
      <w:r>
        <w:rPr>
          <w:rFonts w:ascii="仿宋_GB2312" w:hAnsi="仿宋_GB2312" w:eastAsia="仿宋_GB2312" w:cs="仿宋_GB2312"/>
          <w:color w:val="000000" w:themeColor="text1"/>
          <w:sz w:val="32"/>
          <w:szCs w:val="32"/>
          <w14:textFill>
            <w14:solidFill>
              <w14:schemeClr w14:val="tx1"/>
            </w14:solidFill>
          </w14:textFill>
        </w:rPr>
        <w:t>妇系统管理</w:t>
      </w:r>
      <w:r>
        <w:rPr>
          <w:rFonts w:hint="eastAsia" w:ascii="仿宋_GB2312" w:hAnsi="仿宋_GB2312" w:eastAsia="仿宋_GB2312" w:cs="仿宋_GB2312"/>
          <w:color w:val="000000" w:themeColor="text1"/>
          <w:sz w:val="32"/>
          <w:szCs w:val="32"/>
          <w14:textFill>
            <w14:solidFill>
              <w14:schemeClr w14:val="tx1"/>
            </w14:solidFill>
          </w14:textFill>
        </w:rPr>
        <w:t>率达到9</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%以上。加强</w:t>
      </w:r>
      <w:r>
        <w:rPr>
          <w:rFonts w:ascii="仿宋_GB2312" w:hAnsi="仿宋_GB2312" w:eastAsia="仿宋_GB2312" w:cs="仿宋_GB2312"/>
          <w:color w:val="000000" w:themeColor="text1"/>
          <w:sz w:val="32"/>
          <w:szCs w:val="32"/>
          <w14:textFill>
            <w14:solidFill>
              <w14:schemeClr w14:val="tx1"/>
            </w14:solidFill>
          </w14:textFill>
        </w:rPr>
        <w:t>对流动孕</w:t>
      </w:r>
      <w:r>
        <w:rPr>
          <w:rFonts w:hint="eastAsia" w:ascii="仿宋_GB2312" w:hAnsi="仿宋_GB2312" w:eastAsia="仿宋_GB2312" w:cs="仿宋_GB2312"/>
          <w:color w:val="000000" w:themeColor="text1"/>
          <w:sz w:val="32"/>
          <w:szCs w:val="32"/>
          <w14:textFill>
            <w14:solidFill>
              <w14:schemeClr w14:val="tx1"/>
            </w14:solidFill>
          </w14:textFill>
        </w:rPr>
        <w:t>产</w:t>
      </w:r>
      <w:r>
        <w:rPr>
          <w:rFonts w:ascii="仿宋_GB2312" w:hAnsi="仿宋_GB2312" w:eastAsia="仿宋_GB2312" w:cs="仿宋_GB2312"/>
          <w:color w:val="000000" w:themeColor="text1"/>
          <w:sz w:val="32"/>
          <w:szCs w:val="32"/>
          <w14:textFill>
            <w14:solidFill>
              <w14:schemeClr w14:val="tx1"/>
            </w14:solidFill>
          </w14:textFill>
        </w:rPr>
        <w:t>妇</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ascii="仿宋_GB2312" w:hAnsi="仿宋_GB2312" w:eastAsia="仿宋_GB2312" w:cs="仿宋_GB2312"/>
          <w:color w:val="000000" w:themeColor="text1"/>
          <w:sz w:val="32"/>
          <w:szCs w:val="32"/>
          <w14:textFill>
            <w14:solidFill>
              <w14:schemeClr w14:val="tx1"/>
            </w14:solidFill>
          </w14:textFill>
        </w:rPr>
        <w:t>管理服务</w:t>
      </w:r>
      <w:r>
        <w:rPr>
          <w:rFonts w:hint="eastAsia" w:ascii="仿宋_GB2312" w:hAnsi="仿宋_GB2312" w:eastAsia="仿宋_GB2312" w:cs="仿宋_GB2312"/>
          <w:color w:val="000000" w:themeColor="text1"/>
          <w:sz w:val="32"/>
          <w:szCs w:val="32"/>
          <w14:textFill>
            <w14:solidFill>
              <w14:schemeClr w14:val="tx1"/>
            </w14:solidFill>
          </w14:textFill>
        </w:rPr>
        <w:t>。为生活困难孕产妇住院分娩和危重孕产妇救治提供必要救助。持续推进高龄孕产妇等重点人群分类管理和服务。全面落实孕产妇妊娠风险筛查评估、高危专案管理、危急重症救治、孕产妇死亡个案报告和约谈通报制度。加强</w:t>
      </w:r>
      <w:r>
        <w:rPr>
          <w:rFonts w:ascii="仿宋_GB2312" w:hAnsi="仿宋_GB2312" w:eastAsia="仿宋_GB2312" w:cs="仿宋_GB2312"/>
          <w:color w:val="000000" w:themeColor="text1"/>
          <w:sz w:val="32"/>
          <w:szCs w:val="32"/>
          <w14:textFill>
            <w14:solidFill>
              <w14:schemeClr w14:val="tx1"/>
            </w14:solidFill>
          </w14:textFill>
        </w:rPr>
        <w:t>医疗机构产科质量安全，</w:t>
      </w:r>
      <w:r>
        <w:rPr>
          <w:rFonts w:hint="eastAsia" w:ascii="仿宋_GB2312" w:hAnsi="仿宋_GB2312" w:eastAsia="仿宋_GB2312" w:cs="仿宋_GB2312"/>
          <w:color w:val="000000" w:themeColor="text1"/>
          <w:sz w:val="32"/>
          <w:szCs w:val="32"/>
          <w14:textFill>
            <w14:solidFill>
              <w14:schemeClr w14:val="tx1"/>
            </w14:solidFill>
          </w14:textFill>
        </w:rPr>
        <w:t>有效运行危重孕产妇救治网络，提高危急重症救治能力。</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（5）持续加大妇女常见病防治力度。建立妇女常见病筛查、转诊、治疗、随访一体的实施机制。加强基层妇女常见病筛查率考核，建立相应的病种管理、信息上报、项目培训、帮扶督导等配套制度。</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（6）完善宫颈癌和乳腺癌综合防治体系和救助</w:t>
      </w:r>
      <w:r>
        <w:rPr>
          <w:rFonts w:ascii="仿宋_GB2312" w:hAnsi="仿宋_GB2312" w:eastAsia="仿宋_GB2312" w:cs="仿宋_GB2312"/>
          <w:color w:val="000000" w:themeColor="text1"/>
          <w:sz w:val="32"/>
          <w:szCs w:val="32"/>
          <w14:textFill>
            <w14:solidFill>
              <w14:schemeClr w14:val="tx1"/>
            </w14:solidFill>
          </w14:textFill>
        </w:rPr>
        <w:t>政策</w:t>
      </w:r>
      <w:r>
        <w:rPr>
          <w:rFonts w:hint="eastAsia" w:ascii="仿宋_GB2312" w:hAnsi="仿宋_GB2312" w:eastAsia="仿宋_GB2312" w:cs="仿宋_GB2312"/>
          <w:color w:val="000000" w:themeColor="text1"/>
          <w:sz w:val="32"/>
          <w:szCs w:val="32"/>
          <w14:textFill>
            <w14:solidFill>
              <w14:schemeClr w14:val="tx1"/>
            </w14:solidFill>
          </w14:textFill>
        </w:rPr>
        <w:t>。提高妇女宫颈癌和乳腺癌防控意识和</w:t>
      </w:r>
      <w:r>
        <w:rPr>
          <w:rFonts w:ascii="仿宋_GB2312" w:hAnsi="仿宋_GB2312" w:eastAsia="仿宋_GB2312" w:cs="仿宋_GB2312"/>
          <w:color w:val="000000" w:themeColor="text1"/>
          <w:sz w:val="32"/>
          <w:szCs w:val="32"/>
          <w14:textFill>
            <w14:solidFill>
              <w14:schemeClr w14:val="tx1"/>
            </w14:solidFill>
          </w14:textFill>
        </w:rPr>
        <w:t>能力</w:t>
      </w:r>
      <w:r>
        <w:rPr>
          <w:rFonts w:hint="eastAsia" w:ascii="仿宋_GB2312" w:hAnsi="仿宋_GB2312" w:eastAsia="仿宋_GB2312" w:cs="仿宋_GB2312"/>
          <w:color w:val="000000" w:themeColor="text1"/>
          <w:sz w:val="32"/>
          <w:szCs w:val="32"/>
          <w14:textFill>
            <w14:solidFill>
              <w14:schemeClr w14:val="tx1"/>
            </w14:solidFill>
          </w14:textFill>
        </w:rPr>
        <w:t>，防控知识知晓率达到90%以上。推进适龄妇女人乳头瘤病毒疫苗接种试点工作。扩大宫颈癌和乳腺癌检查覆盖面，全面落实农村和城镇低保家庭适龄妇女宫颈癌和乳腺癌检查</w:t>
      </w:r>
      <w:r>
        <w:rPr>
          <w:rFonts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，督促用人单位落实女职工保健工作规定，定期进行女职工宫颈癌和乳腺癌筛查，提高人群筛查率。加强宫颈癌和乳腺癌筛查和诊断技术创新应用，提高筛查和服务能力，并</w:t>
      </w:r>
      <w:r>
        <w:rPr>
          <w:rFonts w:ascii="仿宋_GB2312" w:hAnsi="仿宋_GB2312" w:eastAsia="仿宋_GB2312" w:cs="仿宋_GB2312"/>
          <w:color w:val="000000" w:themeColor="text1"/>
          <w:sz w:val="32"/>
          <w:szCs w:val="32"/>
          <w14:textFill>
            <w14:solidFill>
              <w14:schemeClr w14:val="tx1"/>
            </w14:solidFill>
          </w14:textFill>
        </w:rPr>
        <w:t>做好</w:t>
      </w:r>
      <w:r>
        <w:rPr>
          <w:rFonts w:hint="eastAsia" w:ascii="仿宋_GB2312" w:hAnsi="仿宋_GB2312" w:eastAsia="仿宋_GB2312" w:cs="仿宋_GB2312"/>
          <w:color w:val="000000" w:themeColor="text1"/>
          <w:sz w:val="32"/>
          <w:szCs w:val="32"/>
          <w14:textFill>
            <w14:solidFill>
              <w14:schemeClr w14:val="tx1"/>
            </w14:solidFill>
          </w14:textFill>
        </w:rPr>
        <w:t>监测评估工作。强化筛</w:t>
      </w:r>
      <w:r>
        <w:rPr>
          <w:rFonts w:ascii="仿宋_GB2312" w:hAnsi="仿宋_GB2312" w:eastAsia="仿宋_GB2312" w:cs="仿宋_GB2312"/>
          <w:color w:val="000000" w:themeColor="text1"/>
          <w:sz w:val="32"/>
          <w:szCs w:val="32"/>
          <w14:textFill>
            <w14:solidFill>
              <w14:schemeClr w14:val="tx1"/>
            </w14:solidFill>
          </w14:textFill>
        </w:rPr>
        <w:t>查</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ascii="仿宋_GB2312" w:hAnsi="仿宋_GB2312" w:eastAsia="仿宋_GB2312" w:cs="仿宋_GB2312"/>
          <w:color w:val="000000" w:themeColor="text1"/>
          <w:sz w:val="32"/>
          <w:szCs w:val="32"/>
          <w14:textFill>
            <w14:solidFill>
              <w14:schemeClr w14:val="tx1"/>
            </w14:solidFill>
          </w14:textFill>
        </w:rPr>
        <w:t>后续</w:t>
      </w:r>
      <w:r>
        <w:rPr>
          <w:rFonts w:hint="eastAsia" w:ascii="仿宋_GB2312" w:hAnsi="仿宋_GB2312" w:eastAsia="仿宋_GB2312" w:cs="仿宋_GB2312"/>
          <w:color w:val="000000" w:themeColor="text1"/>
          <w:sz w:val="32"/>
          <w:szCs w:val="32"/>
          <w14:textFill>
            <w14:solidFill>
              <w14:schemeClr w14:val="tx1"/>
            </w14:solidFill>
          </w14:textFill>
        </w:rPr>
        <w:t>诊治服务</w:t>
      </w:r>
      <w:r>
        <w:rPr>
          <w:rFonts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衔接，促进早诊早治。持续</w:t>
      </w:r>
      <w:r>
        <w:rPr>
          <w:rFonts w:ascii="仿宋_GB2312" w:hAnsi="仿宋_GB2312" w:eastAsia="仿宋_GB2312" w:cs="仿宋_GB2312"/>
          <w:color w:val="000000" w:themeColor="text1"/>
          <w:sz w:val="32"/>
          <w:szCs w:val="32"/>
          <w14:textFill>
            <w14:solidFill>
              <w14:schemeClr w14:val="tx1"/>
            </w14:solidFill>
          </w14:textFill>
        </w:rPr>
        <w:t>实施宫颈</w:t>
      </w:r>
      <w:r>
        <w:rPr>
          <w:rFonts w:hint="eastAsia" w:ascii="仿宋_GB2312" w:hAnsi="仿宋_GB2312" w:eastAsia="仿宋_GB2312" w:cs="仿宋_GB2312"/>
          <w:color w:val="000000" w:themeColor="text1"/>
          <w:sz w:val="32"/>
          <w:szCs w:val="32"/>
          <w14:textFill>
            <w14:solidFill>
              <w14:schemeClr w14:val="tx1"/>
            </w14:solidFill>
          </w14:textFill>
        </w:rPr>
        <w:t>癌</w:t>
      </w:r>
      <w:r>
        <w:rPr>
          <w:rFonts w:ascii="仿宋_GB2312" w:hAnsi="仿宋_GB2312" w:eastAsia="仿宋_GB2312" w:cs="仿宋_GB2312"/>
          <w:color w:val="000000" w:themeColor="text1"/>
          <w:sz w:val="32"/>
          <w:szCs w:val="32"/>
          <w14:textFill>
            <w14:solidFill>
              <w14:schemeClr w14:val="tx1"/>
            </w14:solidFill>
          </w14:textFill>
        </w:rPr>
        <w:t>和乳腺癌患病困难妇女</w:t>
      </w:r>
      <w:r>
        <w:rPr>
          <w:rFonts w:hint="eastAsia" w:ascii="仿宋_GB2312" w:hAnsi="仿宋_GB2312" w:eastAsia="仿宋_GB2312" w:cs="仿宋_GB2312"/>
          <w:color w:val="000000" w:themeColor="text1"/>
          <w:sz w:val="32"/>
          <w:szCs w:val="32"/>
          <w14:textFill>
            <w14:solidFill>
              <w14:schemeClr w14:val="tx1"/>
            </w14:solidFill>
          </w14:textFill>
        </w:rPr>
        <w:t>救助项目</w:t>
      </w:r>
      <w:r>
        <w:rPr>
          <w:rFonts w:ascii="仿宋_GB2312" w:hAnsi="仿宋_GB2312" w:eastAsia="仿宋_GB2312" w:cs="仿宋_GB2312"/>
          <w:color w:val="000000" w:themeColor="text1"/>
          <w:sz w:val="32"/>
          <w:szCs w:val="32"/>
          <w14:textFill>
            <w14:solidFill>
              <w14:schemeClr w14:val="tx1"/>
            </w14:solidFill>
          </w14:textFill>
        </w:rPr>
        <w:t>，进一步扩大救助</w:t>
      </w:r>
      <w:r>
        <w:rPr>
          <w:rFonts w:hint="eastAsia" w:ascii="仿宋_GB2312" w:hAnsi="仿宋_GB2312" w:eastAsia="仿宋_GB2312" w:cs="仿宋_GB2312"/>
          <w:color w:val="000000" w:themeColor="text1"/>
          <w:sz w:val="32"/>
          <w:szCs w:val="32"/>
          <w14:textFill>
            <w14:solidFill>
              <w14:schemeClr w14:val="tx1"/>
            </w14:solidFill>
          </w14:textFill>
        </w:rPr>
        <w:t>覆盖面。</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10" w:name="_Hlk67640988"/>
      <w:r>
        <w:rPr>
          <w:rFonts w:hint="eastAsia" w:ascii="仿宋_GB2312" w:hAnsi="仿宋_GB2312" w:eastAsia="仿宋_GB2312" w:cs="仿宋_GB2312"/>
          <w:color w:val="000000" w:themeColor="text1"/>
          <w:sz w:val="32"/>
          <w:szCs w:val="32"/>
          <w14:textFill>
            <w14:solidFill>
              <w14:schemeClr w14:val="tx1"/>
            </w14:solidFill>
          </w14:textFill>
        </w:rPr>
        <w:t>（7）加强艾滋病、梅毒和乙肝母婴传播防治。全面落实预防艾滋病、梅毒和乙肝母婴传播综合干预措施，</w:t>
      </w:r>
      <w:bookmarkEnd w:id="10"/>
      <w:r>
        <w:rPr>
          <w:rFonts w:hint="eastAsia" w:ascii="仿宋_GB2312" w:hAnsi="仿宋_GB2312" w:eastAsia="仿宋_GB2312" w:cs="仿宋_GB2312"/>
          <w:color w:val="000000" w:themeColor="text1"/>
          <w:sz w:val="32"/>
          <w:szCs w:val="32"/>
          <w14:textFill>
            <w14:solidFill>
              <w14:schemeClr w14:val="tx1"/>
            </w14:solidFill>
          </w14:textFill>
        </w:rPr>
        <w:t>孕产妇艾滋病、梅毒和乙肝检测率达到9</w:t>
      </w:r>
      <w:r>
        <w:rPr>
          <w:rFonts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%以上，孕</w:t>
      </w:r>
      <w:r>
        <w:rPr>
          <w:rFonts w:ascii="仿宋_GB2312" w:hAnsi="仿宋_GB2312" w:eastAsia="仿宋_GB2312" w:cs="仿宋_GB2312"/>
          <w:color w:val="000000" w:themeColor="text1"/>
          <w:sz w:val="32"/>
          <w:szCs w:val="32"/>
          <w14:textFill>
            <w14:solidFill>
              <w14:schemeClr w14:val="tx1"/>
            </w14:solidFill>
          </w14:textFill>
        </w:rPr>
        <w:t>早期检测率达</w:t>
      </w:r>
      <w:r>
        <w:rPr>
          <w:rFonts w:hint="eastAsia" w:ascii="仿宋_GB2312" w:hAnsi="仿宋_GB2312" w:eastAsia="仿宋_GB2312" w:cs="仿宋_GB2312"/>
          <w:color w:val="000000" w:themeColor="text1"/>
          <w:sz w:val="32"/>
          <w:szCs w:val="32"/>
          <w14:textFill>
            <w14:solidFill>
              <w14:schemeClr w14:val="tx1"/>
            </w14:solidFill>
          </w14:textFill>
        </w:rPr>
        <w:t>70</w:t>
      </w:r>
      <w:r>
        <w:rPr>
          <w:rFonts w:ascii="仿宋_GB2312" w:hAnsi="仿宋_GB2312" w:eastAsia="仿宋_GB2312" w:cs="仿宋_GB2312"/>
          <w:color w:val="000000" w:themeColor="text1"/>
          <w:sz w:val="32"/>
          <w:szCs w:val="32"/>
          <w14:textFill>
            <w14:solidFill>
              <w14:schemeClr w14:val="tx1"/>
            </w14:solidFill>
          </w14:textFill>
        </w:rPr>
        <w:t>%以上，</w:t>
      </w:r>
      <w:r>
        <w:rPr>
          <w:rFonts w:hint="eastAsia" w:ascii="仿宋_GB2312" w:hAnsi="仿宋_GB2312" w:eastAsia="仿宋_GB2312" w:cs="仿宋_GB2312"/>
          <w:color w:val="000000" w:themeColor="text1"/>
          <w:sz w:val="32"/>
          <w:szCs w:val="32"/>
          <w14:textFill>
            <w14:solidFill>
              <w14:schemeClr w14:val="tx1"/>
            </w14:solidFill>
          </w14:textFill>
        </w:rPr>
        <w:t>艾滋病、</w:t>
      </w:r>
      <w:r>
        <w:rPr>
          <w:rFonts w:ascii="仿宋_GB2312" w:hAnsi="仿宋_GB2312" w:eastAsia="仿宋_GB2312" w:cs="仿宋_GB2312"/>
          <w:color w:val="000000" w:themeColor="text1"/>
          <w:sz w:val="32"/>
          <w:szCs w:val="32"/>
          <w14:textFill>
            <w14:solidFill>
              <w14:schemeClr w14:val="tx1"/>
            </w14:solidFill>
          </w14:textFill>
        </w:rPr>
        <w:t>梅毒</w:t>
      </w:r>
      <w:r>
        <w:rPr>
          <w:rFonts w:hint="eastAsia" w:ascii="仿宋_GB2312" w:hAnsi="仿宋_GB2312" w:eastAsia="仿宋_GB2312" w:cs="仿宋_GB2312"/>
          <w:color w:val="000000" w:themeColor="text1"/>
          <w:sz w:val="32"/>
          <w:szCs w:val="32"/>
          <w14:textFill>
            <w14:solidFill>
              <w14:schemeClr w14:val="tx1"/>
            </w14:solidFill>
          </w14:textFill>
        </w:rPr>
        <w:t>感染孕产妇治疗率达9</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%以上，对所生儿童进</w:t>
      </w:r>
      <w:r>
        <w:rPr>
          <w:rFonts w:ascii="仿宋_GB2312" w:hAnsi="仿宋_GB2312" w:eastAsia="仿宋_GB2312" w:cs="仿宋_GB2312"/>
          <w:color w:val="000000" w:themeColor="text1"/>
          <w:sz w:val="32"/>
          <w:szCs w:val="32"/>
          <w14:textFill>
            <w14:solidFill>
              <w14:schemeClr w14:val="tx1"/>
            </w14:solidFill>
          </w14:textFill>
        </w:rPr>
        <w:t>行规范干预</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加大</w:t>
      </w:r>
      <w:r>
        <w:rPr>
          <w:rFonts w:hint="eastAsia" w:ascii="仿宋_GB2312" w:hAnsi="仿宋_GB2312" w:eastAsia="仿宋_GB2312" w:cs="仿宋_GB2312"/>
          <w:color w:val="000000" w:themeColor="text1"/>
          <w:sz w:val="32"/>
          <w:szCs w:val="32"/>
          <w14:textFill>
            <w14:solidFill>
              <w14:schemeClr w14:val="tx1"/>
            </w14:solidFill>
          </w14:textFill>
        </w:rPr>
        <w:t>艾滋病防控</w:t>
      </w:r>
      <w:r>
        <w:rPr>
          <w:rFonts w:ascii="仿宋_GB2312" w:hAnsi="仿宋_GB2312" w:eastAsia="仿宋_GB2312" w:cs="仿宋_GB2312"/>
          <w:color w:val="000000" w:themeColor="text1"/>
          <w:sz w:val="32"/>
          <w:szCs w:val="32"/>
          <w14:textFill>
            <w14:solidFill>
              <w14:schemeClr w14:val="tx1"/>
            </w14:solidFill>
          </w14:textFill>
        </w:rPr>
        <w:t>力度</w:t>
      </w:r>
      <w:r>
        <w:rPr>
          <w:rFonts w:hint="eastAsia" w:ascii="仿宋_GB2312" w:hAnsi="仿宋_GB2312" w:eastAsia="仿宋_GB2312" w:cs="仿宋_GB2312"/>
          <w:color w:val="000000" w:themeColor="text1"/>
          <w:sz w:val="32"/>
          <w:szCs w:val="32"/>
          <w14:textFill>
            <w14:solidFill>
              <w14:schemeClr w14:val="tx1"/>
            </w14:solidFill>
          </w14:textFill>
        </w:rPr>
        <w:t>，加强艾滋病防治知识和相关政策的宣传教育，提高妇女的防范意识和能力。加强对妇女感染者的医疗服务，提高随访率。多形式为孕产妇感染者及其家庭提供健康咨询、心理和社会支持等服务。</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（8）提高妇女营养水平。持续开展营养健康科普宣传教育，因地制宜开展营养和膳食指导，提高妇女对营养标签知晓率，促进妇女学习掌握营养知识，均衡饮食</w:t>
      </w:r>
      <w:r>
        <w:rPr>
          <w:rFonts w:hint="eastAsia" w:ascii="仿宋_GB2312" w:hAnsi="仿宋_GB2312" w:eastAsia="仿宋_GB2312" w:cs="仿宋_GB2312"/>
          <w:color w:val="000000" w:themeColor="text1"/>
          <w:sz w:val="32"/>
          <w:szCs w:val="32"/>
          <w:lang w:val="zh-CN"/>
          <w14:textFill>
            <w14:solidFill>
              <w14:schemeClr w14:val="tx1"/>
            </w14:solidFill>
          </w14:textFill>
        </w:rPr>
        <w:t>、吃动</w:t>
      </w:r>
      <w:r>
        <w:rPr>
          <w:rFonts w:hint="eastAsia" w:ascii="仿宋_GB2312" w:hAnsi="仿宋_GB2312" w:eastAsia="仿宋_GB2312" w:cs="仿宋_GB2312"/>
          <w:color w:val="000000" w:themeColor="text1"/>
          <w:sz w:val="32"/>
          <w:szCs w:val="32"/>
          <w14:textFill>
            <w14:solidFill>
              <w14:schemeClr w14:val="tx1"/>
            </w14:solidFill>
          </w14:textFill>
        </w:rPr>
        <w:t>平衡，</w:t>
      </w:r>
      <w:r>
        <w:rPr>
          <w:rFonts w:ascii="仿宋_GB2312" w:hAnsi="仿宋_GB2312" w:eastAsia="仿宋_GB2312" w:cs="仿宋_GB2312"/>
          <w:color w:val="000000" w:themeColor="text1"/>
          <w:sz w:val="32"/>
          <w:szCs w:val="32"/>
          <w14:textFill>
            <w14:solidFill>
              <w14:schemeClr w14:val="tx1"/>
            </w14:solidFill>
          </w14:textFill>
        </w:rPr>
        <w:t>预防</w:t>
      </w:r>
      <w:r>
        <w:rPr>
          <w:rFonts w:hint="eastAsia" w:ascii="仿宋_GB2312" w:hAnsi="仿宋_GB2312" w:eastAsia="仿宋_GB2312" w:cs="仿宋_GB2312"/>
          <w:color w:val="000000" w:themeColor="text1"/>
          <w:sz w:val="32"/>
          <w:szCs w:val="32"/>
          <w14:textFill>
            <w14:solidFill>
              <w14:schemeClr w14:val="tx1"/>
            </w14:solidFill>
          </w14:textFill>
        </w:rPr>
        <w:t>控制</w:t>
      </w:r>
      <w:r>
        <w:rPr>
          <w:rFonts w:ascii="仿宋_GB2312" w:hAnsi="仿宋_GB2312" w:eastAsia="仿宋_GB2312" w:cs="仿宋_GB2312"/>
          <w:color w:val="000000" w:themeColor="text1"/>
          <w:sz w:val="32"/>
          <w:szCs w:val="32"/>
          <w14:textFill>
            <w14:solidFill>
              <w14:schemeClr w14:val="tx1"/>
            </w14:solidFill>
          </w14:textFill>
        </w:rPr>
        <w:t>营养不良</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ascii="仿宋_GB2312" w:hAnsi="仿宋_GB2312" w:eastAsia="仿宋_GB2312" w:cs="仿宋_GB2312"/>
          <w:color w:val="000000" w:themeColor="text1"/>
          <w:sz w:val="32"/>
          <w:szCs w:val="32"/>
          <w14:textFill>
            <w14:solidFill>
              <w14:schemeClr w14:val="tx1"/>
            </w14:solidFill>
          </w14:textFill>
        </w:rPr>
        <w:t>肥胖</w:t>
      </w:r>
      <w:r>
        <w:rPr>
          <w:rFonts w:hint="eastAsia" w:ascii="仿宋_GB2312" w:hAnsi="仿宋_GB2312" w:eastAsia="仿宋_GB2312" w:cs="仿宋_GB2312"/>
          <w:color w:val="000000" w:themeColor="text1"/>
          <w:sz w:val="32"/>
          <w:szCs w:val="32"/>
          <w14:textFill>
            <w14:solidFill>
              <w14:schemeClr w14:val="tx1"/>
            </w14:solidFill>
          </w14:textFill>
        </w:rPr>
        <w:t>。面向不同年龄阶段妇女群体开发有针对性的营养健康信息和产品，加强对营养食品生产和流通的监管。定期开展孕期、产期、哺乳期妇女的营养监测和评估，预防和减少孕产妇缺铁性贫血。预防控制老年妇女低体重和贫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11" w:name="_Hlk67641012"/>
      <w:r>
        <w:rPr>
          <w:rFonts w:hint="eastAsia" w:ascii="仿宋_GB2312" w:hAnsi="仿宋_GB2312" w:eastAsia="仿宋_GB2312" w:cs="仿宋_GB2312"/>
          <w:color w:val="000000" w:themeColor="text1"/>
          <w:sz w:val="32"/>
          <w:szCs w:val="32"/>
          <w14:textFill>
            <w14:solidFill>
              <w14:schemeClr w14:val="tx1"/>
            </w14:solidFill>
          </w14:textFill>
        </w:rPr>
        <w:t>（9）提升妇女健康素养。实施妇女健康知识普及行动，建立完善健康科普专家库和资源库</w:t>
      </w:r>
      <w:bookmarkEnd w:id="11"/>
      <w:r>
        <w:rPr>
          <w:rFonts w:hint="eastAsia" w:ascii="仿宋_GB2312" w:hAnsi="仿宋_GB2312" w:eastAsia="仿宋_GB2312" w:cs="仿宋_GB2312"/>
          <w:color w:val="000000" w:themeColor="text1"/>
          <w:sz w:val="32"/>
          <w:szCs w:val="32"/>
          <w14:textFill>
            <w14:solidFill>
              <w14:schemeClr w14:val="tx1"/>
            </w14:solidFill>
          </w14:textFill>
        </w:rPr>
        <w:t>，持续深入开展健康科普宣传教育，规范发布妇女健康信息，引导妇女树立科学的健康理念，学习健康知识，掌握身心健康、预防疾病、科学就医、合理用药知识技能。提高妇女参与疫情防控、应急避险的意识和能力。面向妇女开展控制烟草危害，拒绝酗酒、远离毒品的宣传教育。促进妇女积极投身爱国卫生运动，养成</w:t>
      </w:r>
      <w:r>
        <w:rPr>
          <w:rFonts w:ascii="仿宋_GB2312" w:hAnsi="仿宋_GB2312" w:eastAsia="仿宋_GB2312" w:cs="仿宋_GB2312"/>
          <w:color w:val="000000" w:themeColor="text1"/>
          <w:sz w:val="32"/>
          <w:szCs w:val="32"/>
          <w14:textFill>
            <w14:solidFill>
              <w14:schemeClr w14:val="tx1"/>
            </w14:solidFill>
          </w14:textFill>
        </w:rPr>
        <w:t>文明健康生活方式。</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促进妇女心理健康。加强心理健康相关知识的宣传。根据需要开展心理咨询、评估和指导，促进妇女掌握基本的心理调适方法，预防抑郁和焦虑等心理问题。重点关注青春期、孕产期和更老年期妇女的心理健康。强化心理咨询和治疗技术在妇女保健和临床诊疗中的应用。加大应用型心理健康和社会工作人员培养力度，促进医疗机构、心理健康和社会工作服务机构提供规范诊疗、咨询和社会工作等服务。鼓励社区为有需要的妇女提供心理健康服务支持。</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（11）提高妇女生殖健康水平。普及生殖道感染、性传播疾病等防控知识。在学校教育不同阶段采用多种形式</w:t>
      </w:r>
      <w:r>
        <w:rPr>
          <w:rFonts w:ascii="仿宋_GB2312" w:hAnsi="仿宋_GB2312" w:eastAsia="仿宋_GB2312" w:cs="仿宋_GB2312"/>
          <w:color w:val="000000" w:themeColor="text1"/>
          <w:sz w:val="32"/>
          <w:szCs w:val="32"/>
          <w14:textFill>
            <w14:solidFill>
              <w14:schemeClr w14:val="tx1"/>
            </w14:solidFill>
          </w14:textFill>
        </w:rPr>
        <w:t>开展</w:t>
      </w:r>
      <w:r>
        <w:rPr>
          <w:rFonts w:hint="eastAsia" w:ascii="仿宋_GB2312" w:hAnsi="仿宋_GB2312" w:eastAsia="仿宋_GB2312" w:cs="仿宋_GB2312"/>
          <w:color w:val="000000" w:themeColor="text1"/>
          <w:sz w:val="32"/>
          <w:szCs w:val="32"/>
          <w14:textFill>
            <w14:solidFill>
              <w14:schemeClr w14:val="tx1"/>
            </w14:solidFill>
          </w14:textFill>
        </w:rPr>
        <w:t>科学、实用的健康教育，促进学生掌握生殖健康知识，提高自我保护能力。增强男</w:t>
      </w:r>
      <w:r>
        <w:rPr>
          <w:rFonts w:ascii="仿宋_GB2312" w:hAnsi="仿宋_GB2312" w:eastAsia="仿宋_GB2312" w:cs="仿宋_GB2312"/>
          <w:color w:val="000000" w:themeColor="text1"/>
          <w:sz w:val="32"/>
          <w:szCs w:val="32"/>
          <w14:textFill>
            <w14:solidFill>
              <w14:schemeClr w14:val="tx1"/>
            </w14:solidFill>
          </w14:textFill>
        </w:rPr>
        <w:t>女两性</w:t>
      </w:r>
      <w:r>
        <w:rPr>
          <w:rFonts w:hint="eastAsia" w:ascii="仿宋_GB2312" w:hAnsi="仿宋_GB2312" w:eastAsia="仿宋_GB2312" w:cs="仿宋_GB2312"/>
          <w:color w:val="000000" w:themeColor="text1"/>
          <w:sz w:val="32"/>
          <w:szCs w:val="32"/>
          <w14:textFill>
            <w14:solidFill>
              <w14:schemeClr w14:val="tx1"/>
            </w14:solidFill>
          </w14:textFill>
        </w:rPr>
        <w:t>性道德、性健康、性安全意识，倡导共担避孕责任。将生殖健康服务融入妇女健康管理全过程，保障妇女享有避孕节育知情选择自主权，落实</w:t>
      </w:r>
      <w:r>
        <w:rPr>
          <w:rFonts w:ascii="仿宋_GB2312" w:hAnsi="仿宋_GB2312" w:eastAsia="仿宋_GB2312" w:cs="仿宋_GB2312"/>
          <w:color w:val="000000" w:themeColor="text1"/>
          <w:sz w:val="32"/>
          <w:szCs w:val="32"/>
          <w14:textFill>
            <w14:solidFill>
              <w14:schemeClr w14:val="tx1"/>
            </w14:solidFill>
          </w14:textFill>
        </w:rPr>
        <w:t>基本避孕服务项目，</w:t>
      </w:r>
      <w:r>
        <w:rPr>
          <w:rFonts w:hint="eastAsia" w:ascii="仿宋_GB2312" w:hAnsi="仿宋_GB2312" w:eastAsia="仿宋_GB2312" w:cs="仿宋_GB2312"/>
          <w:color w:val="000000" w:themeColor="text1"/>
          <w:sz w:val="32"/>
          <w:szCs w:val="32"/>
          <w14:textFill>
            <w14:solidFill>
              <w14:schemeClr w14:val="tx1"/>
            </w14:solidFill>
          </w14:textFill>
        </w:rPr>
        <w:t>加强产后和流产后避孕节育服务，提高</w:t>
      </w:r>
      <w:r>
        <w:rPr>
          <w:rFonts w:ascii="仿宋_GB2312" w:hAnsi="仿宋_GB2312" w:eastAsia="仿宋_GB2312" w:cs="仿宋_GB2312"/>
          <w:color w:val="000000" w:themeColor="text1"/>
          <w:sz w:val="32"/>
          <w:szCs w:val="32"/>
          <w14:textFill>
            <w14:solidFill>
              <w14:schemeClr w14:val="tx1"/>
            </w14:solidFill>
          </w14:textFill>
        </w:rPr>
        <w:t>服务可及性，预防非意愿妊娠</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推进</w:t>
      </w:r>
      <w:r>
        <w:rPr>
          <w:rFonts w:hint="eastAsia" w:ascii="仿宋_GB2312" w:hAnsi="仿宋_GB2312" w:eastAsia="仿宋_GB2312" w:cs="仿宋_GB2312"/>
          <w:color w:val="000000" w:themeColor="text1"/>
          <w:sz w:val="32"/>
          <w:szCs w:val="32"/>
          <w14:textFill>
            <w14:solidFill>
              <w14:schemeClr w14:val="tx1"/>
            </w14:solidFill>
          </w14:textFill>
        </w:rPr>
        <w:t>婚前</w:t>
      </w:r>
      <w:r>
        <w:rPr>
          <w:rFonts w:ascii="仿宋_GB2312" w:hAnsi="仿宋_GB2312" w:eastAsia="仿宋_GB2312" w:cs="仿宋_GB2312"/>
          <w:color w:val="000000" w:themeColor="text1"/>
          <w:sz w:val="32"/>
          <w:szCs w:val="32"/>
          <w14:textFill>
            <w14:solidFill>
              <w14:schemeClr w14:val="tx1"/>
            </w14:solidFill>
          </w14:textFill>
        </w:rPr>
        <w:t>医学检查，孕前优生健康检查，增补叶</w:t>
      </w:r>
      <w:r>
        <w:rPr>
          <w:rFonts w:hint="eastAsia" w:ascii="仿宋_GB2312" w:hAnsi="仿宋_GB2312" w:eastAsia="仿宋_GB2312" w:cs="仿宋_GB2312"/>
          <w:color w:val="000000" w:themeColor="text1"/>
          <w:sz w:val="32"/>
          <w:szCs w:val="32"/>
          <w14:textFill>
            <w14:solidFill>
              <w14:schemeClr w14:val="tx1"/>
            </w14:solidFill>
          </w14:textFill>
        </w:rPr>
        <w:t>酸</w:t>
      </w:r>
      <w:r>
        <w:rPr>
          <w:rFonts w:ascii="仿宋_GB2312" w:hAnsi="仿宋_GB2312" w:eastAsia="仿宋_GB2312" w:cs="仿宋_GB2312"/>
          <w:color w:val="000000" w:themeColor="text1"/>
          <w:sz w:val="32"/>
          <w:szCs w:val="32"/>
          <w14:textFill>
            <w14:solidFill>
              <w14:schemeClr w14:val="tx1"/>
            </w14:solidFill>
          </w14:textFill>
        </w:rPr>
        <w:t>等婚前孕前保健服务</w:t>
      </w:r>
      <w:r>
        <w:rPr>
          <w:rFonts w:hint="eastAsia" w:ascii="仿宋_GB2312" w:hAnsi="仿宋_GB2312" w:eastAsia="仿宋_GB2312" w:cs="仿宋_GB2312"/>
          <w:color w:val="000000" w:themeColor="text1"/>
          <w:sz w:val="32"/>
          <w:szCs w:val="32"/>
          <w14:textFill>
            <w14:solidFill>
              <w14:schemeClr w14:val="tx1"/>
            </w14:solidFill>
          </w14:textFill>
        </w:rPr>
        <w:t>更加</w:t>
      </w:r>
      <w:r>
        <w:rPr>
          <w:rFonts w:ascii="仿宋_GB2312" w:hAnsi="仿宋_GB2312" w:eastAsia="仿宋_GB2312" w:cs="仿宋_GB2312"/>
          <w:color w:val="000000" w:themeColor="text1"/>
          <w:sz w:val="32"/>
          <w:szCs w:val="32"/>
          <w14:textFill>
            <w14:solidFill>
              <w14:schemeClr w14:val="tx1"/>
            </w14:solidFill>
          </w14:textFill>
        </w:rPr>
        <w:t>公平</w:t>
      </w:r>
      <w:r>
        <w:rPr>
          <w:rFonts w:hint="eastAsia" w:ascii="仿宋_GB2312" w:hAnsi="仿宋_GB2312" w:eastAsia="仿宋_GB2312" w:cs="仿宋_GB2312"/>
          <w:color w:val="000000" w:themeColor="text1"/>
          <w:sz w:val="32"/>
          <w:szCs w:val="32"/>
          <w14:textFill>
            <w14:solidFill>
              <w14:schemeClr w14:val="tx1"/>
            </w14:solidFill>
          </w14:textFill>
        </w:rPr>
        <w:t>可</w:t>
      </w:r>
      <w:r>
        <w:rPr>
          <w:rFonts w:ascii="仿宋_GB2312" w:hAnsi="仿宋_GB2312" w:eastAsia="仿宋_GB2312" w:cs="仿宋_GB2312"/>
          <w:color w:val="000000" w:themeColor="text1"/>
          <w:sz w:val="32"/>
          <w:szCs w:val="32"/>
          <w14:textFill>
            <w14:solidFill>
              <w14:schemeClr w14:val="tx1"/>
            </w14:solidFill>
          </w14:textFill>
        </w:rPr>
        <w:t>及</w:t>
      </w:r>
      <w:r>
        <w:rPr>
          <w:rFonts w:hint="eastAsia" w:ascii="仿宋_GB2312" w:hAnsi="仿宋_GB2312" w:eastAsia="仿宋_GB2312" w:cs="仿宋_GB2312"/>
          <w:color w:val="000000" w:themeColor="text1"/>
          <w:sz w:val="32"/>
          <w:szCs w:val="32"/>
          <w14:textFill>
            <w14:solidFill>
              <w14:schemeClr w14:val="tx1"/>
            </w14:solidFill>
          </w14:textFill>
        </w:rPr>
        <w:t>。减少非医学需要的人工流产。加强对女性健康安全用品产品的质量保障。规范不孕不育症诊疗服务。规范人类辅助生殖技术应用。加强对代孕的打击力度。加强对女性卫生用品的质量监管，鼓励企业为城乡生活困难妇女提供质优价廉的卫生巾等生理期用品。</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（12）引导妇女积极参与全民健身行动。提高妇女体育</w:t>
      </w:r>
      <w:r>
        <w:rPr>
          <w:rFonts w:ascii="仿宋_GB2312" w:hAnsi="仿宋_GB2312" w:eastAsia="仿宋_GB2312" w:cs="仿宋_GB2312"/>
          <w:color w:val="000000" w:themeColor="text1"/>
          <w:sz w:val="32"/>
          <w:szCs w:val="32"/>
          <w14:textFill>
            <w14:solidFill>
              <w14:schemeClr w14:val="tx1"/>
            </w14:solidFill>
          </w14:textFill>
        </w:rPr>
        <w:t>活动</w:t>
      </w:r>
      <w:r>
        <w:rPr>
          <w:rFonts w:hint="eastAsia" w:ascii="仿宋_GB2312" w:hAnsi="仿宋_GB2312" w:eastAsia="仿宋_GB2312" w:cs="仿宋_GB2312"/>
          <w:color w:val="000000" w:themeColor="text1"/>
          <w:sz w:val="32"/>
          <w:szCs w:val="32"/>
          <w14:textFill>
            <w14:solidFill>
              <w14:schemeClr w14:val="tx1"/>
            </w14:solidFill>
          </w14:textFill>
        </w:rPr>
        <w:t>意识，培养运动习惯。持续推进全民健身场地设施建设，打造“1</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分钟健身圈”“体绿结合”的体育健身生活一体化社区，增加更多妇</w:t>
      </w:r>
      <w:r>
        <w:rPr>
          <w:rFonts w:ascii="仿宋_GB2312" w:hAnsi="仿宋_GB2312" w:eastAsia="仿宋_GB2312" w:cs="仿宋_GB2312"/>
          <w:color w:val="000000" w:themeColor="text1"/>
          <w:sz w:val="32"/>
          <w:szCs w:val="32"/>
          <w14:textFill>
            <w14:solidFill>
              <w14:schemeClr w14:val="tx1"/>
            </w14:solidFill>
          </w14:textFill>
        </w:rPr>
        <w:t>女</w:t>
      </w:r>
      <w:r>
        <w:rPr>
          <w:rFonts w:hint="eastAsia" w:ascii="仿宋_GB2312" w:hAnsi="仿宋_GB2312" w:eastAsia="仿宋_GB2312" w:cs="仿宋_GB2312"/>
          <w:color w:val="000000" w:themeColor="text1"/>
          <w:sz w:val="32"/>
          <w:szCs w:val="32"/>
          <w14:textFill>
            <w14:solidFill>
              <w14:schemeClr w14:val="tx1"/>
            </w14:solidFill>
          </w14:textFill>
        </w:rPr>
        <w:t>群众身边的“健康驿站”。推动各级各类公共体育设施免费或低收费开放，为妇女健身活动提供保障。积极发展城乡社区体育活动，丰富完善妇女健身活动赛事体系，提倡机关、企事业单位开展工间操，鼓励支持工会和社区组织开展妇女健身活动，引导妇女参与全民健身运动。加强妇女健身骨干队伍建设，推进妇女健身站点与组织建设，提高对妇女健身的指导与服务。</w:t>
      </w:r>
    </w:p>
    <w:p>
      <w:pPr>
        <w:suppressAutoHyphens w:val="0"/>
        <w:overflowPunct w:val="0"/>
        <w:adjustRightInd w:val="0"/>
        <w:snapToGrid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（13）强化妇女健康服务的科技支撑。</w:t>
      </w:r>
      <w:r>
        <w:rPr>
          <w:rFonts w:hint="eastAsia" w:ascii="仿宋_GB2312" w:hAnsi="仿宋_GB2312" w:eastAsia="仿宋_GB2312" w:cs="仿宋_GB2312"/>
          <w:color w:val="000000" w:themeColor="text1"/>
          <w:sz w:val="32"/>
          <w:szCs w:val="32"/>
          <w14:textFill>
            <w14:solidFill>
              <w14:schemeClr w14:val="tx1"/>
            </w14:solidFill>
          </w14:textFill>
        </w:rPr>
        <w:t>提升“互联网+妇幼健康”品牌，推进“互联网+”疫情监测、监督执法、职业健康、中医药服务，积极发展5G+医疗服务新业态。</w:t>
      </w:r>
      <w:r>
        <w:rPr>
          <w:rFonts w:hint="eastAsia" w:ascii="仿宋_GB2312" w:hAnsi="仿宋_GB2312" w:eastAsia="仿宋_GB2312" w:cs="仿宋_GB2312"/>
          <w:color w:val="000000" w:themeColor="text1"/>
          <w:kern w:val="0"/>
          <w:sz w:val="32"/>
          <w:szCs w:val="32"/>
          <w14:textFill>
            <w14:solidFill>
              <w14:schemeClr w14:val="tx1"/>
            </w14:solidFill>
          </w14:textFill>
        </w:rPr>
        <w:t>提升</w:t>
      </w:r>
      <w:r>
        <w:rPr>
          <w:rFonts w:ascii="仿宋_GB2312" w:hAnsi="仿宋_GB2312" w:eastAsia="仿宋_GB2312" w:cs="仿宋_GB2312"/>
          <w:color w:val="000000" w:themeColor="text1"/>
          <w:kern w:val="0"/>
          <w:sz w:val="32"/>
          <w:szCs w:val="32"/>
          <w14:textFill>
            <w14:solidFill>
              <w14:schemeClr w14:val="tx1"/>
            </w14:solidFill>
          </w14:textFill>
        </w:rPr>
        <w:t>全</w:t>
      </w:r>
      <w:r>
        <w:rPr>
          <w:rFonts w:hint="eastAsia" w:ascii="仿宋_GB2312" w:hAnsi="仿宋_GB2312" w:eastAsia="仿宋_GB2312" w:cs="仿宋_GB2312"/>
          <w:color w:val="000000" w:themeColor="text1"/>
          <w:kern w:val="0"/>
          <w:sz w:val="32"/>
          <w:szCs w:val="32"/>
          <w14:textFill>
            <w14:solidFill>
              <w14:schemeClr w14:val="tx1"/>
            </w14:solidFill>
          </w14:textFill>
        </w:rPr>
        <w:t>区妇幼健康信息</w:t>
      </w:r>
      <w:r>
        <w:rPr>
          <w:rFonts w:ascii="仿宋_GB2312" w:hAnsi="仿宋_GB2312" w:eastAsia="仿宋_GB2312" w:cs="仿宋_GB2312"/>
          <w:color w:val="000000" w:themeColor="text1"/>
          <w:kern w:val="0"/>
          <w:sz w:val="32"/>
          <w:szCs w:val="32"/>
          <w14:textFill>
            <w14:solidFill>
              <w14:schemeClr w14:val="tx1"/>
            </w14:solidFill>
          </w14:textFill>
        </w:rPr>
        <w:t>化</w:t>
      </w:r>
      <w:r>
        <w:rPr>
          <w:rFonts w:hint="eastAsia" w:ascii="仿宋_GB2312" w:hAnsi="仿宋_GB2312" w:eastAsia="仿宋_GB2312" w:cs="仿宋_GB2312"/>
          <w:color w:val="000000" w:themeColor="text1"/>
          <w:kern w:val="0"/>
          <w:sz w:val="32"/>
          <w:szCs w:val="32"/>
          <w14:textFill>
            <w14:solidFill>
              <w14:schemeClr w14:val="tx1"/>
            </w14:solidFill>
          </w14:textFill>
        </w:rPr>
        <w:t>管理水平。</w:t>
      </w:r>
      <w:r>
        <w:rPr>
          <w:rFonts w:ascii="仿宋_GB2312" w:hAnsi="仿宋_GB2312" w:eastAsia="仿宋_GB2312" w:cs="仿宋_GB2312"/>
          <w:color w:val="000000" w:themeColor="text1"/>
          <w:kern w:val="0"/>
          <w:sz w:val="32"/>
          <w:szCs w:val="32"/>
          <w14:textFill>
            <w14:solidFill>
              <w14:schemeClr w14:val="tx1"/>
            </w14:solidFill>
          </w14:textFill>
        </w:rPr>
        <w:t>实施妇女人群</w:t>
      </w:r>
      <w:r>
        <w:rPr>
          <w:rFonts w:hint="eastAsia" w:ascii="仿宋_GB2312" w:hAnsi="仿宋_GB2312" w:eastAsia="仿宋_GB2312" w:cs="仿宋_GB2312"/>
          <w:color w:val="000000" w:themeColor="text1"/>
          <w:kern w:val="0"/>
          <w:sz w:val="32"/>
          <w:szCs w:val="32"/>
          <w14:textFill>
            <w14:solidFill>
              <w14:schemeClr w14:val="tx1"/>
            </w14:solidFill>
          </w14:textFill>
        </w:rPr>
        <w:t>健康管理</w:t>
      </w:r>
      <w:r>
        <w:rPr>
          <w:rFonts w:ascii="仿宋_GB2312" w:hAnsi="仿宋_GB2312" w:eastAsia="仿宋_GB2312" w:cs="仿宋_GB2312"/>
          <w:color w:val="000000" w:themeColor="text1"/>
          <w:kern w:val="0"/>
          <w:sz w:val="32"/>
          <w:szCs w:val="32"/>
          <w14:textFill>
            <w14:solidFill>
              <w14:schemeClr w14:val="tx1"/>
            </w14:solidFill>
          </w14:textFill>
        </w:rPr>
        <w:t>和健康</w:t>
      </w:r>
      <w:r>
        <w:rPr>
          <w:rFonts w:hint="eastAsia" w:ascii="仿宋_GB2312" w:hAnsi="仿宋_GB2312" w:eastAsia="仿宋_GB2312" w:cs="仿宋_GB2312"/>
          <w:color w:val="000000" w:themeColor="text1"/>
          <w:kern w:val="0"/>
          <w:sz w:val="32"/>
          <w:szCs w:val="32"/>
          <w14:textFill>
            <w14:solidFill>
              <w14:schemeClr w14:val="tx1"/>
            </w14:solidFill>
          </w14:textFill>
        </w:rPr>
        <w:t>风险预警。促进信息技术在妇女健康领域专科医联体、医共体建设中的应用，加强医疗机构间的协作，促进分级诊疗上下联动。</w:t>
      </w:r>
      <w:r>
        <w:rPr>
          <w:rFonts w:hint="eastAsia" w:ascii="仿宋_GB2312" w:hAnsi="仿宋_GB2312" w:eastAsia="仿宋_GB2312" w:cs="仿宋_GB2312"/>
          <w:color w:val="000000" w:themeColor="text1"/>
          <w:sz w:val="32"/>
          <w:szCs w:val="32"/>
          <w14:textFill>
            <w14:solidFill>
              <w14:schemeClr w14:val="tx1"/>
            </w14:solidFill>
          </w14:textFill>
        </w:rPr>
        <w:t>加强医学科研平台建设，优化科研管理体系，实施科研激励机制建设，促进妇女身心健康方面的科学研究和成果转化</w:t>
      </w:r>
      <w:bookmarkStart w:id="12" w:name="_Toc76888028"/>
      <w:r>
        <w:rPr>
          <w:rFonts w:hint="eastAsia" w:ascii="仿宋_GB2312" w:hAnsi="仿宋_GB2312" w:eastAsia="仿宋_GB2312" w:cs="仿宋_GB2312"/>
          <w:color w:val="000000" w:themeColor="text1"/>
          <w:sz w:val="32"/>
          <w:szCs w:val="32"/>
          <w14:textFill>
            <w14:solidFill>
              <w14:schemeClr w14:val="tx1"/>
            </w14:solidFill>
          </w14:textFill>
        </w:rPr>
        <w:t>。</w:t>
      </w:r>
      <w:bookmarkEnd w:id="12"/>
    </w:p>
    <w:p>
      <w:pPr>
        <w:suppressAutoHyphens w:val="0"/>
        <w:overflowPunct w:val="0"/>
        <w:spacing w:line="620" w:lineRule="exact"/>
        <w:ind w:firstLine="640" w:firstLineChars="200"/>
        <w:outlineLvl w:val="1"/>
        <w:rPr>
          <w:rFonts w:ascii="Times New Roman" w:hAnsi="Times New Roman" w:eastAsia="楷体_GB2312"/>
          <w:color w:val="000000" w:themeColor="text1"/>
          <w:sz w:val="32"/>
          <w:szCs w:val="32"/>
          <w14:textFill>
            <w14:solidFill>
              <w14:schemeClr w14:val="tx1"/>
            </w14:solidFill>
          </w14:textFill>
        </w:rPr>
      </w:pPr>
      <w:bookmarkStart w:id="13" w:name="_Toc363181437"/>
      <w:bookmarkStart w:id="14" w:name="_Hlk67641034"/>
      <w:r>
        <w:rPr>
          <w:rFonts w:ascii="Times New Roman" w:hAnsi="楷体" w:eastAsia="楷体_GB2312"/>
          <w:color w:val="000000" w:themeColor="text1"/>
          <w:sz w:val="32"/>
          <w:szCs w:val="32"/>
          <w14:textFill>
            <w14:solidFill>
              <w14:schemeClr w14:val="tx1"/>
            </w14:solidFill>
          </w14:textFill>
        </w:rPr>
        <w:t>（二）妇女与教育</w:t>
      </w:r>
      <w:bookmarkEnd w:id="13"/>
      <w:r>
        <w:rPr>
          <w:rFonts w:hint="eastAsia" w:ascii="Times New Roman" w:hAnsi="楷体" w:eastAsia="楷体_GB2312"/>
          <w:color w:val="000000" w:themeColor="text1"/>
          <w:sz w:val="32"/>
          <w:szCs w:val="32"/>
          <w14:textFill>
            <w14:solidFill>
              <w14:schemeClr w14:val="tx1"/>
            </w14:solidFill>
          </w14:textFill>
        </w:rPr>
        <w:t>。</w:t>
      </w:r>
    </w:p>
    <w:bookmarkEnd w:id="14"/>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1.主要目标。</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（1）加强思想政治教育，增进妇女对习近平新时代中国特色社会主义思想的政治认同、思想认同、情感认同，引领妇</w:t>
      </w:r>
      <w:r>
        <w:rPr>
          <w:rFonts w:ascii="仿宋_GB2312" w:hAnsi="仿宋_GB2312" w:eastAsia="仿宋_GB2312" w:cs="仿宋_GB2312"/>
          <w:color w:val="000000" w:themeColor="text1"/>
          <w:sz w:val="32"/>
          <w:szCs w:val="32"/>
          <w14:textFill>
            <w14:solidFill>
              <w14:schemeClr w14:val="tx1"/>
            </w14:solidFill>
          </w14:textFill>
        </w:rPr>
        <w:t>女做伟大事业的建设者、文明风尚的</w:t>
      </w:r>
      <w:r>
        <w:rPr>
          <w:rFonts w:hint="eastAsia" w:ascii="仿宋_GB2312" w:hAnsi="仿宋_GB2312" w:eastAsia="仿宋_GB2312" w:cs="仿宋_GB2312"/>
          <w:color w:val="000000" w:themeColor="text1"/>
          <w:sz w:val="32"/>
          <w:szCs w:val="32"/>
          <w14:textFill>
            <w14:solidFill>
              <w14:schemeClr w14:val="tx1"/>
            </w14:solidFill>
          </w14:textFill>
        </w:rPr>
        <w:t>倡导</w:t>
      </w:r>
      <w:r>
        <w:rPr>
          <w:rFonts w:ascii="仿宋_GB2312" w:hAnsi="仿宋_GB2312" w:eastAsia="仿宋_GB2312" w:cs="仿宋_GB2312"/>
          <w:color w:val="000000" w:themeColor="text1"/>
          <w:sz w:val="32"/>
          <w:szCs w:val="32"/>
          <w14:textFill>
            <w14:solidFill>
              <w14:schemeClr w14:val="tx1"/>
            </w14:solidFill>
          </w14:textFill>
        </w:rPr>
        <w:t>者、敢于</w:t>
      </w:r>
      <w:r>
        <w:rPr>
          <w:rFonts w:hint="eastAsia" w:ascii="仿宋_GB2312" w:hAnsi="仿宋_GB2312" w:eastAsia="仿宋_GB2312" w:cs="仿宋_GB2312"/>
          <w:color w:val="000000" w:themeColor="text1"/>
          <w:sz w:val="32"/>
          <w:szCs w:val="32"/>
          <w14:textFill>
            <w14:solidFill>
              <w14:schemeClr w14:val="tx1"/>
            </w14:solidFill>
          </w14:textFill>
        </w:rPr>
        <w:t>追</w:t>
      </w:r>
      <w:r>
        <w:rPr>
          <w:rFonts w:ascii="仿宋_GB2312" w:hAnsi="仿宋_GB2312" w:eastAsia="仿宋_GB2312" w:cs="仿宋_GB2312"/>
          <w:color w:val="000000" w:themeColor="text1"/>
          <w:sz w:val="32"/>
          <w:szCs w:val="32"/>
          <w14:textFill>
            <w14:solidFill>
              <w14:schemeClr w14:val="tx1"/>
            </w14:solidFill>
          </w14:textFill>
        </w:rPr>
        <w:t>梦的奋斗者。</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牵头单位: 区妇联，责任单位：区委宣传部、区教育和体育局、区融媒中心、区文化和旅游局、区总工会、团区委</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（2）教育工作全面贯彻男女平等基本国策。</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（牵头单位：区教育和体育局，责任单位：区妇儿工委办公室、区妇联）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（3）大中小学性别平等教育全面推进，教师</w:t>
      </w:r>
      <w:r>
        <w:rPr>
          <w:rFonts w:ascii="仿宋_GB2312" w:hAnsi="仿宋_GB2312" w:eastAsia="仿宋_GB2312" w:cs="仿宋_GB2312"/>
          <w:color w:val="000000" w:themeColor="text1"/>
          <w:sz w:val="32"/>
          <w:szCs w:val="32"/>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学生的男女平等意识明显增强。</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（牵头单位：区教育和体育局，责任单位：区妇儿工委办公室、区妇联）</w:t>
      </w:r>
    </w:p>
    <w:p>
      <w:pPr>
        <w:suppressAutoHyphens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（4）女童平等接受学前教育，学前3年毛入园率保持在9</w:t>
      </w:r>
      <w:r>
        <w:rPr>
          <w:rFonts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以上。</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（牵头单位：区教育和体育局，责任单位：区自然资源局、区城市规划建设服务中心、区妇联、区残联）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（5）女童平等接受九年义务教育，义务教育巩固率保持在9</w:t>
      </w:r>
      <w:r>
        <w:rPr>
          <w:rFonts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%以上。</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（牵头单位：区教育和体育局，责任单位：区自然资源局、区城市规划建设服务中心、区妇联、区残联）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（6）女性平等接受高中阶段教育，高中阶段教育毛入学率达到9</w:t>
      </w:r>
      <w:r>
        <w:rPr>
          <w:rFonts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（牵头单位：区教育和体育局，责任单位：区自然资源局、区</w:t>
      </w:r>
      <w:r>
        <w:rPr>
          <w:rFonts w:hint="eastAsia" w:ascii="仿宋_GB2312" w:hAnsi="仿宋_GB2312" w:eastAsia="仿宋_GB2312" w:cs="仿宋_GB2312"/>
          <w:color w:val="000000" w:themeColor="text1"/>
          <w:sz w:val="32"/>
          <w:szCs w:val="32"/>
          <w14:textFill>
            <w14:solidFill>
              <w14:schemeClr w14:val="tx1"/>
            </w14:solidFill>
          </w14:textFill>
        </w:rPr>
        <w:t>城市规划建设服务中心、</w:t>
      </w:r>
      <w:r>
        <w:rPr>
          <w:rFonts w:hint="eastAsia" w:ascii="楷体" w:hAnsi="楷体" w:eastAsia="楷体_GB2312" w:cs="仿宋_GB2312"/>
          <w:color w:val="000000" w:themeColor="text1"/>
          <w:sz w:val="32"/>
          <w:szCs w:val="32"/>
          <w14:textFill>
            <w14:solidFill>
              <w14:schemeClr w14:val="tx1"/>
            </w14:solidFill>
          </w14:textFill>
        </w:rPr>
        <w:t>区妇联、区残联）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（7）女性接受职业教育的水平逐步提高。</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（牵头单位：区教育和体育局，责任单位：区人力资源和社会保障局、区科协、区妇联、区残联）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（8）积极促进女性平等接受高等教育，鼓励女性突破专业选择的传统性别定位局限，促进高等教育学科领域的性别结构均衡。</w:t>
      </w:r>
      <w:r>
        <w:rPr>
          <w:rFonts w:hint="eastAsia" w:ascii="楷体" w:hAnsi="楷体" w:eastAsia="楷体_GB2312" w:cs="仿宋_GB2312"/>
          <w:color w:val="000000" w:themeColor="text1"/>
          <w:sz w:val="32"/>
          <w:szCs w:val="32"/>
          <w14:textFill>
            <w14:solidFill>
              <w14:schemeClr w14:val="tx1"/>
            </w14:solidFill>
          </w14:textFill>
        </w:rPr>
        <w:t>（牵头单位：大学园区管理服务中心）</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（9）加大女性科技人才培养力度，缩小男女两性科学素质水平差距。</w:t>
      </w:r>
      <w:r>
        <w:rPr>
          <w:rFonts w:hint="eastAsia" w:ascii="楷体" w:hAnsi="楷体" w:eastAsia="楷体_GB2312" w:cs="仿宋_GB2312"/>
          <w:color w:val="000000" w:themeColor="text1"/>
          <w:sz w:val="32"/>
          <w:szCs w:val="32"/>
          <w14:textFill>
            <w14:solidFill>
              <w14:schemeClr w14:val="tx1"/>
            </w14:solidFill>
          </w14:textFill>
        </w:rPr>
        <w:t>（牵头单位：区工业和信息化局，责任单位：区教育和体育局、大学园区管理服务中心、区人力资源和社会保障局、区科协）</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（10）女性青壮年文盲基本消除。女性平均受教育年限不断提高。</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（牵头单位：区教育和体育局，责任单位：区人力资源和社会保障局、区农业农村局、区残联、区妇联）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（11）女性终身学习意识不断增强，接受终身教育水平不断提高。</w:t>
      </w:r>
      <w:r>
        <w:rPr>
          <w:rFonts w:hint="eastAsia" w:ascii="楷体" w:hAnsi="楷体" w:eastAsia="楷体_GB2312" w:cs="仿宋_GB2312"/>
          <w:color w:val="000000" w:themeColor="text1"/>
          <w:sz w:val="32"/>
          <w:szCs w:val="32"/>
          <w14:textFill>
            <w14:solidFill>
              <w14:schemeClr w14:val="tx1"/>
            </w14:solidFill>
          </w14:textFill>
        </w:rPr>
        <w:t>（牵头单位：区教育和体育局、区人力资源和社会保障局，责任单位：区农业农村局、区科协、区总工会、区妇联</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rPr>
          <w:rFonts w:ascii="楷体" w:hAnsi="楷体" w:eastAsia="楷体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（12）提高妇女／性别研究水平，鼓励高等学校逐步普及社会性别知识。（</w:t>
      </w:r>
      <w:r>
        <w:rPr>
          <w:rFonts w:hint="eastAsia" w:ascii="楷体" w:hAnsi="楷体" w:eastAsia="楷体_GB2312" w:cs="仿宋_GB2312"/>
          <w:color w:val="000000" w:themeColor="text1"/>
          <w:sz w:val="32"/>
          <w:szCs w:val="32"/>
          <w14:textFill>
            <w14:solidFill>
              <w14:schemeClr w14:val="tx1"/>
            </w14:solidFill>
          </w14:textFill>
        </w:rPr>
        <w:t>牵头单位：大学园区管理服务中心，责任单位：区妇联）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2.策略措施。</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（1）面向妇女广泛开展思想政治教育。深入</w:t>
      </w:r>
      <w:r>
        <w:rPr>
          <w:rFonts w:ascii="仿宋_GB2312" w:hAnsi="仿宋_GB2312" w:eastAsia="仿宋_GB2312" w:cs="仿宋_GB2312"/>
          <w:color w:val="000000" w:themeColor="text1"/>
          <w:sz w:val="32"/>
          <w:szCs w:val="32"/>
          <w14:textFill>
            <w14:solidFill>
              <w14:schemeClr w14:val="tx1"/>
            </w14:solidFill>
          </w14:textFill>
        </w:rPr>
        <w:t>开展</w:t>
      </w:r>
      <w:r>
        <w:rPr>
          <w:rFonts w:hint="eastAsia" w:ascii="仿宋_GB2312" w:hAnsi="仿宋_GB2312" w:eastAsia="仿宋_GB2312" w:cs="仿宋_GB2312"/>
          <w:color w:val="000000" w:themeColor="text1"/>
          <w:sz w:val="32"/>
          <w:szCs w:val="32"/>
          <w14:textFill>
            <w14:solidFill>
              <w14:schemeClr w14:val="tx1"/>
            </w14:solidFill>
          </w14:textFill>
        </w:rPr>
        <w:t>学习贯彻习近平新时代中国特色社会主义思想主题教育，加强党史、新中国史、改革开放史、社会主义发展史教育，以及爱国主义、集体主义、社会主义教育，促进妇女更加坚定理想信念，不断厚植爱国情怀，铸牢中华民族共同体意识，把个人理想追求融入党和国家事业大局，为全面建设社会主义现代化国家贡献力量。充分发挥学校教育主渠道作用，将思想价值引领贯穿于教育教学及其管理全过程和校园生活各方面，融入学校党组织、共青团、少先队各类主题教育和实践活动。充分发挥爱国主义教育基地和国防教育基地的思想政治教育作用。</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将贯彻落实男女平等基本国策体现在教育工作全过程。增强教育工作者自觉贯彻男女平等基本国策的主动性和能动性。将男女平等基本国策落实到教育法规政策和规划制定、修订、执行和评估中，落实到各级各类教育内容、教学过程、学校管理中。抓好性别平等教育评估工作，注重吸收社会性别专家参与。在师范类院校课程设置和教学、各级各类师资培训中加入性别平等内容。</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（3）推动各级各类学校广泛开展性别平等教育。加强师资</w:t>
      </w:r>
      <w:r>
        <w:rPr>
          <w:rFonts w:ascii="仿宋_GB2312" w:hAnsi="仿宋_GB2312" w:eastAsia="仿宋_GB2312" w:cs="仿宋_GB2312"/>
          <w:color w:val="000000" w:themeColor="text1"/>
          <w:sz w:val="32"/>
          <w:szCs w:val="32"/>
          <w14:textFill>
            <w14:solidFill>
              <w14:schemeClr w14:val="tx1"/>
            </w14:solidFill>
          </w14:textFill>
        </w:rPr>
        <w:t>培训，</w:t>
      </w:r>
      <w:r>
        <w:rPr>
          <w:rFonts w:hint="eastAsia" w:ascii="仿宋_GB2312" w:hAnsi="仿宋_GB2312" w:eastAsia="仿宋_GB2312" w:cs="仿宋_GB2312"/>
          <w:color w:val="000000" w:themeColor="text1"/>
          <w:sz w:val="32"/>
          <w:szCs w:val="32"/>
          <w14:textFill>
            <w14:solidFill>
              <w14:schemeClr w14:val="tx1"/>
            </w14:solidFill>
          </w14:textFill>
        </w:rPr>
        <w:t>研发</w:t>
      </w:r>
      <w:r>
        <w:rPr>
          <w:rFonts w:ascii="仿宋_GB2312" w:hAnsi="仿宋_GB2312" w:eastAsia="仿宋_GB2312" w:cs="仿宋_GB2312"/>
          <w:color w:val="000000" w:themeColor="text1"/>
          <w:sz w:val="32"/>
          <w:szCs w:val="32"/>
          <w14:textFill>
            <w14:solidFill>
              <w14:schemeClr w14:val="tx1"/>
            </w14:solidFill>
          </w14:textFill>
        </w:rPr>
        <w:t>性别平等课程。</w:t>
      </w:r>
      <w:r>
        <w:rPr>
          <w:rFonts w:hint="eastAsia" w:ascii="仿宋_GB2312" w:hAnsi="仿宋_GB2312" w:eastAsia="仿宋_GB2312" w:cs="仿宋_GB2312"/>
          <w:color w:val="000000" w:themeColor="text1"/>
          <w:sz w:val="32"/>
          <w:szCs w:val="32"/>
          <w14:textFill>
            <w14:solidFill>
              <w14:schemeClr w14:val="tx1"/>
            </w14:solidFill>
          </w14:textFill>
        </w:rPr>
        <w:t>促进性别平等教育融入学校教学内容、校园文化、社团活动和社会实践活动。探索构建学校教育、家庭教育、社会教育相结合的性别平等教育模式。</w:t>
      </w:r>
    </w:p>
    <w:p>
      <w:pPr>
        <w:suppressAutoHyphens w:val="0"/>
        <w:overflowPunct w:val="0"/>
        <w:spacing w:line="6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（4）保障女童平等接受学前教育。坚持学前教育普及普惠安全优质发展，普惠性幼儿园覆盖率达到88</w:t>
      </w:r>
      <w:r>
        <w:rPr>
          <w:rFonts w:ascii="仿宋_GB2312" w:hAnsi="仿宋_GB2312" w:eastAsia="仿宋_GB2312" w:cs="仿宋_GB2312"/>
          <w:color w:val="000000" w:themeColor="text1"/>
          <w:sz w:val="32"/>
          <w:szCs w:val="32"/>
          <w14:textFill>
            <w14:solidFill>
              <w14:schemeClr w14:val="tx1"/>
            </w14:solidFill>
          </w14:textFill>
        </w:rPr>
        <w:t>%以上</w:t>
      </w:r>
      <w:r>
        <w:rPr>
          <w:rFonts w:hint="eastAsia" w:ascii="仿宋_GB2312" w:hAnsi="仿宋_GB2312" w:eastAsia="仿宋_GB2312" w:cs="仿宋_GB2312"/>
          <w:color w:val="000000" w:themeColor="text1"/>
          <w:sz w:val="32"/>
          <w:szCs w:val="32"/>
          <w14:textFill>
            <w14:solidFill>
              <w14:schemeClr w14:val="tx1"/>
            </w14:solidFill>
          </w14:textFill>
        </w:rPr>
        <w:t>。为农村地区和困难群体女童、孤残女童、随迁女童和农村留守女童提供接受普惠性学前教育的条件和机会。</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保障女童平等接受义务教育的权利。深化教育教学改革，加快城乡义务教育一体化发展，均衡配置教育资源，确保女童平等接受公平优质的义务教育。健全精准控辍保学长效机制，加强分类指导，督促法定监护人保障适龄女童接受义务教育。切实保障困境女童、农村留守女童、随迁女童以及残疾女童的受教育权利和机会。采取有效措施，支持学业困难女童完成义务教育，提高女童义务教育巩固率。</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（6）提高女性接受普通高中教育的水平。稳步提高普通高中学位数量，保障女性特别是教育基础薄弱地区和农村低收入家庭女性平等接受普通高中教育的权利和机会。</w:t>
      </w:r>
      <w:r>
        <w:rPr>
          <w:rFonts w:hint="eastAsia" w:ascii="仿宋_GB2312" w:hAnsi="仿宋_GB2312" w:eastAsia="仿宋_GB2312" w:cs="仿宋_GB2312"/>
          <w:color w:val="000000" w:themeColor="text1"/>
          <w:kern w:val="0"/>
          <w:sz w:val="32"/>
          <w:szCs w:val="32"/>
          <w14:textFill>
            <w14:solidFill>
              <w14:schemeClr w14:val="tx1"/>
            </w14:solidFill>
          </w14:textFill>
        </w:rPr>
        <w:t>普通高中全部建成特色高中，实现标准化、规范化基础上的多样化、特色化发展，</w:t>
      </w:r>
      <w:r>
        <w:rPr>
          <w:rFonts w:hint="eastAsia" w:ascii="仿宋_GB2312" w:hAnsi="仿宋_GB2312" w:eastAsia="仿宋_GB2312" w:cs="仿宋_GB2312"/>
          <w:color w:val="000000" w:themeColor="text1"/>
          <w:sz w:val="32"/>
          <w:szCs w:val="32"/>
          <w14:textFill>
            <w14:solidFill>
              <w14:schemeClr w14:val="tx1"/>
            </w14:solidFill>
          </w14:textFill>
        </w:rPr>
        <w:t>满足女性全面发展和个性化发展需求。有针对性地开展学科选择和职业生涯规划指导，提高女性自主选择能力，破除性别因素对女性学业和职业发展的影响。</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7）促进女性接受高质量职业教育。现代职业教育体系更加完善，五年一贯制职业教育规模不断扩大。职业教育适应性明显增强，形成一批特色优势高水平专业群。优化专业设置，提供多种学习方式，支持女性获得职业技能等级证书，培养复合型技术技能女性人才和能工巧匠、章丘工匠、大国工匠。鼓励职业院校面向女高校毕业生、去产能分流女职工等重点人群开展就业创业和职业技能培训。</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8）保障女性平等接受高等教育的权利和机会。严格控制招生过程中的特殊专业范围，强化涉及性别歧视问题的监管，建立约谈、处罚机制。采取激励措施，提高女性在科学、技术、工程、数学等学科的比例。加强对</w:t>
      </w:r>
      <w:r>
        <w:rPr>
          <w:rFonts w:ascii="仿宋_GB2312" w:hAnsi="仿宋_GB2312" w:eastAsia="仿宋_GB2312" w:cs="仿宋_GB2312"/>
          <w:color w:val="000000" w:themeColor="text1"/>
          <w:kern w:val="0"/>
          <w:sz w:val="32"/>
          <w:szCs w:val="32"/>
          <w14:textFill>
            <w14:solidFill>
              <w14:schemeClr w14:val="tx1"/>
            </w14:solidFill>
          </w14:textFill>
        </w:rPr>
        <w:t>基础学科</w:t>
      </w:r>
      <w:r>
        <w:rPr>
          <w:rFonts w:hint="eastAsia" w:ascii="仿宋_GB2312" w:hAnsi="仿宋_GB2312" w:eastAsia="仿宋_GB2312" w:cs="仿宋_GB2312"/>
          <w:color w:val="000000" w:themeColor="text1"/>
          <w:kern w:val="0"/>
          <w:sz w:val="32"/>
          <w:szCs w:val="32"/>
          <w14:textFill>
            <w14:solidFill>
              <w14:schemeClr w14:val="tx1"/>
            </w14:solidFill>
          </w14:textFill>
        </w:rPr>
        <w:t>拔尖</w:t>
      </w:r>
      <w:r>
        <w:rPr>
          <w:rFonts w:ascii="仿宋_GB2312" w:hAnsi="仿宋_GB2312" w:eastAsia="仿宋_GB2312" w:cs="仿宋_GB2312"/>
          <w:color w:val="000000" w:themeColor="text1"/>
          <w:kern w:val="0"/>
          <w:sz w:val="32"/>
          <w:szCs w:val="32"/>
          <w14:textFill>
            <w14:solidFill>
              <w14:schemeClr w14:val="tx1"/>
            </w14:solidFill>
          </w14:textFill>
        </w:rPr>
        <w:t>女生的培养</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大力加强女性科技人才培养。探索建立多层次女性科技人才培养体系，培养具有国际竞争力的女性科技人才。关注培养义务教育阶段女生爱科学、学科学的兴趣和志向。引导高中阶段女生养成科学兴趣和钻研精神，支持有意愿的女生报考理工类院校。加大女性创新型、应用型人才培养力度，鼓励女大学生参与科研项目，在实践中培养科学精神和创新能力。引导女性从事科学和技术相关工作，增加女性科技人才参与继续教育和专业培训的机会。</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大力提高女性科学素质。开展女性科学素质提升专项行动，利用现代信息化手段，加大面向女性的科学知识教育、传播与普及力度。开展女科学家进校园活动，发挥优秀女科技人才的榜样引领作用。引导中小学女生参加各类科普活动，培养科学兴趣、创新精神和实践能力。鼓励女大学生积极参与项目设计、社会实践、创新创业、科技竞赛等活动。深入实施农村</w:t>
      </w:r>
      <w:r>
        <w:rPr>
          <w:rFonts w:ascii="仿宋_GB2312" w:hAnsi="仿宋_GB2312" w:eastAsia="仿宋_GB2312" w:cs="仿宋_GB2312"/>
          <w:color w:val="000000" w:themeColor="text1"/>
          <w:sz w:val="32"/>
          <w:szCs w:val="32"/>
          <w14:textFill>
            <w14:solidFill>
              <w14:schemeClr w14:val="tx1"/>
            </w14:solidFill>
          </w14:textFill>
        </w:rPr>
        <w:t>妇女素质提升计划</w:t>
      </w:r>
      <w:r>
        <w:rPr>
          <w:rFonts w:hint="eastAsia" w:ascii="仿宋_GB2312" w:hAnsi="仿宋_GB2312" w:eastAsia="仿宋_GB2312" w:cs="仿宋_GB2312"/>
          <w:color w:val="000000" w:themeColor="text1"/>
          <w:sz w:val="32"/>
          <w:szCs w:val="32"/>
          <w14:textFill>
            <w14:solidFill>
              <w14:schemeClr w14:val="tx1"/>
            </w14:solidFill>
          </w14:textFill>
        </w:rPr>
        <w:t>，支持农村妇女参与农业农村现代化建设。</w:t>
      </w:r>
    </w:p>
    <w:p>
      <w:pPr>
        <w:suppressAutoHyphens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（11）持续巩固女性青壮年扫盲成果。完善扫盲工作机制，消除女童辍学现象，杜绝产生女性青壮年新文盲。深化扫盲后的继续教育。提高妇女平均受教育年限。</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（12）为女性终身学习提供支持。</w:t>
      </w:r>
      <w:r>
        <w:rPr>
          <w:rFonts w:hint="eastAsia" w:ascii="仿宋_GB2312" w:hAnsi="仿宋_GB2312" w:eastAsia="仿宋_GB2312" w:cs="仿宋_GB2312"/>
          <w:bCs/>
          <w:snapToGrid w:val="0"/>
          <w:color w:val="000000" w:themeColor="text1"/>
          <w:sz w:val="32"/>
          <w:szCs w:val="32"/>
          <w14:textFill>
            <w14:solidFill>
              <w14:schemeClr w14:val="tx1"/>
            </w14:solidFill>
          </w14:textFill>
        </w:rPr>
        <w:t>建立</w:t>
      </w:r>
      <w:r>
        <w:rPr>
          <w:rFonts w:hint="eastAsia" w:ascii="仿宋_GB2312" w:hAnsi="仿宋_GB2312" w:eastAsia="仿宋_GB2312" w:cs="仿宋_GB2312"/>
          <w:color w:val="000000" w:themeColor="text1"/>
          <w:sz w:val="32"/>
          <w:szCs w:val="32"/>
          <w14:textFill>
            <w14:solidFill>
              <w14:schemeClr w14:val="tx1"/>
            </w14:solidFill>
          </w14:textFill>
        </w:rPr>
        <w:t>完善更加开放灵活的终身学习体系，完善注册</w:t>
      </w:r>
      <w:r>
        <w:rPr>
          <w:rFonts w:ascii="仿宋_GB2312" w:hAnsi="仿宋_GB2312" w:eastAsia="仿宋_GB2312" w:cs="仿宋_GB2312"/>
          <w:color w:val="000000" w:themeColor="text1"/>
          <w:sz w:val="32"/>
          <w:szCs w:val="32"/>
          <w14:textFill>
            <w14:solidFill>
              <w14:schemeClr w14:val="tx1"/>
            </w14:solidFill>
          </w14:textFill>
        </w:rPr>
        <w:t>学习、</w:t>
      </w:r>
      <w:r>
        <w:rPr>
          <w:rFonts w:hint="eastAsia" w:ascii="仿宋_GB2312" w:hAnsi="仿宋_GB2312" w:eastAsia="仿宋_GB2312" w:cs="仿宋_GB2312"/>
          <w:color w:val="000000" w:themeColor="text1"/>
          <w:sz w:val="32"/>
          <w:szCs w:val="32"/>
          <w14:textFill>
            <w14:solidFill>
              <w14:schemeClr w14:val="tx1"/>
            </w14:solidFill>
          </w14:textFill>
        </w:rPr>
        <w:t>弹性学习及继续教育制度，拓宽学历教育渠道，满足女性多样化学习需求，关注因生育中断学业和职业女性的发展需求。扩大教育资源供给，为女性提供便捷的社区和在线教育资源，为进城务工女性、女性新市民、待业女性等提供有针对性的职业技能培训。</w:t>
      </w:r>
    </w:p>
    <w:p>
      <w:pPr>
        <w:suppressAutoHyphens w:val="0"/>
        <w:overflowPunct w:val="0"/>
        <w:adjustRightInd w:val="0"/>
        <w:snapToGrid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（13）加强妇女／性别研究和人</w:t>
      </w:r>
      <w:r>
        <w:rPr>
          <w:rFonts w:ascii="仿宋_GB2312" w:hAnsi="仿宋_GB2312" w:eastAsia="仿宋_GB2312" w:cs="仿宋_GB2312"/>
          <w:color w:val="000000" w:themeColor="text1"/>
          <w:kern w:val="0"/>
          <w:sz w:val="32"/>
          <w:szCs w:val="32"/>
          <w14:textFill>
            <w14:solidFill>
              <w14:schemeClr w14:val="tx1"/>
            </w14:solidFill>
          </w14:textFill>
        </w:rPr>
        <w:t>才培养。</w:t>
      </w:r>
      <w:r>
        <w:rPr>
          <w:rFonts w:hint="eastAsia" w:ascii="仿宋_GB2312" w:hAnsi="仿宋_GB2312" w:eastAsia="仿宋_GB2312" w:cs="仿宋_GB2312"/>
          <w:color w:val="000000" w:themeColor="text1"/>
          <w:kern w:val="0"/>
          <w:sz w:val="32"/>
          <w:szCs w:val="32"/>
          <w14:textFill>
            <w14:solidFill>
              <w14:schemeClr w14:val="tx1"/>
            </w14:solidFill>
          </w14:textFill>
        </w:rPr>
        <w:t>推动有条件的高等院校开设妇女研究及性别平等相关课程。培养具有跨学科知识基础和性别平等意识的专业人才。加大对妇女／社会性别理论研究的支持力度，在区社会科学规划研究基金和软科学研究计划中增加妇女或性别研究相关选题</w:t>
      </w:r>
      <w:r>
        <w:rPr>
          <w:rFonts w:ascii="仿宋_GB2312" w:hAnsi="仿宋_GB2312" w:eastAsia="仿宋_GB2312" w:cs="仿宋_GB2312"/>
          <w:color w:val="000000" w:themeColor="text1"/>
          <w:kern w:val="0"/>
          <w:sz w:val="32"/>
          <w:szCs w:val="32"/>
          <w14:textFill>
            <w14:solidFill>
              <w14:schemeClr w14:val="tx1"/>
            </w14:solidFill>
          </w14:textFill>
        </w:rPr>
        <w:t>的立项比例</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uppressAutoHyphens w:val="0"/>
        <w:overflowPunct w:val="0"/>
        <w:spacing w:line="620" w:lineRule="exact"/>
        <w:ind w:firstLine="640" w:firstLineChars="200"/>
        <w:outlineLvl w:val="1"/>
        <w:rPr>
          <w:rFonts w:ascii="Times New Roman" w:hAnsi="Times New Roman" w:eastAsia="仿宋_GB2312"/>
          <w:color w:val="000000" w:themeColor="text1"/>
          <w:sz w:val="32"/>
          <w:szCs w:val="32"/>
          <w14:textFill>
            <w14:solidFill>
              <w14:schemeClr w14:val="tx1"/>
            </w14:solidFill>
          </w14:textFill>
        </w:rPr>
      </w:pPr>
      <w:bookmarkStart w:id="15" w:name="_Toc2024180951"/>
      <w:r>
        <w:rPr>
          <w:rFonts w:ascii="Times New Roman" w:hAnsi="楷体" w:eastAsia="楷体_GB2312"/>
          <w:color w:val="000000" w:themeColor="text1"/>
          <w:sz w:val="32"/>
          <w:szCs w:val="32"/>
          <w14:textFill>
            <w14:solidFill>
              <w14:schemeClr w14:val="tx1"/>
            </w14:solidFill>
          </w14:textFill>
        </w:rPr>
        <w:t>（三）妇女与经济</w:t>
      </w:r>
      <w:bookmarkEnd w:id="15"/>
      <w:r>
        <w:rPr>
          <w:rFonts w:hint="eastAsia" w:ascii="Times New Roman" w:hAnsi="楷体" w:eastAsia="楷体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1.主要目标。</w:t>
      </w:r>
    </w:p>
    <w:p>
      <w:pPr>
        <w:suppressAutoHyphens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（1）鼓励支持妇女为推动经济高质量发展贡献力量，妇女平等参与经济发展的权利和机会得到保障。</w:t>
      </w:r>
      <w:r>
        <w:rPr>
          <w:rFonts w:hint="eastAsia" w:ascii="楷体" w:hAnsi="楷体" w:eastAsia="楷体_GB2312" w:cs="仿宋_GB2312"/>
          <w:color w:val="000000" w:themeColor="text1"/>
          <w:sz w:val="32"/>
          <w:szCs w:val="32"/>
          <w14:textFill>
            <w14:solidFill>
              <w14:schemeClr w14:val="tx1"/>
            </w14:solidFill>
          </w14:textFill>
        </w:rPr>
        <w:t>（牵头单位：区妇联，责任单位：区发展和改革局、区司法局、区人力资源和社会保障局、区农业农村局、区总工会）</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（2）促进平等就业，消除就业性别歧视。就业人员中的女性比例保持在45%左右。</w:t>
      </w:r>
      <w:r>
        <w:rPr>
          <w:rFonts w:hint="eastAsia" w:ascii="楷体" w:hAnsi="楷体" w:eastAsia="楷体_GB2312" w:cs="仿宋_GB2312"/>
          <w:color w:val="000000" w:themeColor="text1"/>
          <w:sz w:val="32"/>
          <w:szCs w:val="32"/>
          <w14:textFill>
            <w14:solidFill>
              <w14:schemeClr w14:val="tx1"/>
            </w14:solidFill>
          </w14:textFill>
        </w:rPr>
        <w:t>（牵头单位：区人力资源和社会保障局，责任单位：区委组织部、区妇联、区总工会、区教育和体育局、团区委）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（3）优化妇女就业结构。城镇单位从业人员中的女性比例达到40%左右。</w:t>
      </w:r>
      <w:r>
        <w:rPr>
          <w:rFonts w:hint="eastAsia" w:ascii="楷体" w:hAnsi="楷体" w:eastAsia="楷体_GB2312" w:cs="仿宋_GB2312"/>
          <w:color w:val="000000" w:themeColor="text1"/>
          <w:sz w:val="32"/>
          <w:szCs w:val="32"/>
          <w14:textFill>
            <w14:solidFill>
              <w14:schemeClr w14:val="tx1"/>
            </w14:solidFill>
          </w14:textFill>
        </w:rPr>
        <w:t>（牵头单位：区人力资源和社会保障局，责任单位：区教育和体育局、区妇联、区总工会、团区委）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（4）保障妇女获得公平的劳动报酬，</w:t>
      </w:r>
      <w:r>
        <w:rPr>
          <w:rFonts w:ascii="仿宋_GB2312" w:hAnsi="仿宋_GB2312" w:eastAsia="仿宋_GB2312" w:cs="仿宋_GB2312"/>
          <w:color w:val="000000" w:themeColor="text1"/>
          <w:sz w:val="32"/>
          <w:szCs w:val="32"/>
          <w14:textFill>
            <w14:solidFill>
              <w14:schemeClr w14:val="tx1"/>
            </w14:solidFill>
          </w14:textFill>
        </w:rPr>
        <w:t>男女收入差距明显</w:t>
      </w:r>
      <w:r>
        <w:rPr>
          <w:rFonts w:hint="eastAsia" w:ascii="仿宋_GB2312" w:hAnsi="仿宋_GB2312" w:eastAsia="仿宋_GB2312" w:cs="仿宋_GB2312"/>
          <w:color w:val="000000" w:themeColor="text1"/>
          <w:sz w:val="32"/>
          <w:szCs w:val="32"/>
          <w14:textFill>
            <w14:solidFill>
              <w14:schemeClr w14:val="tx1"/>
            </w14:solidFill>
          </w14:textFill>
        </w:rPr>
        <w:t>缩小。</w:t>
      </w:r>
      <w:r>
        <w:rPr>
          <w:rFonts w:hint="eastAsia" w:ascii="楷体" w:hAnsi="楷体" w:eastAsia="楷体_GB2312" w:cs="仿宋_GB2312"/>
          <w:color w:val="000000" w:themeColor="text1"/>
          <w:sz w:val="32"/>
          <w:szCs w:val="32"/>
          <w14:textFill>
            <w14:solidFill>
              <w14:schemeClr w14:val="tx1"/>
            </w14:solidFill>
          </w14:textFill>
        </w:rPr>
        <w:t>（牵头单位：区人力资源和社会保障局，责任单位：区财政局、区总工会、区农业农村局、团区委、区妇联）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（5）促进女性人才发展。倡导</w:t>
      </w:r>
      <w:r>
        <w:rPr>
          <w:rFonts w:ascii="仿宋_GB2312" w:hAnsi="仿宋_GB2312" w:eastAsia="仿宋_GB2312" w:cs="仿宋_GB2312"/>
          <w:color w:val="000000" w:themeColor="text1"/>
          <w:sz w:val="32"/>
          <w:szCs w:val="32"/>
          <w14:textFill>
            <w14:solidFill>
              <w14:schemeClr w14:val="tx1"/>
            </w14:solidFill>
          </w14:textFill>
        </w:rPr>
        <w:t>实现</w:t>
      </w:r>
      <w:r>
        <w:rPr>
          <w:rFonts w:hint="eastAsia" w:ascii="仿宋_GB2312" w:hAnsi="仿宋_GB2312" w:eastAsia="仿宋_GB2312" w:cs="仿宋_GB2312"/>
          <w:color w:val="000000" w:themeColor="text1"/>
          <w:sz w:val="32"/>
          <w:szCs w:val="32"/>
          <w14:textFill>
            <w14:solidFill>
              <w14:schemeClr w14:val="tx1"/>
            </w14:solidFill>
          </w14:textFill>
        </w:rPr>
        <w:t>高级专业技术人员中的女性比例达到40%左右。高技能人才中的女性比例逐步提高。</w:t>
      </w:r>
      <w:r>
        <w:rPr>
          <w:rFonts w:hint="eastAsia" w:ascii="楷体" w:hAnsi="楷体" w:eastAsia="楷体_GB2312" w:cs="仿宋_GB2312"/>
          <w:color w:val="000000" w:themeColor="text1"/>
          <w:sz w:val="32"/>
          <w:szCs w:val="32"/>
          <w14:textFill>
            <w14:solidFill>
              <w14:schemeClr w14:val="tx1"/>
            </w14:solidFill>
          </w14:textFill>
        </w:rPr>
        <w:t>（牵头单位：区人力资源和社会保障局、区</w:t>
      </w:r>
      <w:r>
        <w:rPr>
          <w:rFonts w:ascii="楷体" w:hAnsi="楷体" w:eastAsia="楷体_GB2312" w:cs="仿宋_GB2312"/>
          <w:color w:val="000000" w:themeColor="text1"/>
          <w:sz w:val="32"/>
          <w:szCs w:val="32"/>
          <w14:textFill>
            <w14:solidFill>
              <w14:schemeClr w14:val="tx1"/>
            </w14:solidFill>
          </w14:textFill>
        </w:rPr>
        <w:t>妇联</w:t>
      </w:r>
      <w:r>
        <w:rPr>
          <w:rFonts w:hint="eastAsia" w:ascii="楷体" w:hAnsi="楷体" w:eastAsia="楷体_GB2312" w:cs="仿宋_GB2312"/>
          <w:color w:val="000000" w:themeColor="text1"/>
          <w:sz w:val="32"/>
          <w:szCs w:val="32"/>
          <w14:textFill>
            <w14:solidFill>
              <w14:schemeClr w14:val="tx1"/>
            </w14:solidFill>
          </w14:textFill>
        </w:rPr>
        <w:t>，责任单位：有关</w:t>
      </w:r>
      <w:r>
        <w:rPr>
          <w:rFonts w:ascii="楷体" w:hAnsi="楷体" w:eastAsia="楷体_GB2312" w:cs="仿宋_GB2312"/>
          <w:color w:val="000000" w:themeColor="text1"/>
          <w:sz w:val="32"/>
          <w:szCs w:val="32"/>
          <w14:textFill>
            <w14:solidFill>
              <w14:schemeClr w14:val="tx1"/>
            </w14:solidFill>
          </w14:textFill>
        </w:rPr>
        <w:t>行业主管部门</w:t>
      </w:r>
      <w:r>
        <w:rPr>
          <w:rFonts w:hint="eastAsia" w:ascii="楷体" w:hAnsi="楷体" w:eastAsia="楷体_GB2312" w:cs="仿宋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（6）保障女性从业人员劳动安全和</w:t>
      </w:r>
      <w:r>
        <w:rPr>
          <w:rFonts w:ascii="仿宋_GB2312" w:hAnsi="仿宋_GB2312" w:eastAsia="仿宋_GB2312" w:cs="仿宋_GB2312"/>
          <w:color w:val="000000" w:themeColor="text1"/>
          <w:sz w:val="32"/>
          <w:szCs w:val="32"/>
          <w14:textFill>
            <w14:solidFill>
              <w14:schemeClr w14:val="tx1"/>
            </w14:solidFill>
          </w14:textFill>
        </w:rPr>
        <w:t>健康</w:t>
      </w:r>
      <w:r>
        <w:rPr>
          <w:rFonts w:hint="eastAsia" w:ascii="仿宋_GB2312" w:hAnsi="仿宋_GB2312" w:eastAsia="仿宋_GB2312" w:cs="仿宋_GB2312"/>
          <w:color w:val="000000" w:themeColor="text1"/>
          <w:sz w:val="32"/>
          <w:szCs w:val="32"/>
          <w14:textFill>
            <w14:solidFill>
              <w14:schemeClr w14:val="tx1"/>
            </w14:solidFill>
          </w14:textFill>
        </w:rPr>
        <w:t>。女职工职业病发病率明显降低。</w:t>
      </w:r>
      <w:r>
        <w:rPr>
          <w:rFonts w:hint="eastAsia" w:ascii="楷体" w:hAnsi="楷体" w:eastAsia="楷体_GB2312" w:cs="仿宋_GB2312"/>
          <w:color w:val="000000" w:themeColor="text1"/>
          <w:sz w:val="32"/>
          <w:szCs w:val="32"/>
          <w14:textFill>
            <w14:solidFill>
              <w14:schemeClr w14:val="tx1"/>
            </w14:solidFill>
          </w14:textFill>
        </w:rPr>
        <w:t>（牵头单位：区应急管理局，责任单位：区卫生健康局、区总工会、区人力资源和社会保障局）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（7）建立工会女</w:t>
      </w:r>
      <w:r>
        <w:rPr>
          <w:rFonts w:ascii="仿宋_GB2312" w:hAnsi="仿宋_GB2312" w:eastAsia="仿宋_GB2312" w:cs="仿宋_GB2312"/>
          <w:color w:val="000000" w:themeColor="text1"/>
          <w:sz w:val="32"/>
          <w:szCs w:val="32"/>
          <w14:textFill>
            <w14:solidFill>
              <w14:schemeClr w14:val="tx1"/>
            </w14:solidFill>
          </w14:textFill>
        </w:rPr>
        <w:t>职工委员会</w:t>
      </w:r>
      <w:r>
        <w:rPr>
          <w:rFonts w:hint="eastAsia" w:ascii="仿宋_GB2312" w:hAnsi="仿宋_GB2312" w:eastAsia="仿宋_GB2312" w:cs="仿宋_GB2312"/>
          <w:color w:val="000000" w:themeColor="text1"/>
          <w:sz w:val="32"/>
          <w:szCs w:val="32"/>
          <w14:textFill>
            <w14:solidFill>
              <w14:schemeClr w14:val="tx1"/>
            </w14:solidFill>
          </w14:textFill>
        </w:rPr>
        <w:t>的企业应签订女职工权益保护专项集体合同。</w:t>
      </w:r>
      <w:r>
        <w:rPr>
          <w:rFonts w:hint="eastAsia" w:ascii="楷体" w:hAnsi="楷体" w:eastAsia="楷体_GB2312" w:cs="仿宋_GB2312"/>
          <w:color w:val="000000" w:themeColor="text1"/>
          <w:sz w:val="32"/>
          <w:szCs w:val="32"/>
          <w14:textFill>
            <w14:solidFill>
              <w14:schemeClr w14:val="tx1"/>
            </w14:solidFill>
          </w14:textFill>
        </w:rPr>
        <w:t>（牵头单位：区总工会）</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（8）保障农村妇女平等享有土地承包经营权、宅基地使用权等权益，平等享有农村集体经济组织收益分配、土地征收或征用安置补偿权益。</w:t>
      </w:r>
      <w:r>
        <w:rPr>
          <w:rFonts w:hint="eastAsia" w:ascii="楷体" w:hAnsi="楷体" w:eastAsia="楷体_GB2312" w:cs="仿宋_GB2312"/>
          <w:color w:val="000000" w:themeColor="text1"/>
          <w:sz w:val="32"/>
          <w:szCs w:val="32"/>
          <w14:textFill>
            <w14:solidFill>
              <w14:schemeClr w14:val="tx1"/>
            </w14:solidFill>
          </w14:textFill>
        </w:rPr>
        <w:t>（牵头单位：区农业农村局，责任单位：区民政局、区妇联、区自然资源局、区城市规划建设服务中心）</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（9）增强低收入妇女群体的可持续发展能力。</w:t>
      </w:r>
      <w:r>
        <w:rPr>
          <w:rFonts w:hint="eastAsia" w:ascii="楷体" w:hAnsi="楷体" w:eastAsia="楷体_GB2312" w:cs="仿宋_GB2312"/>
          <w:color w:val="000000" w:themeColor="text1"/>
          <w:sz w:val="32"/>
          <w:szCs w:val="32"/>
          <w14:textFill>
            <w14:solidFill>
              <w14:schemeClr w14:val="tx1"/>
            </w14:solidFill>
          </w14:textFill>
        </w:rPr>
        <w:t>（牵头单位：区农业农村局、区人力资源和社会保障局、区民政局，责任单位：区财政局、区妇联、区科协、区残联）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（10）充分发挥妇女在实施乡村振兴战略中的作用。</w:t>
      </w:r>
      <w:r>
        <w:rPr>
          <w:rFonts w:hint="eastAsia" w:ascii="楷体" w:hAnsi="楷体" w:eastAsia="楷体_GB2312" w:cs="仿宋_GB2312"/>
          <w:color w:val="000000" w:themeColor="text1"/>
          <w:sz w:val="32"/>
          <w:szCs w:val="32"/>
          <w14:textFill>
            <w14:solidFill>
              <w14:schemeClr w14:val="tx1"/>
            </w14:solidFill>
          </w14:textFill>
        </w:rPr>
        <w:t>（牵头单位：区乡村振兴局，责任单位：区妇联、区科协、区民政局、区文化和旅游局）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2.策略措施。</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（1）加大妇女平等参与经济发展的保障力度。落实保障妇女平等获得经济资源、参与经济建设、享有经济发展成果的法律法规政策。创新制度机制，保障</w:t>
      </w:r>
      <w:r>
        <w:rPr>
          <w:rFonts w:ascii="仿宋_GB2312" w:hAnsi="仿宋_GB2312" w:eastAsia="仿宋_GB2312" w:cs="仿宋_GB2312"/>
          <w:color w:val="000000" w:themeColor="text1"/>
          <w:kern w:val="0"/>
          <w:sz w:val="32"/>
          <w:szCs w:val="32"/>
          <w14:textFill>
            <w14:solidFill>
              <w14:schemeClr w14:val="tx1"/>
            </w14:solidFill>
          </w14:textFill>
        </w:rPr>
        <w:t>妇女在就业创业、职业发展、劳动报酬、职业健康与安全、职业退出、土地等方面的权益，保障新</w:t>
      </w:r>
      <w:r>
        <w:rPr>
          <w:rFonts w:hint="eastAsia" w:ascii="仿宋_GB2312" w:hAnsi="仿宋_GB2312" w:eastAsia="仿宋_GB2312" w:cs="仿宋_GB2312"/>
          <w:color w:val="000000" w:themeColor="text1"/>
          <w:kern w:val="0"/>
          <w:sz w:val="32"/>
          <w:szCs w:val="32"/>
          <w14:textFill>
            <w14:solidFill>
              <w14:schemeClr w14:val="tx1"/>
            </w14:solidFill>
          </w14:textFill>
        </w:rPr>
        <w:t>业</w:t>
      </w:r>
      <w:r>
        <w:rPr>
          <w:rFonts w:ascii="仿宋_GB2312" w:hAnsi="仿宋_GB2312" w:eastAsia="仿宋_GB2312" w:cs="仿宋_GB2312"/>
          <w:color w:val="000000" w:themeColor="text1"/>
          <w:kern w:val="0"/>
          <w:sz w:val="32"/>
          <w:szCs w:val="32"/>
          <w14:textFill>
            <w14:solidFill>
              <w14:schemeClr w14:val="tx1"/>
            </w14:solidFill>
          </w14:textFill>
        </w:rPr>
        <w:t>态从</w:t>
      </w:r>
      <w:r>
        <w:rPr>
          <w:rFonts w:hint="eastAsia" w:ascii="仿宋_GB2312" w:hAnsi="仿宋_GB2312" w:eastAsia="仿宋_GB2312" w:cs="仿宋_GB2312"/>
          <w:color w:val="000000" w:themeColor="text1"/>
          <w:kern w:val="0"/>
          <w:sz w:val="32"/>
          <w:szCs w:val="32"/>
          <w14:textFill>
            <w14:solidFill>
              <w14:schemeClr w14:val="tx1"/>
            </w14:solidFill>
          </w14:textFill>
        </w:rPr>
        <w:t>业</w:t>
      </w:r>
      <w:r>
        <w:rPr>
          <w:rFonts w:ascii="仿宋_GB2312" w:hAnsi="仿宋_GB2312" w:eastAsia="仿宋_GB2312" w:cs="仿宋_GB2312"/>
          <w:color w:val="000000" w:themeColor="text1"/>
          <w:kern w:val="0"/>
          <w:sz w:val="32"/>
          <w:szCs w:val="32"/>
          <w14:textFill>
            <w14:solidFill>
              <w14:schemeClr w14:val="tx1"/>
            </w14:solidFill>
          </w14:textFill>
        </w:rPr>
        <w:t>人员</w:t>
      </w:r>
      <w:r>
        <w:rPr>
          <w:rFonts w:hint="eastAsia" w:ascii="仿宋_GB2312" w:hAnsi="仿宋_GB2312" w:eastAsia="仿宋_GB2312" w:cs="仿宋_GB2312"/>
          <w:color w:val="000000" w:themeColor="text1"/>
          <w:kern w:val="0"/>
          <w:sz w:val="32"/>
          <w:szCs w:val="32"/>
          <w14:textFill>
            <w14:solidFill>
              <w14:schemeClr w14:val="tx1"/>
            </w14:solidFill>
          </w14:textFill>
        </w:rPr>
        <w:t>劳动</w:t>
      </w:r>
      <w:r>
        <w:rPr>
          <w:rFonts w:ascii="仿宋_GB2312" w:hAnsi="仿宋_GB2312" w:eastAsia="仿宋_GB2312" w:cs="仿宋_GB2312"/>
          <w:color w:val="000000" w:themeColor="text1"/>
          <w:kern w:val="0"/>
          <w:sz w:val="32"/>
          <w:szCs w:val="32"/>
          <w14:textFill>
            <w14:solidFill>
              <w14:schemeClr w14:val="tx1"/>
            </w14:solidFill>
          </w14:textFill>
        </w:rPr>
        <w:t>权益</w:t>
      </w:r>
      <w:r>
        <w:rPr>
          <w:rFonts w:hint="eastAsia" w:ascii="仿宋_GB2312" w:hAnsi="仿宋_GB2312" w:eastAsia="仿宋_GB2312" w:cs="仿宋_GB2312"/>
          <w:color w:val="000000" w:themeColor="text1"/>
          <w:kern w:val="0"/>
          <w:sz w:val="32"/>
          <w:szCs w:val="32"/>
          <w14:textFill>
            <w14:solidFill>
              <w14:schemeClr w14:val="tx1"/>
            </w14:solidFill>
          </w14:textFill>
        </w:rPr>
        <w:t>，为妇女充分参与经</w:t>
      </w:r>
      <w:r>
        <w:rPr>
          <w:rFonts w:ascii="仿宋_GB2312" w:hAnsi="仿宋_GB2312" w:eastAsia="仿宋_GB2312" w:cs="仿宋_GB2312"/>
          <w:color w:val="000000" w:themeColor="text1"/>
          <w:kern w:val="0"/>
          <w:sz w:val="32"/>
          <w:szCs w:val="32"/>
          <w14:textFill>
            <w14:solidFill>
              <w14:schemeClr w14:val="tx1"/>
            </w14:solidFill>
          </w14:textFill>
        </w:rPr>
        <w:t>济</w:t>
      </w:r>
      <w:r>
        <w:rPr>
          <w:rFonts w:hint="eastAsia" w:ascii="仿宋_GB2312" w:hAnsi="仿宋_GB2312" w:eastAsia="仿宋_GB2312" w:cs="仿宋_GB2312"/>
          <w:color w:val="000000" w:themeColor="text1"/>
          <w:kern w:val="0"/>
          <w:sz w:val="32"/>
          <w:szCs w:val="32"/>
          <w14:textFill>
            <w14:solidFill>
              <w14:schemeClr w14:val="tx1"/>
            </w14:solidFill>
          </w14:textFill>
        </w:rPr>
        <w:t>高质量发展创造有利条件。</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（2）加大</w:t>
      </w:r>
      <w:r>
        <w:rPr>
          <w:rFonts w:hint="eastAsia" w:ascii="仿宋_GB2312" w:hAnsi="仿宋_GB2312" w:eastAsia="仿宋_GB2312" w:cs="仿宋_GB2312"/>
          <w:color w:val="000000" w:themeColor="text1"/>
          <w:kern w:val="0"/>
          <w:sz w:val="32"/>
          <w:szCs w:val="32"/>
          <w14:textFill>
            <w14:solidFill>
              <w14:schemeClr w14:val="tx1"/>
            </w14:solidFill>
          </w14:textFill>
        </w:rPr>
        <w:t>消除就业性别歧视工作力度。全面落实消除就业性别歧视的法律法规政策，创造</w:t>
      </w:r>
      <w:r>
        <w:rPr>
          <w:rFonts w:ascii="仿宋_GB2312" w:hAnsi="仿宋_GB2312" w:eastAsia="仿宋_GB2312" w:cs="仿宋_GB2312"/>
          <w:color w:val="000000" w:themeColor="text1"/>
          <w:kern w:val="0"/>
          <w:sz w:val="32"/>
          <w:szCs w:val="32"/>
          <w14:textFill>
            <w14:solidFill>
              <w14:schemeClr w14:val="tx1"/>
            </w14:solidFill>
          </w14:textFill>
        </w:rPr>
        <w:t>性别平等的</w:t>
      </w:r>
      <w:r>
        <w:rPr>
          <w:rFonts w:hint="eastAsia" w:ascii="仿宋_GB2312" w:hAnsi="仿宋_GB2312" w:eastAsia="仿宋_GB2312" w:cs="仿宋_GB2312"/>
          <w:color w:val="000000" w:themeColor="text1"/>
          <w:kern w:val="0"/>
          <w:sz w:val="32"/>
          <w:szCs w:val="32"/>
          <w14:textFill>
            <w14:solidFill>
              <w14:schemeClr w14:val="tx1"/>
            </w14:solidFill>
          </w14:textFill>
        </w:rPr>
        <w:t>就业机制和市场环境。对招聘、录用环节涉嫌就业性别歧视的用人单位进行联合</w:t>
      </w:r>
      <w:r>
        <w:rPr>
          <w:rFonts w:ascii="仿宋_GB2312" w:hAnsi="仿宋_GB2312" w:eastAsia="仿宋_GB2312" w:cs="仿宋_GB2312"/>
          <w:color w:val="000000" w:themeColor="text1"/>
          <w:kern w:val="0"/>
          <w:sz w:val="32"/>
          <w:szCs w:val="32"/>
          <w14:textFill>
            <w14:solidFill>
              <w14:schemeClr w14:val="tx1"/>
            </w14:solidFill>
          </w14:textFill>
        </w:rPr>
        <w:t>约谈，</w:t>
      </w:r>
      <w:r>
        <w:rPr>
          <w:rFonts w:hint="eastAsia" w:ascii="仿宋_GB2312" w:hAnsi="仿宋_GB2312" w:eastAsia="仿宋_GB2312" w:cs="仿宋_GB2312"/>
          <w:color w:val="000000" w:themeColor="text1"/>
          <w:kern w:val="0"/>
          <w:sz w:val="32"/>
          <w:szCs w:val="32"/>
          <w14:textFill>
            <w14:solidFill>
              <w14:schemeClr w14:val="tx1"/>
            </w14:solidFill>
          </w14:textFill>
        </w:rPr>
        <w:t>依法惩处。督促用人单位加强就业性别歧视自查自纠。发挥劳动保障法律监督作用，对用人单位涉嫌就业性别歧视的，提出纠正意见，或建议</w:t>
      </w:r>
      <w:r>
        <w:rPr>
          <w:rFonts w:ascii="仿宋_GB2312" w:hAnsi="仿宋_GB2312" w:eastAsia="仿宋_GB2312" w:cs="仿宋_GB2312"/>
          <w:color w:val="000000" w:themeColor="text1"/>
          <w:kern w:val="0"/>
          <w:sz w:val="32"/>
          <w:szCs w:val="32"/>
          <w14:textFill>
            <w14:solidFill>
              <w14:schemeClr w14:val="tx1"/>
            </w14:solidFill>
          </w14:textFill>
        </w:rPr>
        <w:t>人力资源社会</w:t>
      </w:r>
      <w:r>
        <w:rPr>
          <w:rFonts w:hint="eastAsia" w:ascii="仿宋_GB2312" w:hAnsi="仿宋_GB2312" w:eastAsia="仿宋_GB2312" w:cs="仿宋_GB2312"/>
          <w:color w:val="000000" w:themeColor="text1"/>
          <w:kern w:val="0"/>
          <w:sz w:val="32"/>
          <w:szCs w:val="32"/>
          <w14:textFill>
            <w14:solidFill>
              <w14:schemeClr w14:val="tx1"/>
            </w14:solidFill>
          </w14:textFill>
        </w:rPr>
        <w:t>保障行政</w:t>
      </w:r>
      <w:r>
        <w:rPr>
          <w:rFonts w:ascii="仿宋_GB2312" w:hAnsi="仿宋_GB2312" w:eastAsia="仿宋_GB2312" w:cs="仿宋_GB2312"/>
          <w:color w:val="000000" w:themeColor="text1"/>
          <w:kern w:val="0"/>
          <w:sz w:val="32"/>
          <w:szCs w:val="32"/>
          <w14:textFill>
            <w14:solidFill>
              <w14:schemeClr w14:val="tx1"/>
            </w14:solidFill>
          </w14:textFill>
        </w:rPr>
        <w:t>部门</w:t>
      </w:r>
      <w:r>
        <w:rPr>
          <w:rFonts w:hint="eastAsia" w:ascii="仿宋_GB2312" w:hAnsi="仿宋_GB2312" w:eastAsia="仿宋_GB2312" w:cs="仿宋_GB2312"/>
          <w:color w:val="000000" w:themeColor="text1"/>
          <w:kern w:val="0"/>
          <w:sz w:val="32"/>
          <w:szCs w:val="32"/>
          <w14:textFill>
            <w14:solidFill>
              <w14:schemeClr w14:val="tx1"/>
            </w14:solidFill>
          </w14:textFill>
        </w:rPr>
        <w:t>提出</w:t>
      </w:r>
      <w:r>
        <w:rPr>
          <w:rFonts w:ascii="仿宋_GB2312" w:hAnsi="仿宋_GB2312" w:eastAsia="仿宋_GB2312" w:cs="仿宋_GB2312"/>
          <w:color w:val="000000" w:themeColor="text1"/>
          <w:kern w:val="0"/>
          <w:sz w:val="32"/>
          <w:szCs w:val="32"/>
          <w14:textFill>
            <w14:solidFill>
              <w14:schemeClr w14:val="tx1"/>
            </w14:solidFill>
          </w14:textFill>
        </w:rPr>
        <w:t>处理</w:t>
      </w:r>
      <w:r>
        <w:rPr>
          <w:rFonts w:hint="eastAsia" w:ascii="仿宋_GB2312" w:hAnsi="仿宋_GB2312" w:eastAsia="仿宋_GB2312" w:cs="仿宋_GB2312"/>
          <w:color w:val="000000" w:themeColor="text1"/>
          <w:kern w:val="0"/>
          <w:sz w:val="32"/>
          <w:szCs w:val="32"/>
          <w14:textFill>
            <w14:solidFill>
              <w14:schemeClr w14:val="tx1"/>
            </w14:solidFill>
          </w14:textFill>
        </w:rPr>
        <w:t>意见</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依法受理涉及就业性别歧视的诉讼。发挥行业协会、商会协调监督作用，提高行业自律意识。党政机关、国有企事业单位在招录（聘）人员、晋职晋级、评定专业技术职称等方面发挥男女平等的示范引领作用。</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促进妇女就业创业。</w:t>
      </w:r>
      <w:r>
        <w:rPr>
          <w:rFonts w:hint="eastAsia" w:ascii="仿宋_GB2312" w:hAnsi="仿宋_GB2312" w:eastAsia="仿宋_GB2312" w:cs="仿宋_GB2312"/>
          <w:color w:val="000000" w:themeColor="text1"/>
          <w:sz w:val="32"/>
          <w:szCs w:val="32"/>
          <w14:textFill>
            <w14:solidFill>
              <w14:schemeClr w14:val="tx1"/>
            </w14:solidFill>
          </w14:textFill>
        </w:rPr>
        <w:t>实施有利于妇女就业的产业政策，</w:t>
      </w:r>
      <w:r>
        <w:rPr>
          <w:rFonts w:hint="eastAsia" w:ascii="仿宋_GB2312" w:hAnsi="仿宋_GB2312" w:eastAsia="仿宋_GB2312" w:cs="仿宋_GB2312"/>
          <w:color w:val="000000" w:themeColor="text1"/>
          <w:kern w:val="0"/>
          <w:sz w:val="32"/>
          <w:szCs w:val="32"/>
          <w14:textFill>
            <w14:solidFill>
              <w14:schemeClr w14:val="tx1"/>
            </w14:solidFill>
          </w14:textFill>
        </w:rPr>
        <w:t>创造</w:t>
      </w:r>
      <w:r>
        <w:rPr>
          <w:rFonts w:ascii="仿宋_GB2312" w:hAnsi="仿宋_GB2312" w:eastAsia="仿宋_GB2312" w:cs="仿宋_GB2312"/>
          <w:color w:val="000000" w:themeColor="text1"/>
          <w:kern w:val="0"/>
          <w:sz w:val="32"/>
          <w:szCs w:val="32"/>
          <w14:textFill>
            <w14:solidFill>
              <w14:schemeClr w14:val="tx1"/>
            </w14:solidFill>
          </w14:textFill>
        </w:rPr>
        <w:t>更多</w:t>
      </w:r>
      <w:r>
        <w:rPr>
          <w:rFonts w:hint="eastAsia" w:ascii="仿宋_GB2312" w:hAnsi="仿宋_GB2312" w:eastAsia="仿宋_GB2312" w:cs="仿宋_GB2312"/>
          <w:color w:val="000000" w:themeColor="text1"/>
          <w:kern w:val="0"/>
          <w:sz w:val="32"/>
          <w:szCs w:val="32"/>
          <w14:textFill>
            <w14:solidFill>
              <w14:schemeClr w14:val="tx1"/>
            </w14:solidFill>
          </w14:textFill>
        </w:rPr>
        <w:t>妇</w:t>
      </w:r>
      <w:r>
        <w:rPr>
          <w:rFonts w:ascii="仿宋_GB2312" w:hAnsi="仿宋_GB2312" w:eastAsia="仿宋_GB2312" w:cs="仿宋_GB2312"/>
          <w:color w:val="000000" w:themeColor="text1"/>
          <w:kern w:val="0"/>
          <w:sz w:val="32"/>
          <w:szCs w:val="32"/>
          <w14:textFill>
            <w14:solidFill>
              <w14:schemeClr w14:val="tx1"/>
            </w14:solidFill>
          </w14:textFill>
        </w:rPr>
        <w:t>女就业机会</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健全</w:t>
      </w:r>
      <w:r>
        <w:rPr>
          <w:rFonts w:hint="eastAsia" w:ascii="仿宋_GB2312" w:hAnsi="仿宋_GB2312" w:eastAsia="仿宋_GB2312" w:cs="仿宋_GB2312"/>
          <w:color w:val="000000" w:themeColor="text1"/>
          <w:kern w:val="0"/>
          <w:sz w:val="32"/>
          <w:szCs w:val="32"/>
          <w14:textFill>
            <w14:solidFill>
              <w14:schemeClr w14:val="tx1"/>
            </w14:solidFill>
          </w14:textFill>
        </w:rPr>
        <w:t>多渠道</w:t>
      </w:r>
      <w:r>
        <w:rPr>
          <w:rFonts w:ascii="仿宋_GB2312" w:hAnsi="仿宋_GB2312" w:eastAsia="仿宋_GB2312" w:cs="仿宋_GB2312"/>
          <w:color w:val="000000" w:themeColor="text1"/>
          <w:kern w:val="0"/>
          <w:sz w:val="32"/>
          <w:szCs w:val="32"/>
          <w14:textFill>
            <w14:solidFill>
              <w14:schemeClr w14:val="tx1"/>
            </w14:solidFill>
          </w14:textFill>
        </w:rPr>
        <w:t>就业保障</w:t>
      </w:r>
      <w:r>
        <w:rPr>
          <w:rFonts w:hint="eastAsia" w:ascii="仿宋_GB2312" w:hAnsi="仿宋_GB2312" w:eastAsia="仿宋_GB2312" w:cs="仿宋_GB2312"/>
          <w:color w:val="000000" w:themeColor="text1"/>
          <w:kern w:val="0"/>
          <w:sz w:val="32"/>
          <w:szCs w:val="32"/>
          <w14:textFill>
            <w14:solidFill>
              <w14:schemeClr w14:val="tx1"/>
            </w14:solidFill>
          </w14:textFill>
        </w:rPr>
        <w:t>制度</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扩大妇女就业总量，提升妇女就业质量。深入</w:t>
      </w:r>
      <w:r>
        <w:rPr>
          <w:rFonts w:ascii="仿宋_GB2312" w:hAnsi="仿宋_GB2312" w:eastAsia="仿宋_GB2312" w:cs="仿宋_GB2312"/>
          <w:color w:val="000000" w:themeColor="text1"/>
          <w:sz w:val="32"/>
          <w:szCs w:val="32"/>
          <w14:textFill>
            <w14:solidFill>
              <w14:schemeClr w14:val="tx1"/>
            </w14:solidFill>
          </w14:textFill>
        </w:rPr>
        <w:t>开展</w:t>
      </w:r>
      <w:r>
        <w:rPr>
          <w:rFonts w:hint="eastAsia" w:ascii="仿宋_GB2312" w:hAnsi="仿宋_GB2312" w:eastAsia="仿宋_GB2312" w:cs="仿宋_GB2312"/>
          <w:color w:val="000000" w:themeColor="text1"/>
          <w:sz w:val="32"/>
          <w:szCs w:val="32"/>
          <w14:textFill>
            <w14:solidFill>
              <w14:schemeClr w14:val="tx1"/>
            </w14:solidFill>
          </w14:textFill>
        </w:rPr>
        <w:t>妇</w:t>
      </w:r>
      <w:r>
        <w:rPr>
          <w:rFonts w:ascii="仿宋_GB2312" w:hAnsi="仿宋_GB2312" w:eastAsia="仿宋_GB2312" w:cs="仿宋_GB2312"/>
          <w:color w:val="000000" w:themeColor="text1"/>
          <w:sz w:val="32"/>
          <w:szCs w:val="32"/>
          <w14:textFill>
            <w14:solidFill>
              <w14:schemeClr w14:val="tx1"/>
            </w14:solidFill>
          </w14:textFill>
        </w:rPr>
        <w:t>女就业促进行动</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搭建</w:t>
      </w:r>
      <w:r>
        <w:rPr>
          <w:rFonts w:ascii="仿宋_GB2312" w:hAnsi="仿宋_GB2312" w:eastAsia="仿宋_GB2312" w:cs="仿宋_GB2312"/>
          <w:color w:val="000000" w:themeColor="text1"/>
          <w:kern w:val="0"/>
          <w:sz w:val="32"/>
          <w:szCs w:val="32"/>
          <w14:textFill>
            <w14:solidFill>
              <w14:schemeClr w14:val="tx1"/>
            </w14:solidFill>
          </w14:textFill>
        </w:rPr>
        <w:t>精准就业</w:t>
      </w:r>
      <w:r>
        <w:rPr>
          <w:rFonts w:hint="eastAsia" w:ascii="仿宋_GB2312" w:hAnsi="仿宋_GB2312" w:eastAsia="仿宋_GB2312" w:cs="仿宋_GB2312"/>
          <w:color w:val="000000" w:themeColor="text1"/>
          <w:kern w:val="0"/>
          <w:sz w:val="32"/>
          <w:szCs w:val="32"/>
          <w14:textFill>
            <w14:solidFill>
              <w14:schemeClr w14:val="tx1"/>
            </w14:solidFill>
          </w14:textFill>
        </w:rPr>
        <w:t>供需</w:t>
      </w:r>
      <w:r>
        <w:rPr>
          <w:rFonts w:ascii="仿宋_GB2312" w:hAnsi="仿宋_GB2312" w:eastAsia="仿宋_GB2312" w:cs="仿宋_GB2312"/>
          <w:color w:val="000000" w:themeColor="text1"/>
          <w:kern w:val="0"/>
          <w:sz w:val="32"/>
          <w:szCs w:val="32"/>
          <w14:textFill>
            <w14:solidFill>
              <w14:schemeClr w14:val="tx1"/>
            </w14:solidFill>
          </w14:textFill>
        </w:rPr>
        <w:t>对接平台，</w:t>
      </w:r>
      <w:r>
        <w:rPr>
          <w:rFonts w:hint="eastAsia" w:ascii="仿宋_GB2312" w:hAnsi="仿宋_GB2312" w:eastAsia="仿宋_GB2312" w:cs="仿宋_GB2312"/>
          <w:color w:val="000000" w:themeColor="text1"/>
          <w:kern w:val="0"/>
          <w:sz w:val="32"/>
          <w:szCs w:val="32"/>
          <w14:textFill>
            <w14:solidFill>
              <w14:schemeClr w14:val="tx1"/>
            </w14:solidFill>
          </w14:textFill>
        </w:rPr>
        <w:t>健全</w:t>
      </w:r>
      <w:r>
        <w:rPr>
          <w:rFonts w:ascii="仿宋_GB2312" w:hAnsi="仿宋_GB2312" w:eastAsia="仿宋_GB2312" w:cs="仿宋_GB2312"/>
          <w:color w:val="000000" w:themeColor="text1"/>
          <w:kern w:val="0"/>
          <w:sz w:val="32"/>
          <w:szCs w:val="32"/>
          <w14:textFill>
            <w14:solidFill>
              <w14:schemeClr w14:val="tx1"/>
            </w14:solidFill>
          </w14:textFill>
        </w:rPr>
        <w:t>妇女人才资源统计</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市场预测、供求信息发布制度</w:t>
      </w:r>
      <w:r>
        <w:rPr>
          <w:rFonts w:hint="eastAsia" w:ascii="仿宋_GB2312" w:hAnsi="仿宋_GB2312" w:eastAsia="仿宋_GB2312" w:cs="仿宋_GB2312"/>
          <w:color w:val="000000" w:themeColor="text1"/>
          <w:kern w:val="0"/>
          <w:sz w:val="32"/>
          <w:szCs w:val="32"/>
          <w14:textFill>
            <w14:solidFill>
              <w14:schemeClr w14:val="tx1"/>
            </w14:solidFill>
          </w14:textFill>
        </w:rPr>
        <w:t>和妇</w:t>
      </w:r>
      <w:r>
        <w:rPr>
          <w:rFonts w:ascii="仿宋_GB2312" w:hAnsi="仿宋_GB2312" w:eastAsia="仿宋_GB2312" w:cs="仿宋_GB2312"/>
          <w:color w:val="000000" w:themeColor="text1"/>
          <w:kern w:val="0"/>
          <w:sz w:val="32"/>
          <w:szCs w:val="32"/>
          <w14:textFill>
            <w14:solidFill>
              <w14:schemeClr w14:val="tx1"/>
            </w14:solidFill>
          </w14:textFill>
        </w:rPr>
        <w:t>女</w:t>
      </w:r>
      <w:r>
        <w:rPr>
          <w:rFonts w:hint="eastAsia" w:ascii="仿宋_GB2312" w:hAnsi="仿宋_GB2312" w:eastAsia="仿宋_GB2312" w:cs="仿宋_GB2312"/>
          <w:color w:val="000000" w:themeColor="text1"/>
          <w:kern w:val="0"/>
          <w:sz w:val="32"/>
          <w:szCs w:val="32"/>
          <w14:textFill>
            <w14:solidFill>
              <w14:schemeClr w14:val="tx1"/>
            </w14:solidFill>
          </w14:textFill>
        </w:rPr>
        <w:t>终身</w:t>
      </w:r>
      <w:r>
        <w:rPr>
          <w:rFonts w:ascii="仿宋_GB2312" w:hAnsi="仿宋_GB2312" w:eastAsia="仿宋_GB2312" w:cs="仿宋_GB2312"/>
          <w:color w:val="000000" w:themeColor="text1"/>
          <w:kern w:val="0"/>
          <w:sz w:val="32"/>
          <w:szCs w:val="32"/>
          <w14:textFill>
            <w14:solidFill>
              <w14:schemeClr w14:val="tx1"/>
            </w14:solidFill>
          </w14:textFill>
        </w:rPr>
        <w:t>职业技能培训体系，</w:t>
      </w:r>
      <w:r>
        <w:rPr>
          <w:rFonts w:hint="eastAsia" w:ascii="仿宋_GB2312" w:hAnsi="仿宋_GB2312" w:eastAsia="仿宋_GB2312" w:cs="仿宋_GB2312"/>
          <w:color w:val="000000" w:themeColor="text1"/>
          <w:kern w:val="0"/>
          <w:sz w:val="32"/>
          <w:szCs w:val="32"/>
          <w14:textFill>
            <w14:solidFill>
              <w14:schemeClr w14:val="tx1"/>
            </w14:solidFill>
          </w14:textFill>
        </w:rPr>
        <w:t>提升妇</w:t>
      </w:r>
      <w:r>
        <w:rPr>
          <w:rFonts w:ascii="仿宋_GB2312" w:hAnsi="仿宋_GB2312" w:eastAsia="仿宋_GB2312" w:cs="仿宋_GB2312"/>
          <w:color w:val="000000" w:themeColor="text1"/>
          <w:kern w:val="0"/>
          <w:sz w:val="32"/>
          <w:szCs w:val="32"/>
          <w14:textFill>
            <w14:solidFill>
              <w14:schemeClr w14:val="tx1"/>
            </w14:solidFill>
          </w14:textFill>
        </w:rPr>
        <w:t>女</w:t>
      </w:r>
      <w:r>
        <w:rPr>
          <w:rFonts w:hint="eastAsia" w:ascii="仿宋_GB2312" w:hAnsi="仿宋_GB2312" w:eastAsia="仿宋_GB2312" w:cs="仿宋_GB2312"/>
          <w:color w:val="000000" w:themeColor="text1"/>
          <w:kern w:val="0"/>
          <w:sz w:val="32"/>
          <w:szCs w:val="32"/>
          <w14:textFill>
            <w14:solidFill>
              <w14:schemeClr w14:val="tx1"/>
            </w14:solidFill>
          </w14:textFill>
        </w:rPr>
        <w:t>素质</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抓好重点</w:t>
      </w:r>
      <w:r>
        <w:rPr>
          <w:rFonts w:ascii="仿宋_GB2312" w:hAnsi="仿宋_GB2312" w:eastAsia="仿宋_GB2312" w:cs="仿宋_GB2312"/>
          <w:color w:val="000000" w:themeColor="text1"/>
          <w:kern w:val="0"/>
          <w:sz w:val="32"/>
          <w:szCs w:val="32"/>
          <w14:textFill>
            <w14:solidFill>
              <w14:schemeClr w14:val="tx1"/>
            </w14:solidFill>
          </w14:textFill>
        </w:rPr>
        <w:t>群体</w:t>
      </w:r>
      <w:r>
        <w:rPr>
          <w:rFonts w:hint="eastAsia" w:ascii="仿宋_GB2312" w:hAnsi="仿宋_GB2312" w:eastAsia="仿宋_GB2312" w:cs="仿宋_GB2312"/>
          <w:color w:val="000000" w:themeColor="text1"/>
          <w:kern w:val="0"/>
          <w:sz w:val="32"/>
          <w:szCs w:val="32"/>
          <w14:textFill>
            <w14:solidFill>
              <w14:schemeClr w14:val="tx1"/>
            </w14:solidFill>
          </w14:textFill>
        </w:rPr>
        <w:t>妇</w:t>
      </w:r>
      <w:r>
        <w:rPr>
          <w:rFonts w:ascii="仿宋_GB2312" w:hAnsi="仿宋_GB2312" w:eastAsia="仿宋_GB2312" w:cs="仿宋_GB2312"/>
          <w:color w:val="000000" w:themeColor="text1"/>
          <w:kern w:val="0"/>
          <w:sz w:val="32"/>
          <w:szCs w:val="32"/>
          <w14:textFill>
            <w14:solidFill>
              <w14:schemeClr w14:val="tx1"/>
            </w14:solidFill>
          </w14:textFill>
        </w:rPr>
        <w:t>女就业。</w:t>
      </w:r>
      <w:r>
        <w:rPr>
          <w:rFonts w:hint="eastAsia" w:ascii="仿宋_GB2312" w:hAnsi="仿宋_GB2312" w:eastAsia="仿宋_GB2312" w:cs="仿宋_GB2312"/>
          <w:color w:val="000000" w:themeColor="text1"/>
          <w:kern w:val="0"/>
          <w:sz w:val="32"/>
          <w:szCs w:val="32"/>
          <w14:textFill>
            <w14:solidFill>
              <w14:schemeClr w14:val="tx1"/>
            </w14:solidFill>
          </w14:textFill>
        </w:rPr>
        <w:t>加强女</w:t>
      </w:r>
      <w:r>
        <w:rPr>
          <w:rFonts w:ascii="仿宋_GB2312" w:hAnsi="仿宋_GB2312" w:eastAsia="仿宋_GB2312" w:cs="仿宋_GB2312"/>
          <w:color w:val="000000" w:themeColor="text1"/>
          <w:kern w:val="0"/>
          <w:sz w:val="32"/>
          <w:szCs w:val="32"/>
          <w14:textFill>
            <w14:solidFill>
              <w14:schemeClr w14:val="tx1"/>
            </w14:solidFill>
          </w14:textFill>
        </w:rPr>
        <w:t>大学生</w:t>
      </w:r>
      <w:r>
        <w:rPr>
          <w:rFonts w:hint="eastAsia" w:ascii="仿宋_GB2312" w:hAnsi="仿宋_GB2312" w:eastAsia="仿宋_GB2312" w:cs="仿宋_GB2312"/>
          <w:color w:val="000000" w:themeColor="text1"/>
          <w:kern w:val="0"/>
          <w:sz w:val="32"/>
          <w:szCs w:val="32"/>
          <w14:textFill>
            <w14:solidFill>
              <w14:schemeClr w14:val="tx1"/>
            </w14:solidFill>
          </w14:textFill>
        </w:rPr>
        <w:t>职业生涯规划指导服务，引导女大学生树立正确的择业就业观，提升就业能力。实施女</w:t>
      </w:r>
      <w:r>
        <w:rPr>
          <w:rFonts w:ascii="仿宋_GB2312" w:hAnsi="仿宋_GB2312" w:eastAsia="仿宋_GB2312" w:cs="仿宋_GB2312"/>
          <w:color w:val="000000" w:themeColor="text1"/>
          <w:kern w:val="0"/>
          <w:sz w:val="32"/>
          <w:szCs w:val="32"/>
          <w14:textFill>
            <w14:solidFill>
              <w14:schemeClr w14:val="tx1"/>
            </w14:solidFill>
          </w14:textFill>
        </w:rPr>
        <w:t>大学</w:t>
      </w:r>
      <w:r>
        <w:rPr>
          <w:rFonts w:hint="eastAsia" w:ascii="仿宋_GB2312" w:hAnsi="仿宋_GB2312" w:eastAsia="仿宋_GB2312" w:cs="仿宋_GB2312"/>
          <w:color w:val="000000" w:themeColor="text1"/>
          <w:kern w:val="0"/>
          <w:sz w:val="32"/>
          <w:szCs w:val="32"/>
          <w14:textFill>
            <w14:solidFill>
              <w14:schemeClr w14:val="tx1"/>
            </w14:solidFill>
          </w14:textFill>
        </w:rPr>
        <w:t>生创业</w:t>
      </w:r>
      <w:r>
        <w:rPr>
          <w:rFonts w:ascii="仿宋_GB2312" w:hAnsi="仿宋_GB2312" w:eastAsia="仿宋_GB2312" w:cs="仿宋_GB2312"/>
          <w:color w:val="000000" w:themeColor="text1"/>
          <w:kern w:val="0"/>
          <w:sz w:val="32"/>
          <w:szCs w:val="32"/>
          <w14:textFill>
            <w14:solidFill>
              <w14:schemeClr w14:val="tx1"/>
            </w14:solidFill>
          </w14:textFill>
        </w:rPr>
        <w:t>引领计划，</w:t>
      </w:r>
      <w:r>
        <w:rPr>
          <w:rFonts w:hint="eastAsia" w:ascii="仿宋_GB2312" w:hAnsi="仿宋_GB2312" w:eastAsia="仿宋_GB2312" w:cs="仿宋_GB2312"/>
          <w:color w:val="000000" w:themeColor="text1"/>
          <w:kern w:val="0"/>
          <w:sz w:val="32"/>
          <w:szCs w:val="32"/>
          <w14:textFill>
            <w14:solidFill>
              <w14:schemeClr w14:val="tx1"/>
            </w14:solidFill>
          </w14:textFill>
        </w:rPr>
        <w:t>完善落实创业支持政策，支持女大学生创业。在黄河</w:t>
      </w:r>
      <w:r>
        <w:rPr>
          <w:rFonts w:ascii="仿宋_GB2312" w:hAnsi="仿宋_GB2312" w:eastAsia="仿宋_GB2312" w:cs="仿宋_GB2312"/>
          <w:color w:val="000000" w:themeColor="text1"/>
          <w:kern w:val="0"/>
          <w:sz w:val="32"/>
          <w:szCs w:val="32"/>
          <w14:textFill>
            <w14:solidFill>
              <w14:schemeClr w14:val="tx1"/>
            </w14:solidFill>
          </w14:textFill>
        </w:rPr>
        <w:t>流域</w:t>
      </w:r>
      <w:r>
        <w:rPr>
          <w:rFonts w:hint="eastAsia" w:ascii="仿宋_GB2312" w:hAnsi="仿宋_GB2312" w:eastAsia="仿宋_GB2312" w:cs="仿宋_GB2312"/>
          <w:color w:val="000000" w:themeColor="text1"/>
          <w:kern w:val="0"/>
          <w:sz w:val="32"/>
          <w:szCs w:val="32"/>
          <w14:textFill>
            <w14:solidFill>
              <w14:schemeClr w14:val="tx1"/>
            </w14:solidFill>
          </w14:textFill>
        </w:rPr>
        <w:t>培育</w:t>
      </w:r>
      <w:r>
        <w:rPr>
          <w:rFonts w:ascii="仿宋_GB2312" w:hAnsi="仿宋_GB2312" w:eastAsia="仿宋_GB2312" w:cs="仿宋_GB2312"/>
          <w:color w:val="000000" w:themeColor="text1"/>
          <w:kern w:val="0"/>
          <w:sz w:val="32"/>
          <w:szCs w:val="32"/>
          <w14:textFill>
            <w14:solidFill>
              <w14:schemeClr w14:val="tx1"/>
            </w14:solidFill>
          </w14:textFill>
        </w:rPr>
        <w:t>大学生创业孵化基地</w:t>
      </w:r>
      <w:r>
        <w:rPr>
          <w:rFonts w:hint="eastAsia" w:ascii="仿宋_GB2312" w:hAnsi="仿宋_GB2312" w:eastAsia="仿宋_GB2312" w:cs="仿宋_GB2312"/>
          <w:color w:val="000000" w:themeColor="text1"/>
          <w:kern w:val="0"/>
          <w:sz w:val="32"/>
          <w:szCs w:val="32"/>
          <w14:textFill>
            <w14:solidFill>
              <w14:schemeClr w14:val="tx1"/>
            </w14:solidFill>
          </w14:textFill>
        </w:rPr>
        <w:t>，吸引女大</w:t>
      </w:r>
      <w:r>
        <w:rPr>
          <w:rFonts w:ascii="仿宋_GB2312" w:hAnsi="仿宋_GB2312" w:eastAsia="仿宋_GB2312" w:cs="仿宋_GB2312"/>
          <w:color w:val="000000" w:themeColor="text1"/>
          <w:kern w:val="0"/>
          <w:sz w:val="32"/>
          <w:szCs w:val="32"/>
          <w14:textFill>
            <w14:solidFill>
              <w14:schemeClr w14:val="tx1"/>
            </w14:solidFill>
          </w14:textFill>
        </w:rPr>
        <w:t>学</w:t>
      </w:r>
      <w:r>
        <w:rPr>
          <w:rFonts w:hint="eastAsia" w:ascii="仿宋_GB2312" w:hAnsi="仿宋_GB2312" w:eastAsia="仿宋_GB2312" w:cs="仿宋_GB2312"/>
          <w:color w:val="000000" w:themeColor="text1"/>
          <w:kern w:val="0"/>
          <w:sz w:val="32"/>
          <w:szCs w:val="32"/>
          <w14:textFill>
            <w14:solidFill>
              <w14:schemeClr w14:val="tx1"/>
            </w14:solidFill>
          </w14:textFill>
        </w:rPr>
        <w:t>生在章就业创业。</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改善妇女就业结构。完善终身职业技能培训制度，大力培育知识型、技能型、创新型女性劳动者。不断提高女性在高新技术产业、战略性新兴产业和现代服务业从业人员中的比例，提高就业层次和质量。统筹城乡、区域发展，加快新型城镇化建设，提高农村妇女非农就业比例，缩小男女转移就业差距。逐步消除职业性别隔离。</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）缩小</w:t>
      </w:r>
      <w:r>
        <w:rPr>
          <w:rFonts w:ascii="仿宋_GB2312" w:hAnsi="仿宋_GB2312" w:eastAsia="仿宋_GB2312" w:cs="仿宋_GB2312"/>
          <w:color w:val="000000" w:themeColor="text1"/>
          <w:kern w:val="0"/>
          <w:sz w:val="32"/>
          <w:szCs w:val="32"/>
          <w14:textFill>
            <w14:solidFill>
              <w14:schemeClr w14:val="tx1"/>
            </w14:solidFill>
          </w14:textFill>
        </w:rPr>
        <w:t>男女两性收入</w:t>
      </w:r>
      <w:r>
        <w:rPr>
          <w:rFonts w:hint="eastAsia" w:ascii="仿宋_GB2312" w:hAnsi="仿宋_GB2312" w:eastAsia="仿宋_GB2312" w:cs="仿宋_GB2312"/>
          <w:color w:val="000000" w:themeColor="text1"/>
          <w:kern w:val="0"/>
          <w:sz w:val="32"/>
          <w:szCs w:val="32"/>
          <w14:textFill>
            <w14:solidFill>
              <w14:schemeClr w14:val="tx1"/>
            </w14:solidFill>
          </w14:textFill>
        </w:rPr>
        <w:t>差距</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全面落实男女同工同酬，保障收入公平。促进女性对知识、技术、管理、数据等生产要素的掌握和应用，提高女性职业竞争力。督促用人单位制定实施男女平等的人力资源制度，畅通女性职业发展和职务职级晋升通道。加强收入的分性别统计，动态掌握男女两性收入状况。</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6</w:t>
      </w:r>
      <w:r>
        <w:rPr>
          <w:rFonts w:hint="eastAsia" w:ascii="仿宋_GB2312" w:hAnsi="仿宋_GB2312" w:eastAsia="仿宋_GB2312" w:cs="仿宋_GB2312"/>
          <w:color w:val="000000" w:themeColor="text1"/>
          <w:kern w:val="0"/>
          <w:sz w:val="32"/>
          <w:szCs w:val="32"/>
          <w14:textFill>
            <w14:solidFill>
              <w14:schemeClr w14:val="tx1"/>
            </w14:solidFill>
          </w14:textFill>
        </w:rPr>
        <w:t>）加强</w:t>
      </w:r>
      <w:r>
        <w:rPr>
          <w:rFonts w:hint="eastAsia" w:ascii="仿宋_GB2312" w:hAnsi="仿宋_GB2312" w:eastAsia="仿宋_GB2312" w:cs="仿宋_GB2312"/>
          <w:color w:val="000000" w:themeColor="text1"/>
          <w:sz w:val="32"/>
          <w:szCs w:val="32"/>
          <w14:textFill>
            <w14:solidFill>
              <w14:schemeClr w14:val="tx1"/>
            </w14:solidFill>
          </w14:textFill>
        </w:rPr>
        <w:t>女性专业技术和技能人才队伍建设。</w:t>
      </w:r>
      <w:r>
        <w:rPr>
          <w:rFonts w:hint="eastAsia" w:ascii="仿宋_GB2312" w:hAnsi="仿宋_GB2312" w:eastAsia="仿宋_GB2312" w:cs="仿宋_GB2312"/>
          <w:color w:val="000000" w:themeColor="text1"/>
          <w:kern w:val="0"/>
          <w:sz w:val="32"/>
          <w:szCs w:val="32"/>
          <w14:textFill>
            <w14:solidFill>
              <w14:schemeClr w14:val="tx1"/>
            </w14:solidFill>
          </w14:textFill>
        </w:rPr>
        <w:t>强化制度保障，支持女性科技人才承担科技计划项目、参与科技决策咨询、拓展科研学术网络、提升影响力和活跃度，完善女性科技人才评价激励机制，培养高层次女性科技人才。实施科技创新巾帼行动，搭建平台、提供服务，激励女性科技人才、技术技能人才立足岗位锐意创新。加强对女性专业技术和技能人才专业知识、科研管理、创新创业的培训。加大典型宣传力度，发挥榜样引领作用。</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7</w:t>
      </w:r>
      <w:r>
        <w:rPr>
          <w:rFonts w:hint="eastAsia" w:ascii="仿宋_GB2312" w:hAnsi="仿宋_GB2312" w:eastAsia="仿宋_GB2312" w:cs="仿宋_GB2312"/>
          <w:color w:val="000000" w:themeColor="text1"/>
          <w:kern w:val="0"/>
          <w:sz w:val="32"/>
          <w:szCs w:val="32"/>
          <w14:textFill>
            <w14:solidFill>
              <w14:schemeClr w14:val="tx1"/>
            </w14:solidFill>
          </w14:textFill>
        </w:rPr>
        <w:t>）改善女性劳动者劳动安全状况。广泛开展劳动安全和健康宣传教育，加大《女职工劳动保护特别规定》宣传执行力度，提高用人单位和女性从业人员的劳动保护和安全生产意识。将女职工劳动保护纳入职业健康和安全生产监督管理范围，加强对用人单位女职工劳动保护和劳动安全的监督检查，督促用人单位加强对女职工经期、孕期、产期、哺乳期的特殊保护和</w:t>
      </w:r>
      <w:r>
        <w:rPr>
          <w:rFonts w:ascii="仿宋_GB2312" w:hAnsi="仿宋_GB2312" w:eastAsia="仿宋_GB2312" w:cs="仿宋_GB2312"/>
          <w:color w:val="000000" w:themeColor="text1"/>
          <w:kern w:val="0"/>
          <w:sz w:val="32"/>
          <w:szCs w:val="32"/>
          <w14:textFill>
            <w14:solidFill>
              <w14:schemeClr w14:val="tx1"/>
            </w14:solidFill>
          </w14:textFill>
        </w:rPr>
        <w:t>落实产假制度</w:t>
      </w:r>
      <w:r>
        <w:rPr>
          <w:rFonts w:hint="eastAsia" w:ascii="仿宋_GB2312" w:hAnsi="仿宋_GB2312" w:eastAsia="仿宋_GB2312" w:cs="仿宋_GB2312"/>
          <w:color w:val="000000" w:themeColor="text1"/>
          <w:kern w:val="0"/>
          <w:sz w:val="32"/>
          <w:szCs w:val="32"/>
          <w14:textFill>
            <w14:solidFill>
              <w14:schemeClr w14:val="tx1"/>
            </w14:solidFill>
          </w14:textFill>
        </w:rPr>
        <w:t>。保障女职工在工作中免受有毒有害物质和危险生产工艺的危害。</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8</w:t>
      </w:r>
      <w:r>
        <w:rPr>
          <w:rFonts w:hint="eastAsia" w:ascii="仿宋_GB2312" w:hAnsi="仿宋_GB2312" w:eastAsia="仿宋_GB2312" w:cs="仿宋_GB2312"/>
          <w:color w:val="000000" w:themeColor="text1"/>
          <w:kern w:val="0"/>
          <w:sz w:val="32"/>
          <w:szCs w:val="32"/>
          <w14:textFill>
            <w14:solidFill>
              <w14:schemeClr w14:val="tx1"/>
            </w14:solidFill>
          </w14:textFill>
        </w:rPr>
        <w:t>）保障</w:t>
      </w:r>
      <w:r>
        <w:rPr>
          <w:rFonts w:hint="eastAsia" w:ascii="仿宋_GB2312" w:hAnsi="仿宋_GB2312" w:eastAsia="仿宋_GB2312" w:cs="仿宋_GB2312"/>
          <w:color w:val="000000" w:themeColor="text1"/>
          <w:sz w:val="32"/>
          <w:szCs w:val="32"/>
          <w14:textFill>
            <w14:solidFill>
              <w14:schemeClr w14:val="tx1"/>
            </w14:solidFill>
          </w14:textFill>
        </w:rPr>
        <w:t>女职工劳动权益。</w:t>
      </w:r>
      <w:r>
        <w:rPr>
          <w:rFonts w:hint="eastAsia" w:ascii="仿宋_GB2312" w:hAnsi="仿宋_GB2312" w:eastAsia="仿宋_GB2312" w:cs="仿宋_GB2312"/>
          <w:color w:val="000000" w:themeColor="text1"/>
          <w:kern w:val="0"/>
          <w:sz w:val="32"/>
          <w:szCs w:val="32"/>
          <w14:textFill>
            <w14:solidFill>
              <w14:schemeClr w14:val="tx1"/>
            </w14:solidFill>
          </w14:textFill>
        </w:rPr>
        <w:t>督促用人单位规范用工行为，依法与女职工签订劳动合同，推动签订女职工权益保护专项集体合同</w:t>
      </w:r>
      <w:r>
        <w:rPr>
          <w:rFonts w:hint="eastAsia" w:ascii="仿宋_GB2312" w:hAnsi="仿宋_GB2312" w:eastAsia="仿宋_GB2312" w:cs="仿宋_GB2312"/>
          <w:color w:val="000000" w:themeColor="text1"/>
          <w:sz w:val="32"/>
          <w:szCs w:val="32"/>
          <w14:textFill>
            <w14:solidFill>
              <w14:schemeClr w14:val="tx1"/>
            </w14:solidFill>
          </w14:textFill>
        </w:rPr>
        <w:t>。加强劳动保障法律监督及法规领域性别平等评估。指导用人单位建立预防和制止性骚扰工作机制。</w:t>
      </w:r>
      <w:r>
        <w:rPr>
          <w:rFonts w:hint="eastAsia" w:ascii="仿宋_GB2312" w:hAnsi="仿宋_GB2312" w:eastAsia="仿宋_GB2312" w:cs="仿宋_GB2312"/>
          <w:color w:val="000000" w:themeColor="text1"/>
          <w:kern w:val="0"/>
          <w:sz w:val="32"/>
          <w:szCs w:val="32"/>
          <w14:textFill>
            <w14:solidFill>
              <w14:schemeClr w14:val="tx1"/>
            </w14:solidFill>
          </w14:textFill>
        </w:rPr>
        <w:t>加强劳动用工领域信用建设，加大对侵犯女职工劳动权益行为的失信惩戒力度。推动有条件的劳动人事争议仲裁机构设立女职工维权仲裁庭，依法处理女职工劳动争议案件。</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9</w:t>
      </w:r>
      <w:r>
        <w:rPr>
          <w:rFonts w:hint="eastAsia" w:ascii="仿宋_GB2312" w:hAnsi="仿宋_GB2312" w:eastAsia="仿宋_GB2312" w:cs="仿宋_GB2312"/>
          <w:color w:val="000000" w:themeColor="text1"/>
          <w:kern w:val="0"/>
          <w:sz w:val="32"/>
          <w:szCs w:val="32"/>
          <w14:textFill>
            <w14:solidFill>
              <w14:schemeClr w14:val="tx1"/>
            </w14:solidFill>
          </w14:textFill>
        </w:rPr>
        <w:t>）为女性生育后的职业发展创造有利条件。禁止用人单位因女职工怀孕、生育、哺乳而降低工资、恶意调岗、予以辞退、解除劳动（聘用）合同，推动落实生育奖励假期间的工资待遇，定期开展女职工生育权益保障专项督查。为女性生育后回归岗位或再就业提供培训等支持。高校、研究机构等用人单位探索设立女性科研人员生育后科研回归基金。推动用人单位根据女职工需要建立女职工哺乳室、孕妇休息室等标准化母婴设施。增加优质普惠托育服务供给，支持有条件有</w:t>
      </w:r>
      <w:r>
        <w:rPr>
          <w:rFonts w:ascii="仿宋_GB2312" w:hAnsi="仿宋_GB2312" w:eastAsia="仿宋_GB2312" w:cs="仿宋_GB2312"/>
          <w:color w:val="000000" w:themeColor="text1"/>
          <w:kern w:val="0"/>
          <w:sz w:val="32"/>
          <w:szCs w:val="32"/>
          <w14:textFill>
            <w14:solidFill>
              <w14:schemeClr w14:val="tx1"/>
            </w14:solidFill>
          </w14:textFill>
        </w:rPr>
        <w:t>需求</w:t>
      </w:r>
      <w:r>
        <w:rPr>
          <w:rFonts w:hint="eastAsia" w:ascii="仿宋_GB2312" w:hAnsi="仿宋_GB2312" w:eastAsia="仿宋_GB2312" w:cs="仿宋_GB2312"/>
          <w:color w:val="000000" w:themeColor="text1"/>
          <w:kern w:val="0"/>
          <w:sz w:val="32"/>
          <w:szCs w:val="32"/>
          <w14:textFill>
            <w14:solidFill>
              <w14:schemeClr w14:val="tx1"/>
            </w14:solidFill>
          </w14:textFill>
        </w:rPr>
        <w:t>的用人单位为职工提供福利</w:t>
      </w:r>
      <w:r>
        <w:rPr>
          <w:rFonts w:ascii="仿宋_GB2312" w:hAnsi="仿宋_GB2312" w:eastAsia="仿宋_GB2312" w:cs="仿宋_GB2312"/>
          <w:color w:val="000000" w:themeColor="text1"/>
          <w:kern w:val="0"/>
          <w:sz w:val="32"/>
          <w:szCs w:val="32"/>
          <w14:textFill>
            <w14:solidFill>
              <w14:schemeClr w14:val="tx1"/>
            </w14:solidFill>
          </w14:textFill>
        </w:rPr>
        <w:t>性</w:t>
      </w:r>
      <w:r>
        <w:rPr>
          <w:rFonts w:hint="eastAsia" w:ascii="仿宋_GB2312" w:hAnsi="仿宋_GB2312" w:eastAsia="仿宋_GB2312" w:cs="仿宋_GB2312"/>
          <w:color w:val="000000" w:themeColor="text1"/>
          <w:kern w:val="0"/>
          <w:sz w:val="32"/>
          <w:szCs w:val="32"/>
          <w14:textFill>
            <w14:solidFill>
              <w14:schemeClr w14:val="tx1"/>
            </w14:solidFill>
          </w14:textFill>
        </w:rPr>
        <w:t>托育托管服务。</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w:t>
      </w:r>
      <w:r>
        <w:rPr>
          <w:rFonts w:ascii="仿宋_GB2312" w:hAnsi="仿宋_GB2312" w:eastAsia="仿宋_GB2312" w:cs="仿宋_GB2312"/>
          <w:color w:val="000000" w:themeColor="text1"/>
          <w:kern w:val="0"/>
          <w:sz w:val="32"/>
          <w:szCs w:val="32"/>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保障农村妇女平等享有各项经济权益。在农村土地承包经营权、宅基地使用权确权登记颁证工作中保障农村妇女权益，确保应登尽登。建立健全农村集体资产管理制度，规范农村集体经济组织成员身份确认办法，完善征地安置补偿分配等农村土地收益分配机制，保障农村妇女作为集体经济组织成员和家庭成员在股权量化、征收补偿、权益流转各环节平等享有知情权、监督权</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参与决策权和收益权。保障进城落户农村妇女的经济权益。畅通经济权益受侵害农村妇女的维权渠道。</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）支持脱贫妇女稳定增加收入</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实现巩固拓展脱贫攻坚成果同乡村振兴有效衔接，建立</w:t>
      </w:r>
      <w:r>
        <w:rPr>
          <w:rFonts w:ascii="仿宋_GB2312" w:hAnsi="仿宋_GB2312" w:eastAsia="仿宋_GB2312" w:cs="仿宋_GB2312"/>
          <w:color w:val="000000" w:themeColor="text1"/>
          <w:sz w:val="32"/>
          <w:szCs w:val="32"/>
          <w14:textFill>
            <w14:solidFill>
              <w14:schemeClr w14:val="tx1"/>
            </w14:solidFill>
          </w14:textFill>
        </w:rPr>
        <w:t>解决农村妇女相对贫困的长效机制，</w:t>
      </w:r>
      <w:r>
        <w:rPr>
          <w:rFonts w:hint="eastAsia" w:ascii="仿宋_GB2312" w:hAnsi="仿宋_GB2312" w:eastAsia="仿宋_GB2312" w:cs="仿宋_GB2312"/>
          <w:color w:val="000000" w:themeColor="text1"/>
          <w:sz w:val="32"/>
          <w:szCs w:val="32"/>
          <w14:textFill>
            <w14:solidFill>
              <w14:schemeClr w14:val="tx1"/>
            </w14:solidFill>
          </w14:textFill>
        </w:rPr>
        <w:t>健全防止返</w:t>
      </w:r>
      <w:r>
        <w:rPr>
          <w:rFonts w:ascii="仿宋_GB2312" w:hAnsi="仿宋_GB2312" w:eastAsia="仿宋_GB2312" w:cs="仿宋_GB2312"/>
          <w:color w:val="000000" w:themeColor="text1"/>
          <w:sz w:val="32"/>
          <w:szCs w:val="32"/>
          <w14:textFill>
            <w14:solidFill>
              <w14:schemeClr w14:val="tx1"/>
            </w14:solidFill>
          </w14:textFill>
        </w:rPr>
        <w:t>贫</w:t>
      </w:r>
      <w:r>
        <w:rPr>
          <w:rFonts w:hint="eastAsia" w:ascii="仿宋_GB2312" w:hAnsi="仿宋_GB2312" w:eastAsia="仿宋_GB2312" w:cs="仿宋_GB2312"/>
          <w:color w:val="000000" w:themeColor="text1"/>
          <w:sz w:val="32"/>
          <w:szCs w:val="32"/>
          <w14:textFill>
            <w14:solidFill>
              <w14:schemeClr w14:val="tx1"/>
            </w14:solidFill>
          </w14:textFill>
        </w:rPr>
        <w:t>动态监测和</w:t>
      </w:r>
      <w:r>
        <w:rPr>
          <w:rFonts w:hint="eastAsia" w:ascii="仿宋_GB2312" w:hAnsi="仿宋_GB2312" w:eastAsia="仿宋_GB2312" w:cs="仿宋_GB2312"/>
          <w:color w:val="000000" w:themeColor="text1"/>
          <w:kern w:val="0"/>
          <w:sz w:val="32"/>
          <w:szCs w:val="32"/>
          <w14:textFill>
            <w14:solidFill>
              <w14:schemeClr w14:val="tx1"/>
            </w14:solidFill>
          </w14:textFill>
        </w:rPr>
        <w:t>帮扶机制，</w:t>
      </w:r>
      <w:r>
        <w:rPr>
          <w:rFonts w:hint="eastAsia" w:ascii="仿宋_GB2312" w:hAnsi="仿宋_GB2312" w:eastAsia="仿宋_GB2312" w:cs="仿宋_GB2312"/>
          <w:color w:val="000000" w:themeColor="text1"/>
          <w:sz w:val="32"/>
          <w:szCs w:val="32"/>
          <w14:textFill>
            <w14:solidFill>
              <w14:schemeClr w14:val="tx1"/>
            </w14:solidFill>
          </w14:textFill>
        </w:rPr>
        <w:t>完善农村</w:t>
      </w:r>
      <w:r>
        <w:rPr>
          <w:rFonts w:ascii="仿宋_GB2312" w:hAnsi="仿宋_GB2312" w:eastAsia="仿宋_GB2312" w:cs="仿宋_GB2312"/>
          <w:color w:val="000000" w:themeColor="text1"/>
          <w:sz w:val="32"/>
          <w:szCs w:val="32"/>
          <w14:textFill>
            <w14:solidFill>
              <w14:schemeClr w14:val="tx1"/>
            </w14:solidFill>
          </w14:textFill>
        </w:rPr>
        <w:t>社会保障和救助制度，确保低收入</w:t>
      </w:r>
      <w:r>
        <w:rPr>
          <w:rFonts w:hint="eastAsia" w:ascii="仿宋_GB2312" w:hAnsi="仿宋_GB2312" w:eastAsia="仿宋_GB2312" w:cs="仿宋_GB2312"/>
          <w:color w:val="000000" w:themeColor="text1"/>
          <w:sz w:val="32"/>
          <w:szCs w:val="32"/>
          <w14:textFill>
            <w14:solidFill>
              <w14:schemeClr w14:val="tx1"/>
            </w14:solidFill>
          </w14:textFill>
        </w:rPr>
        <w:t>妇</w:t>
      </w:r>
      <w:r>
        <w:rPr>
          <w:rFonts w:ascii="仿宋_GB2312" w:hAnsi="仿宋_GB2312" w:eastAsia="仿宋_GB2312" w:cs="仿宋_GB2312"/>
          <w:color w:val="000000" w:themeColor="text1"/>
          <w:sz w:val="32"/>
          <w:szCs w:val="32"/>
          <w14:textFill>
            <w14:solidFill>
              <w14:schemeClr w14:val="tx1"/>
            </w14:solidFill>
          </w14:textFill>
        </w:rPr>
        <w:t>女群体</w:t>
      </w:r>
      <w:r>
        <w:rPr>
          <w:rFonts w:hint="eastAsia" w:ascii="仿宋_GB2312" w:hAnsi="仿宋_GB2312" w:eastAsia="仿宋_GB2312" w:cs="仿宋_GB2312"/>
          <w:color w:val="000000" w:themeColor="text1"/>
          <w:sz w:val="32"/>
          <w:szCs w:val="32"/>
          <w14:textFill>
            <w14:solidFill>
              <w14:schemeClr w14:val="tx1"/>
            </w14:solidFill>
          </w14:textFill>
        </w:rPr>
        <w:t>不返</w:t>
      </w:r>
      <w:r>
        <w:rPr>
          <w:rFonts w:ascii="仿宋_GB2312" w:hAnsi="仿宋_GB2312" w:eastAsia="仿宋_GB2312" w:cs="仿宋_GB2312"/>
          <w:color w:val="000000" w:themeColor="text1"/>
          <w:sz w:val="32"/>
          <w:szCs w:val="32"/>
          <w14:textFill>
            <w14:solidFill>
              <w14:schemeClr w14:val="tx1"/>
            </w14:solidFill>
          </w14:textFill>
        </w:rPr>
        <w:t>贫、稳</w:t>
      </w:r>
      <w:r>
        <w:rPr>
          <w:rFonts w:hint="eastAsia" w:ascii="仿宋_GB2312" w:hAnsi="仿宋_GB2312" w:eastAsia="仿宋_GB2312" w:cs="仿宋_GB2312"/>
          <w:color w:val="000000" w:themeColor="text1"/>
          <w:sz w:val="32"/>
          <w:szCs w:val="32"/>
          <w14:textFill>
            <w14:solidFill>
              <w14:schemeClr w14:val="tx1"/>
            </w14:solidFill>
          </w14:textFill>
        </w:rPr>
        <w:t>增长</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激发低收入妇女内生发展动力，</w:t>
      </w:r>
      <w:r>
        <w:rPr>
          <w:rFonts w:hint="eastAsia" w:ascii="仿宋_GB2312" w:hAnsi="仿宋_GB2312" w:eastAsia="仿宋_GB2312" w:cs="仿宋_GB2312"/>
          <w:color w:val="000000" w:themeColor="text1"/>
          <w:kern w:val="0"/>
          <w:sz w:val="32"/>
          <w:szCs w:val="32"/>
          <w14:textFill>
            <w14:solidFill>
              <w14:schemeClr w14:val="tx1"/>
            </w14:solidFill>
          </w14:textFill>
        </w:rPr>
        <w:t>扶持适合低收入妇女自主发展的手工编织、农村电商等特色产业项目。通过致富带头人培育、巾帼居家创业就业基地建设和以工代赈等方式，支持农村妇女就地就近就业，实现增收致富。</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支持妇女积极参与乡村振兴。围绕“环境美、生活富、家风好”的内容，持续开展“出彩人家”建设活动，推动农村妇女在促进农业全面升级、农村全面进步、农民全面发展，加快农业农村现代化进程中担当作为。引导妇女通过发展现代都市型农业、打造农业特色品牌、丰富乡村经济业态、发展现代乡村产业，实现增收致富；鼓励农村妇女在农村人居环境整治、生活垃圾处理、村容村貌、居民良好生活习惯提升中发挥主力军作用；支持农村妇女发挥在家庭生活和社会生活中的独特作用，积极参与乡村治理、涵养文明家风，引领社会良好风尚。加强高素质农村妇女培育，引导农村妇女争做乡村工匠、文化能人、手工艺人、农技协领办人和新型农业管理经营能手，为打造乡村振兴齐鲁样板作贡献。</w:t>
      </w:r>
    </w:p>
    <w:p>
      <w:pPr>
        <w:suppressAutoHyphens w:val="0"/>
        <w:overflowPunct w:val="0"/>
        <w:spacing w:line="620" w:lineRule="exact"/>
        <w:ind w:firstLine="640" w:firstLineChars="200"/>
        <w:outlineLvl w:val="1"/>
        <w:rPr>
          <w:rFonts w:ascii="Times New Roman" w:hAnsi="Times New Roman" w:eastAsia="仿宋_GB2312"/>
          <w:color w:val="000000" w:themeColor="text1"/>
          <w:sz w:val="32"/>
          <w:szCs w:val="32"/>
          <w14:textFill>
            <w14:solidFill>
              <w14:schemeClr w14:val="tx1"/>
            </w14:solidFill>
          </w14:textFill>
        </w:rPr>
      </w:pPr>
      <w:bookmarkStart w:id="16" w:name="_Toc1872597847"/>
      <w:r>
        <w:rPr>
          <w:rFonts w:ascii="Times New Roman" w:hAnsi="楷体" w:eastAsia="楷体_GB2312"/>
          <w:color w:val="000000" w:themeColor="text1"/>
          <w:sz w:val="32"/>
          <w:szCs w:val="32"/>
          <w14:textFill>
            <w14:solidFill>
              <w14:schemeClr w14:val="tx1"/>
            </w14:solidFill>
          </w14:textFill>
        </w:rPr>
        <w:t>（四）妇女参与决策和管理</w:t>
      </w:r>
      <w:bookmarkEnd w:id="16"/>
      <w:r>
        <w:rPr>
          <w:rFonts w:hint="eastAsia" w:ascii="Times New Roman" w:hAnsi="楷体" w:eastAsia="楷体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1.主要目标。</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（1）妇女参与国家和社会事务管理的水平全面提升，在社会主义民主政治建设和社会治理中的作用日益增强。</w:t>
      </w:r>
      <w:r>
        <w:rPr>
          <w:rFonts w:hint="eastAsia" w:ascii="楷体" w:hAnsi="楷体" w:eastAsia="楷体_GB2312" w:cs="仿宋_GB2312"/>
          <w:color w:val="000000" w:themeColor="text1"/>
          <w:sz w:val="32"/>
          <w:szCs w:val="32"/>
          <w14:textFill>
            <w14:solidFill>
              <w14:schemeClr w14:val="tx1"/>
            </w14:solidFill>
          </w14:textFill>
        </w:rPr>
        <w:t>（牵头单位：区委组织部，责任单位：区民政局、区妇联）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（2）中国共产党女党员保持合理比例。中国共产党全区地方各级党代会中女党员代表比例一般不少于本地区女党员占党员总数的比例。</w:t>
      </w:r>
      <w:r>
        <w:rPr>
          <w:rFonts w:hint="eastAsia" w:ascii="楷体" w:hAnsi="楷体" w:eastAsia="楷体_GB2312" w:cs="仿宋_GB2312"/>
          <w:color w:val="000000" w:themeColor="text1"/>
          <w:sz w:val="32"/>
          <w:szCs w:val="32"/>
          <w14:textFill>
            <w14:solidFill>
              <w14:schemeClr w14:val="tx1"/>
            </w14:solidFill>
          </w14:textFill>
        </w:rPr>
        <w:t>（牵头单位：区委组织部，责任单位：区妇联）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（3）各级人大代表和常委会组成人员中的女性比例逐步提高；各级政协委员和常委中的女性比例逐步提高。</w:t>
      </w:r>
      <w:r>
        <w:rPr>
          <w:rFonts w:hint="eastAsia" w:ascii="楷体" w:hAnsi="楷体" w:eastAsia="楷体_GB2312" w:cs="仿宋_GB2312"/>
          <w:color w:val="000000" w:themeColor="text1"/>
          <w:sz w:val="32"/>
          <w:szCs w:val="32"/>
          <w14:textFill>
            <w14:solidFill>
              <w14:schemeClr w14:val="tx1"/>
            </w14:solidFill>
          </w14:textFill>
        </w:rPr>
        <w:t>（牵头单位：区人大常委会办公室、区政协办公室、区委组织部、区委统战部）</w:t>
      </w:r>
    </w:p>
    <w:p>
      <w:pPr>
        <w:suppressAutoHyphens w:val="0"/>
        <w:overflowPunct w:val="0"/>
        <w:spacing w:line="620" w:lineRule="exact"/>
        <w:ind w:firstLine="640" w:firstLineChars="200"/>
        <w:rPr>
          <w:rFonts w:ascii="楷体" w:hAnsi="楷体" w:eastAsia="楷体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（4）区党委、政府领导班子至少各配备1名女干部。</w:t>
      </w:r>
      <w:r>
        <w:rPr>
          <w:rFonts w:hint="eastAsia" w:ascii="楷体" w:hAnsi="楷体" w:eastAsia="楷体_GB2312" w:cs="仿宋_GB2312"/>
          <w:color w:val="000000" w:themeColor="text1"/>
          <w:sz w:val="32"/>
          <w:szCs w:val="32"/>
          <w14:textFill>
            <w14:solidFill>
              <w14:schemeClr w14:val="tx1"/>
            </w14:solidFill>
          </w14:textFill>
        </w:rPr>
        <w:t>（牵头单位：区委组织部）</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（5）担任区党政正职的女干部要有一定数量。区党政正职中至少配备1名女干部。</w:t>
      </w:r>
      <w:r>
        <w:rPr>
          <w:rFonts w:hint="eastAsia" w:ascii="楷体" w:hAnsi="楷体" w:eastAsia="楷体_GB2312" w:cs="仿宋_GB2312"/>
          <w:color w:val="000000" w:themeColor="text1"/>
          <w:sz w:val="32"/>
          <w:szCs w:val="32"/>
          <w14:textFill>
            <w14:solidFill>
              <w14:schemeClr w14:val="tx1"/>
            </w14:solidFill>
          </w14:textFill>
        </w:rPr>
        <w:t>（牵头单位：区委组织部）</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kern w:val="0"/>
          <w:sz w:val="32"/>
          <w:szCs w:val="32"/>
          <w14:textFill>
            <w14:solidFill>
              <w14:schemeClr w14:val="tx1"/>
            </w14:solidFill>
          </w14:textFill>
        </w:rPr>
        <w:t>区党政工作部门，应保证一半以上的领导班子配备女干部，其中担任正职的一般不少于</w:t>
      </w:r>
      <w:r>
        <w:rPr>
          <w:rFonts w:ascii="仿宋_GB2312" w:hAnsi="仿宋_GB2312" w:eastAsia="仿宋_GB2312" w:cs="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人。</w:t>
      </w:r>
      <w:r>
        <w:rPr>
          <w:rFonts w:hint="eastAsia" w:ascii="楷体" w:hAnsi="楷体" w:eastAsia="楷体_GB2312" w:cs="仿宋_GB2312"/>
          <w:color w:val="000000" w:themeColor="text1"/>
          <w:sz w:val="32"/>
          <w:szCs w:val="32"/>
          <w14:textFill>
            <w14:solidFill>
              <w14:schemeClr w14:val="tx1"/>
            </w14:solidFill>
          </w14:textFill>
        </w:rPr>
        <w:t>（牵头单位：区委组织部）</w:t>
      </w:r>
    </w:p>
    <w:p>
      <w:pPr>
        <w:suppressAutoHyphens w:val="0"/>
        <w:overflowPunct w:val="0"/>
        <w:spacing w:line="620" w:lineRule="exact"/>
        <w:ind w:firstLine="640" w:firstLineChars="200"/>
        <w:rPr>
          <w:rFonts w:ascii="楷体" w:hAnsi="楷体" w:eastAsia="楷体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（7）各级各类事业单位领导班子成员中的女性比例逐步提高。</w:t>
      </w:r>
      <w:r>
        <w:rPr>
          <w:rFonts w:hint="eastAsia" w:ascii="楷体" w:hAnsi="楷体" w:eastAsia="楷体_GB2312" w:cs="仿宋_GB2312"/>
          <w:color w:val="000000" w:themeColor="text1"/>
          <w:sz w:val="32"/>
          <w:szCs w:val="32"/>
          <w14:textFill>
            <w14:solidFill>
              <w14:schemeClr w14:val="tx1"/>
            </w14:solidFill>
          </w14:textFill>
        </w:rPr>
        <w:t>（牵头单位：区委组织部，责任单位：区人力资源和社会保障局）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（8）企业董事会、监事会成员及管理层中女性比例逐步提高。企事业职工代表大会中女性比例与女职工比例相适应。</w:t>
      </w:r>
      <w:r>
        <w:rPr>
          <w:rFonts w:hint="eastAsia" w:ascii="楷体" w:hAnsi="楷体" w:eastAsia="楷体_GB2312" w:cs="仿宋_GB2312"/>
          <w:color w:val="000000" w:themeColor="text1"/>
          <w:sz w:val="32"/>
          <w:szCs w:val="32"/>
          <w14:textFill>
            <w14:solidFill>
              <w14:schemeClr w14:val="tx1"/>
            </w14:solidFill>
          </w14:textFill>
        </w:rPr>
        <w:t>（牵头单位：区委组织部、区财政局</w:t>
      </w:r>
      <w:r>
        <w:rPr>
          <w:rFonts w:ascii="楷体" w:hAnsi="楷体" w:eastAsia="楷体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区总工会，责任单位：区人力资源和社会保障局）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（9）村党</w:t>
      </w:r>
      <w:r>
        <w:rPr>
          <w:rFonts w:ascii="仿宋_GB2312" w:hAnsi="仿宋_GB2312" w:eastAsia="仿宋_GB2312" w:cs="仿宋_GB2312"/>
          <w:color w:val="000000" w:themeColor="text1"/>
          <w:sz w:val="32"/>
          <w:szCs w:val="32"/>
          <w14:textFill>
            <w14:solidFill>
              <w14:schemeClr w14:val="tx1"/>
            </w14:solidFill>
          </w14:textFill>
        </w:rPr>
        <w:t>组织成员、村党组织书记中，女性比例逐步提高。</w:t>
      </w:r>
      <w:r>
        <w:rPr>
          <w:rFonts w:hint="eastAsia" w:ascii="仿宋_GB2312" w:hAnsi="仿宋_GB2312" w:eastAsia="仿宋_GB2312" w:cs="仿宋_GB2312"/>
          <w:color w:val="000000" w:themeColor="text1"/>
          <w:sz w:val="32"/>
          <w:szCs w:val="32"/>
          <w14:textFill>
            <w14:solidFill>
              <w14:schemeClr w14:val="tx1"/>
            </w14:solidFill>
          </w14:textFill>
        </w:rPr>
        <w:t>村委会成员中女性比例保持在30%以上，村委会主任中女性比例逐步提高。</w:t>
      </w:r>
      <w:r>
        <w:rPr>
          <w:rFonts w:hint="eastAsia" w:ascii="楷体" w:hAnsi="楷体" w:eastAsia="楷体_GB2312" w:cs="仿宋_GB2312"/>
          <w:color w:val="000000" w:themeColor="text1"/>
          <w:sz w:val="32"/>
          <w:szCs w:val="32"/>
          <w14:textFill>
            <w14:solidFill>
              <w14:schemeClr w14:val="tx1"/>
            </w14:solidFill>
          </w14:textFill>
        </w:rPr>
        <w:t>（牵头单位：区委组织部、区民政局，</w:t>
      </w:r>
      <w:r>
        <w:rPr>
          <w:rFonts w:ascii="楷体" w:hAnsi="楷体" w:eastAsia="楷体_GB2312" w:cs="仿宋_GB2312"/>
          <w:color w:val="000000" w:themeColor="text1"/>
          <w:sz w:val="32"/>
          <w:szCs w:val="32"/>
          <w14:textFill>
            <w14:solidFill>
              <w14:schemeClr w14:val="tx1"/>
            </w14:solidFill>
          </w14:textFill>
        </w:rPr>
        <w:t>责任单位：</w:t>
      </w:r>
      <w:r>
        <w:rPr>
          <w:rFonts w:hint="eastAsia" w:ascii="楷体" w:hAnsi="楷体" w:eastAsia="楷体_GB2312" w:cs="仿宋_GB2312"/>
          <w:color w:val="000000" w:themeColor="text1"/>
          <w:sz w:val="32"/>
          <w:szCs w:val="32"/>
          <w14:textFill>
            <w14:solidFill>
              <w14:schemeClr w14:val="tx1"/>
            </w14:solidFill>
          </w14:textFill>
        </w:rPr>
        <w:t>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（10）社区党组织成员、社区党组织书记中女性比例逐步提高。社区居委会成员中女性比例保持在5</w:t>
      </w:r>
      <w:r>
        <w:rPr>
          <w:rFonts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左右，社区居委会主任中女性比例保持在</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5%左右。</w:t>
      </w:r>
      <w:r>
        <w:rPr>
          <w:rFonts w:hint="eastAsia" w:ascii="楷体" w:hAnsi="楷体" w:eastAsia="楷体_GB2312" w:cs="仿宋_GB2312"/>
          <w:color w:val="000000" w:themeColor="text1"/>
          <w:sz w:val="32"/>
          <w:szCs w:val="32"/>
          <w14:textFill>
            <w14:solidFill>
              <w14:schemeClr w14:val="tx1"/>
            </w14:solidFill>
          </w14:textFill>
        </w:rPr>
        <w:t>（牵头单位：区委组织部、区民政局，</w:t>
      </w:r>
      <w:r>
        <w:rPr>
          <w:rFonts w:ascii="楷体" w:hAnsi="楷体" w:eastAsia="楷体_GB2312" w:cs="仿宋_GB2312"/>
          <w:color w:val="000000" w:themeColor="text1"/>
          <w:sz w:val="32"/>
          <w:szCs w:val="32"/>
          <w14:textFill>
            <w14:solidFill>
              <w14:schemeClr w14:val="tx1"/>
            </w14:solidFill>
          </w14:textFill>
        </w:rPr>
        <w:t>责任单位：</w:t>
      </w:r>
      <w:r>
        <w:rPr>
          <w:rFonts w:hint="eastAsia" w:ascii="楷体" w:hAnsi="楷体" w:eastAsia="楷体_GB2312" w:cs="仿宋_GB2312"/>
          <w:color w:val="000000" w:themeColor="text1"/>
          <w:sz w:val="32"/>
          <w:szCs w:val="32"/>
          <w14:textFill>
            <w14:solidFill>
              <w14:schemeClr w14:val="tx1"/>
            </w14:solidFill>
          </w14:textFill>
        </w:rPr>
        <w:t>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）鼓励支持女性参与社会组织、担任社会</w:t>
      </w:r>
      <w:r>
        <w:rPr>
          <w:rFonts w:ascii="仿宋_GB2312" w:hAnsi="仿宋_GB2312" w:eastAsia="仿宋_GB2312" w:cs="仿宋_GB2312"/>
          <w:color w:val="000000" w:themeColor="text1"/>
          <w:sz w:val="32"/>
          <w:szCs w:val="32"/>
          <w14:textFill>
            <w14:solidFill>
              <w14:schemeClr w14:val="tx1"/>
            </w14:solidFill>
          </w14:textFill>
        </w:rPr>
        <w:t>组织负责人。</w:t>
      </w:r>
      <w:r>
        <w:rPr>
          <w:rFonts w:hint="eastAsia" w:ascii="楷体" w:hAnsi="楷体" w:eastAsia="楷体_GB2312" w:cs="仿宋_GB2312"/>
          <w:color w:val="000000" w:themeColor="text1"/>
          <w:sz w:val="32"/>
          <w:szCs w:val="32"/>
          <w14:textFill>
            <w14:solidFill>
              <w14:schemeClr w14:val="tx1"/>
            </w14:solidFill>
          </w14:textFill>
        </w:rPr>
        <w:t>（牵头单位：区</w:t>
      </w:r>
      <w:r>
        <w:rPr>
          <w:rFonts w:ascii="楷体" w:hAnsi="楷体" w:eastAsia="楷体_GB2312" w:cs="仿宋_GB2312"/>
          <w:color w:val="000000" w:themeColor="text1"/>
          <w:sz w:val="32"/>
          <w:szCs w:val="32"/>
          <w14:textFill>
            <w14:solidFill>
              <w14:schemeClr w14:val="tx1"/>
            </w14:solidFill>
          </w14:textFill>
        </w:rPr>
        <w:t>妇联</w:t>
      </w:r>
      <w:r>
        <w:rPr>
          <w:rFonts w:hint="eastAsia" w:ascii="楷体" w:hAnsi="楷体" w:eastAsia="楷体_GB2312" w:cs="仿宋_GB2312"/>
          <w:color w:val="000000" w:themeColor="text1"/>
          <w:sz w:val="32"/>
          <w:szCs w:val="32"/>
          <w14:textFill>
            <w14:solidFill>
              <w14:schemeClr w14:val="tx1"/>
            </w14:solidFill>
          </w14:textFill>
        </w:rPr>
        <w:t>，责任单位：区民政局、</w:t>
      </w:r>
      <w:r>
        <w:rPr>
          <w:rFonts w:ascii="楷体" w:hAnsi="楷体" w:eastAsia="楷体_GB2312" w:cs="仿宋_GB2312"/>
          <w:color w:val="000000" w:themeColor="text1"/>
          <w:sz w:val="32"/>
          <w:szCs w:val="32"/>
          <w14:textFill>
            <w14:solidFill>
              <w14:schemeClr w14:val="tx1"/>
            </w14:solidFill>
          </w14:textFill>
        </w:rPr>
        <w:t>各</w:t>
      </w:r>
      <w:r>
        <w:rPr>
          <w:rFonts w:hint="eastAsia" w:ascii="楷体" w:hAnsi="楷体" w:eastAsia="楷体_GB2312" w:cs="仿宋_GB2312"/>
          <w:color w:val="000000" w:themeColor="text1"/>
          <w:sz w:val="32"/>
          <w:szCs w:val="32"/>
          <w14:textFill>
            <w14:solidFill>
              <w14:schemeClr w14:val="tx1"/>
            </w14:solidFill>
          </w14:textFill>
        </w:rPr>
        <w:t>区管社会组织业务主管单位）</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）各级妇女联合会、工会女职工委员会等妇女组织参与国家和社会事务管理的水平提高。</w:t>
      </w:r>
      <w:r>
        <w:rPr>
          <w:rFonts w:hint="eastAsia" w:ascii="楷体" w:hAnsi="楷体" w:eastAsia="楷体_GB2312" w:cs="仿宋_GB2312"/>
          <w:color w:val="000000" w:themeColor="text1"/>
          <w:sz w:val="32"/>
          <w:szCs w:val="32"/>
          <w14:textFill>
            <w14:solidFill>
              <w14:schemeClr w14:val="tx1"/>
            </w14:solidFill>
          </w14:textFill>
        </w:rPr>
        <w:t>（牵头单位：区委办公室，责任单位：区人大常委会办公室、区委组织部、区政协办公室、区发展和改革局、区司法局、区民政局、区总工会、区妇联）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2.策略措施。</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提高妇女参与决策管理的意识和能力。广泛开展宣传教育，提高妇女参与国家和社会事务管理的意识。加大基层妇女骨干培训力度，提高妇女在自治、法治、德治中的参与意识和能力，加强城乡社区妇女议事会建设，支持妇女参与村（居）协商议事活动和村规民约（居民公约）的制订修改，提高妇女的参与意识和能力，引导妇女积极、有序参与基层民主管理和民主协商。促进新社会阶层、社会工作者和志愿者中的女性积极参与社会治理。鼓励高等院校开设领导力相关课程，培养年轻女性的政治素养和参与决策管理的能力。</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加大妇女参与决策和管理的支持力度。充分发挥妇女参与国家和社会事务管理的重要作用，破除制约妇女参与决策和管理的障碍，促进妇女参与决策和管理水平与妇女地位作用相适应。加大培训力度，提高各级领导干部贯彻落实男女平等基本国策的意识，把推动妇女参政纳入重要议程，提出目标举措。采取有效措施，提升各级党委、人大、政府、政协、党政工作部门以及企事业单位、基层群众自治组织和社会组织中的女性比例。</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重视发展中国共产党女党员。面向妇女深入开展思想政治工作，扩大党的妇女群众基础，培养对党的感情，深化对党的认识，拥护党的主张，激发妇女入党的政治意愿。保证发展党员计划中优秀年轻女党员有一定比例。在党代表候选人酝酿过程中，充分关注政治过硬、作风优良、敢于担当、实绩突出的优秀妇女，确保党代会代表中女党员代表比例。</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提高女人大代表、女政协委员比例。落实人大代表选举规则和程序，在选区划分、代表名额分配、候选人推荐、选举等环节，保障妇女享有平等权利和机会。重视从基层、生产一线推荐女人大代表候选人，候选人中应当有适当数量的妇女代表，并逐步提高妇女代表的比例。提名推荐、协商确定政协委员建议名单时，保障提名一定比例的妇女。充分发挥人大女代表、政协女委员在发展社会主义民主政治和男女平等事业中的积极作用。</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（5）加大培养选拔女干部工作力度。</w:t>
      </w:r>
      <w:r>
        <w:rPr>
          <w:rFonts w:ascii="仿宋_GB2312" w:hAnsi="仿宋_GB2312" w:eastAsia="仿宋_GB2312" w:cs="仿宋_GB2312"/>
          <w:color w:val="000000" w:themeColor="text1"/>
          <w:kern w:val="0"/>
          <w:sz w:val="32"/>
          <w:szCs w:val="32"/>
          <w14:textFill>
            <w14:solidFill>
              <w14:schemeClr w14:val="tx1"/>
            </w14:solidFill>
          </w14:textFill>
        </w:rPr>
        <w:t>建立</w:t>
      </w:r>
      <w:r>
        <w:rPr>
          <w:rFonts w:hint="eastAsia" w:ascii="仿宋_GB2312" w:hAnsi="仿宋_GB2312" w:eastAsia="仿宋_GB2312" w:cs="仿宋_GB2312"/>
          <w:color w:val="000000" w:themeColor="text1"/>
          <w:kern w:val="0"/>
          <w:sz w:val="32"/>
          <w:szCs w:val="32"/>
          <w14:textFill>
            <w14:solidFill>
              <w14:schemeClr w14:val="tx1"/>
            </w14:solidFill>
          </w14:textFill>
        </w:rPr>
        <w:t>女</w:t>
      </w:r>
      <w:r>
        <w:rPr>
          <w:rFonts w:ascii="仿宋_GB2312" w:hAnsi="仿宋_GB2312" w:eastAsia="仿宋_GB2312" w:cs="仿宋_GB2312"/>
          <w:color w:val="000000" w:themeColor="text1"/>
          <w:kern w:val="0"/>
          <w:sz w:val="32"/>
          <w:szCs w:val="32"/>
          <w14:textFill>
            <w14:solidFill>
              <w14:schemeClr w14:val="tx1"/>
            </w14:solidFill>
          </w14:textFill>
        </w:rPr>
        <w:t>干部培养清单，持续实施优秀女干部递进培养</w:t>
      </w:r>
      <w:r>
        <w:rPr>
          <w:rFonts w:hint="eastAsia" w:ascii="仿宋_GB2312" w:hAnsi="仿宋_GB2312" w:eastAsia="仿宋_GB2312" w:cs="仿宋_GB2312"/>
          <w:color w:val="000000" w:themeColor="text1"/>
          <w:kern w:val="0"/>
          <w:sz w:val="32"/>
          <w:szCs w:val="32"/>
          <w14:textFill>
            <w14:solidFill>
              <w14:schemeClr w14:val="tx1"/>
            </w14:solidFill>
          </w14:textFill>
        </w:rPr>
        <w:t>计划，</w:t>
      </w:r>
      <w:r>
        <w:rPr>
          <w:rFonts w:ascii="仿宋_GB2312" w:hAnsi="仿宋_GB2312" w:eastAsia="仿宋_GB2312" w:cs="仿宋_GB2312"/>
          <w:color w:val="000000" w:themeColor="text1"/>
          <w:kern w:val="0"/>
          <w:sz w:val="32"/>
          <w:szCs w:val="32"/>
          <w14:textFill>
            <w14:solidFill>
              <w14:schemeClr w14:val="tx1"/>
            </w14:solidFill>
          </w14:textFill>
        </w:rPr>
        <w:t>完善优秀女干部跟踪考察和动态管理制度，</w:t>
      </w:r>
      <w:r>
        <w:rPr>
          <w:rFonts w:hint="eastAsia" w:ascii="仿宋_GB2312" w:hAnsi="仿宋_GB2312" w:eastAsia="仿宋_GB2312" w:cs="仿宋_GB2312"/>
          <w:color w:val="000000" w:themeColor="text1"/>
          <w:kern w:val="0"/>
          <w:sz w:val="32"/>
          <w:szCs w:val="32"/>
          <w14:textFill>
            <w14:solidFill>
              <w14:schemeClr w14:val="tx1"/>
            </w14:solidFill>
          </w14:textFill>
        </w:rPr>
        <w:t>使</w:t>
      </w:r>
      <w:r>
        <w:rPr>
          <w:rFonts w:ascii="仿宋_GB2312" w:hAnsi="仿宋_GB2312" w:eastAsia="仿宋_GB2312" w:cs="仿宋_GB2312"/>
          <w:color w:val="000000" w:themeColor="text1"/>
          <w:kern w:val="0"/>
          <w:sz w:val="32"/>
          <w:szCs w:val="32"/>
          <w14:textFill>
            <w14:solidFill>
              <w14:schemeClr w14:val="tx1"/>
            </w14:solidFill>
          </w14:textFill>
        </w:rPr>
        <w:t>每名</w:t>
      </w:r>
      <w:r>
        <w:rPr>
          <w:rFonts w:hint="eastAsia" w:ascii="仿宋_GB2312" w:hAnsi="仿宋_GB2312" w:eastAsia="仿宋_GB2312" w:cs="仿宋_GB2312"/>
          <w:color w:val="000000" w:themeColor="text1"/>
          <w:kern w:val="0"/>
          <w:sz w:val="32"/>
          <w:szCs w:val="32"/>
          <w14:textFill>
            <w14:solidFill>
              <w14:schemeClr w14:val="tx1"/>
            </w14:solidFill>
          </w14:textFill>
        </w:rPr>
        <w:t>优秀</w:t>
      </w:r>
      <w:r>
        <w:rPr>
          <w:rFonts w:ascii="仿宋_GB2312" w:hAnsi="仿宋_GB2312" w:eastAsia="仿宋_GB2312" w:cs="仿宋_GB2312"/>
          <w:color w:val="000000" w:themeColor="text1"/>
          <w:kern w:val="0"/>
          <w:sz w:val="32"/>
          <w:szCs w:val="32"/>
          <w14:textFill>
            <w14:solidFill>
              <w14:schemeClr w14:val="tx1"/>
            </w14:solidFill>
          </w14:textFill>
        </w:rPr>
        <w:t>女干部始终</w:t>
      </w:r>
      <w:r>
        <w:rPr>
          <w:rFonts w:hint="eastAsia" w:ascii="仿宋_GB2312" w:hAnsi="仿宋_GB2312" w:eastAsia="仿宋_GB2312" w:cs="仿宋_GB2312"/>
          <w:color w:val="000000" w:themeColor="text1"/>
          <w:kern w:val="0"/>
          <w:sz w:val="32"/>
          <w:szCs w:val="32"/>
          <w14:textFill>
            <w14:solidFill>
              <w14:schemeClr w14:val="tx1"/>
            </w14:solidFill>
          </w14:textFill>
        </w:rPr>
        <w:t>处在</w:t>
      </w:r>
      <w:r>
        <w:rPr>
          <w:rFonts w:ascii="仿宋_GB2312" w:hAnsi="仿宋_GB2312" w:eastAsia="仿宋_GB2312" w:cs="仿宋_GB2312"/>
          <w:color w:val="000000" w:themeColor="text1"/>
          <w:kern w:val="0"/>
          <w:sz w:val="32"/>
          <w:szCs w:val="32"/>
          <w14:textFill>
            <w14:solidFill>
              <w14:schemeClr w14:val="tx1"/>
            </w14:solidFill>
          </w14:textFill>
        </w:rPr>
        <w:t>组织视野。建立完善组织部门与妇联联</w:t>
      </w:r>
      <w:r>
        <w:rPr>
          <w:rFonts w:hint="eastAsia" w:ascii="仿宋_GB2312" w:hAnsi="仿宋_GB2312" w:eastAsia="仿宋_GB2312" w:cs="仿宋_GB2312"/>
          <w:color w:val="000000" w:themeColor="text1"/>
          <w:kern w:val="0"/>
          <w:sz w:val="32"/>
          <w:szCs w:val="32"/>
          <w14:textFill>
            <w14:solidFill>
              <w14:schemeClr w14:val="tx1"/>
            </w14:solidFill>
          </w14:textFill>
        </w:rPr>
        <w:t>动</w:t>
      </w:r>
      <w:r>
        <w:rPr>
          <w:rFonts w:ascii="仿宋_GB2312" w:hAnsi="仿宋_GB2312" w:eastAsia="仿宋_GB2312" w:cs="仿宋_GB2312"/>
          <w:color w:val="000000" w:themeColor="text1"/>
          <w:kern w:val="0"/>
          <w:sz w:val="32"/>
          <w:szCs w:val="32"/>
          <w14:textFill>
            <w14:solidFill>
              <w14:schemeClr w14:val="tx1"/>
            </w14:solidFill>
          </w14:textFill>
        </w:rPr>
        <w:t>工作机制</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加强女干部</w:t>
      </w:r>
      <w:r>
        <w:rPr>
          <w:rFonts w:hint="eastAsia" w:ascii="仿宋_GB2312" w:hAnsi="仿宋_GB2312" w:eastAsia="仿宋_GB2312" w:cs="仿宋_GB2312"/>
          <w:color w:val="000000" w:themeColor="text1"/>
          <w:kern w:val="0"/>
          <w:sz w:val="32"/>
          <w:szCs w:val="32"/>
          <w14:textFill>
            <w14:solidFill>
              <w14:schemeClr w14:val="tx1"/>
            </w14:solidFill>
          </w14:textFill>
        </w:rPr>
        <w:t>培养</w:t>
      </w:r>
      <w:r>
        <w:rPr>
          <w:rFonts w:ascii="仿宋_GB2312" w:hAnsi="仿宋_GB2312" w:eastAsia="仿宋_GB2312" w:cs="仿宋_GB2312"/>
          <w:color w:val="000000" w:themeColor="text1"/>
          <w:kern w:val="0"/>
          <w:sz w:val="32"/>
          <w:szCs w:val="32"/>
          <w14:textFill>
            <w14:solidFill>
              <w14:schemeClr w14:val="tx1"/>
            </w14:solidFill>
          </w14:textFill>
        </w:rPr>
        <w:t>、常态选拔、战略储备、统筹使用，防止急用现找、降格以</w:t>
      </w:r>
      <w:r>
        <w:rPr>
          <w:rFonts w:hint="eastAsia" w:ascii="仿宋_GB2312" w:hAnsi="仿宋_GB2312" w:eastAsia="仿宋_GB2312" w:cs="仿宋_GB2312"/>
          <w:color w:val="000000" w:themeColor="text1"/>
          <w:kern w:val="0"/>
          <w:sz w:val="32"/>
          <w:szCs w:val="32"/>
          <w14:textFill>
            <w14:solidFill>
              <w14:schemeClr w14:val="tx1"/>
            </w14:solidFill>
          </w14:textFill>
        </w:rPr>
        <w:t>求</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优化女干部成长路径，为女干部参加教育培训、交流任职、挂职锻炼创造条件和机会。开展女性领导力培训，提升女干部的政治素质和领导能力。注重从基层、生产一线培养选拔女干部，选拔女干部到重要部门、关键岗位担任领导职务。保持优秀年轻干部队伍中女干部的合理比例。落实女干部选拔配备的目标任务，在保证质量的前提下应配尽配。保障妇女在干部录用、选拔、聘（任）用、晋升、退休各环节不因性别受到歧视。</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（6）推动妇女积极参与事业单位决策管理。培养选拔优秀女性专业</w:t>
      </w:r>
      <w:r>
        <w:rPr>
          <w:rFonts w:ascii="仿宋_GB2312" w:hAnsi="仿宋_GB2312" w:eastAsia="仿宋_GB2312" w:cs="仿宋_GB2312"/>
          <w:color w:val="000000" w:themeColor="text1"/>
          <w:kern w:val="0"/>
          <w:sz w:val="32"/>
          <w:szCs w:val="32"/>
          <w14:textFill>
            <w14:solidFill>
              <w14:schemeClr w14:val="tx1"/>
            </w14:solidFill>
          </w14:textFill>
        </w:rPr>
        <w:t>技术人员</w:t>
      </w:r>
      <w:r>
        <w:rPr>
          <w:rFonts w:hint="eastAsia" w:ascii="仿宋_GB2312" w:hAnsi="仿宋_GB2312" w:eastAsia="仿宋_GB2312" w:cs="仿宋_GB2312"/>
          <w:color w:val="000000" w:themeColor="text1"/>
          <w:kern w:val="0"/>
          <w:sz w:val="32"/>
          <w:szCs w:val="32"/>
          <w14:textFill>
            <w14:solidFill>
              <w14:schemeClr w14:val="tx1"/>
            </w14:solidFill>
          </w14:textFill>
        </w:rPr>
        <w:t>进入决策管理层。重视在卫生、教育、文化等女性集中的行业提高决策管理层中的女性比例，鼓励妇女积极参与本单位党建和群团组织建设，促进事业单位职工代表大会中的女代表比例与女职工比例相适应。在深化事业单位改革进程中，确保妇女在职务晋升、职称评聘等方面享有平等的权利和机会。</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7）推动妇女广泛参与企业决策管理。将女干部选拔配备纳入国有控股企业领导班子和干部队伍建设规划，加大培养、选拔、使用力度。在深化企业人事制度改革进程中，采取组织推荐、公开招聘、民主推荐等方式，促进优秀妇女进入企业董事会、监事会和管理层。完善企业民主管理制度，促进职工代表大会中女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8）加强村（居）女干部的培养选拔。注重从村（居）妇联主席、女党员、致富女能手、外出务工经商返乡女性、本乡本土女大学毕业生、女社区专职工作者、女专职网格员、巾帼志愿者骨干、退休女性等人员中培养选拔村（居）干部。在有条件的地方，积极稳妥推进村（居）党组织书记通过法定程序担任村（居）委会主任，通过提名确定女性候选人、女性委员专职专选、女性成员另行选举等措施，提高村委会成员、村委会主任中的女性比例。</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9）支持引导妇女参与社会组织。优化社会组织发展的制度环境，加大以女性为会员主体或以女性为主要从业人员的社会组织的培育力度，加强支持和指导服务，促进其健康有序发展并积极参与社会组织协商。鼓励支持更多女性成为社会组织成员或从业人员，加强社会组织女性专业人才和管理人才的培养，注重发现培养社会组织女性负责人。</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10）发挥妇联组织在推进国家治理体系和治理能力现代化进程中的作用。支持妇联组织履行代表妇女参与管理国家事务、经济文化事业和社会事务的职责，强化妇联组织参与民主决策、民主管理、民主监督，参与制定有关法规、规章和政策，参与社会治理和公共服务的制度保障。在制定有关促进男女平等和保障妇女合法权益的法规政策以及选拔培养女干部工作中，充分听取妇联组织意见和建议。</w:t>
      </w:r>
    </w:p>
    <w:p>
      <w:pPr>
        <w:suppressAutoHyphens w:val="0"/>
        <w:overflowPunct w:val="0"/>
        <w:spacing w:line="620" w:lineRule="exact"/>
        <w:ind w:firstLine="640" w:firstLineChars="200"/>
        <w:outlineLvl w:val="1"/>
        <w:rPr>
          <w:rFonts w:ascii="Times New Roman" w:hAnsi="Times New Roman" w:eastAsia="楷体_GB2312"/>
          <w:color w:val="000000" w:themeColor="text1"/>
          <w:sz w:val="32"/>
          <w:szCs w:val="32"/>
          <w14:textFill>
            <w14:solidFill>
              <w14:schemeClr w14:val="tx1"/>
            </w14:solidFill>
          </w14:textFill>
        </w:rPr>
      </w:pPr>
      <w:bookmarkStart w:id="17" w:name="_Toc1082610875"/>
      <w:r>
        <w:rPr>
          <w:rFonts w:ascii="Times New Roman" w:hAnsi="楷体" w:eastAsia="楷体_GB2312"/>
          <w:color w:val="000000" w:themeColor="text1"/>
          <w:sz w:val="32"/>
          <w:szCs w:val="32"/>
          <w14:textFill>
            <w14:solidFill>
              <w14:schemeClr w14:val="tx1"/>
            </w14:solidFill>
          </w14:textFill>
        </w:rPr>
        <w:t>（五）妇女与社会保障</w:t>
      </w:r>
      <w:bookmarkEnd w:id="17"/>
      <w:r>
        <w:rPr>
          <w:rFonts w:hint="eastAsia" w:ascii="Times New Roman" w:hAnsi="楷体" w:eastAsia="楷体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1.主要目标。</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（1）妇女平等</w:t>
      </w:r>
      <w:r>
        <w:rPr>
          <w:rFonts w:ascii="仿宋_GB2312" w:hAnsi="仿宋_GB2312" w:eastAsia="仿宋_GB2312" w:cs="仿宋_GB2312"/>
          <w:color w:val="000000" w:themeColor="text1"/>
          <w:sz w:val="32"/>
          <w:szCs w:val="32"/>
          <w14:textFill>
            <w14:solidFill>
              <w14:schemeClr w14:val="tx1"/>
            </w14:solidFill>
          </w14:textFill>
        </w:rPr>
        <w:t>享有</w:t>
      </w:r>
      <w:r>
        <w:rPr>
          <w:rFonts w:hint="eastAsia" w:ascii="仿宋_GB2312" w:hAnsi="仿宋_GB2312" w:eastAsia="仿宋_GB2312" w:cs="仿宋_GB2312"/>
          <w:color w:val="000000" w:themeColor="text1"/>
          <w:sz w:val="32"/>
          <w:szCs w:val="32"/>
          <w14:textFill>
            <w14:solidFill>
              <w14:schemeClr w14:val="tx1"/>
            </w14:solidFill>
          </w14:textFill>
        </w:rPr>
        <w:t>社会保障权益，缩小男女两性差距。</w:t>
      </w:r>
      <w:r>
        <w:rPr>
          <w:rFonts w:hint="eastAsia" w:ascii="楷体" w:hAnsi="楷体" w:eastAsia="楷体_GB2312" w:cs="仿宋_GB2312"/>
          <w:color w:val="000000" w:themeColor="text1"/>
          <w:sz w:val="32"/>
          <w:szCs w:val="32"/>
          <w14:textFill>
            <w14:solidFill>
              <w14:schemeClr w14:val="tx1"/>
            </w14:solidFill>
          </w14:textFill>
        </w:rPr>
        <w:t>（牵头单位：区人力资源和社会保障局，责任单位：区财政局、区医保局、区民政局、区总工会）</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（2）完善生育保障制度。提高生育保险参保率。</w:t>
      </w:r>
      <w:r>
        <w:rPr>
          <w:rFonts w:hint="eastAsia" w:ascii="楷体" w:hAnsi="楷体" w:eastAsia="楷体_GB2312" w:cs="仿宋_GB2312"/>
          <w:color w:val="000000" w:themeColor="text1"/>
          <w:sz w:val="32"/>
          <w:szCs w:val="32"/>
          <w14:textFill>
            <w14:solidFill>
              <w14:schemeClr w14:val="tx1"/>
            </w14:solidFill>
          </w14:textFill>
        </w:rPr>
        <w:t>（牵头单位：区医保局，责任单位：区卫生健康局、区总工会、区税务局）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（3）完善医疗保障体系。妇女基本医疗保险参保</w:t>
      </w:r>
      <w:r>
        <w:rPr>
          <w:rFonts w:ascii="仿宋_GB2312" w:hAnsi="仿宋_GB2312" w:eastAsia="仿宋_GB2312" w:cs="仿宋_GB2312"/>
          <w:color w:val="000000" w:themeColor="text1"/>
          <w:sz w:val="32"/>
          <w:szCs w:val="32"/>
          <w14:textFill>
            <w14:solidFill>
              <w14:schemeClr w14:val="tx1"/>
            </w14:solidFill>
          </w14:textFill>
        </w:rPr>
        <w:t>率稳定在</w:t>
      </w:r>
      <w:r>
        <w:rPr>
          <w:rFonts w:hint="eastAsia" w:ascii="仿宋_GB2312" w:hAnsi="仿宋_GB2312" w:eastAsia="仿宋_GB2312" w:cs="仿宋_GB2312"/>
          <w:color w:val="000000" w:themeColor="text1"/>
          <w:sz w:val="32"/>
          <w:szCs w:val="32"/>
          <w14:textFill>
            <w14:solidFill>
              <w14:schemeClr w14:val="tx1"/>
            </w14:solidFill>
          </w14:textFill>
        </w:rPr>
        <w:t>95</w:t>
      </w:r>
      <w:r>
        <w:rPr>
          <w:rFonts w:ascii="仿宋_GB2312" w:hAnsi="仿宋_GB2312" w:eastAsia="仿宋_GB2312" w:cs="仿宋_GB2312"/>
          <w:color w:val="000000" w:themeColor="text1"/>
          <w:sz w:val="32"/>
          <w:szCs w:val="32"/>
          <w14:textFill>
            <w14:solidFill>
              <w14:schemeClr w14:val="tx1"/>
            </w14:solidFill>
          </w14:textFill>
        </w:rPr>
        <w:t>%以上，</w:t>
      </w:r>
      <w:r>
        <w:rPr>
          <w:rFonts w:hint="eastAsia" w:ascii="仿宋_GB2312" w:hAnsi="仿宋_GB2312" w:eastAsia="仿宋_GB2312" w:cs="仿宋_GB2312"/>
          <w:color w:val="000000" w:themeColor="text1"/>
          <w:sz w:val="32"/>
          <w:szCs w:val="32"/>
          <w14:textFill>
            <w14:solidFill>
              <w14:schemeClr w14:val="tx1"/>
            </w14:solidFill>
          </w14:textFill>
        </w:rPr>
        <w:t>待遇保障公平适度。</w:t>
      </w:r>
      <w:r>
        <w:rPr>
          <w:rFonts w:hint="eastAsia" w:ascii="楷体" w:hAnsi="楷体" w:eastAsia="楷体_GB2312" w:cs="仿宋_GB2312"/>
          <w:color w:val="000000" w:themeColor="text1"/>
          <w:sz w:val="32"/>
          <w:szCs w:val="32"/>
          <w14:textFill>
            <w14:solidFill>
              <w14:schemeClr w14:val="tx1"/>
            </w14:solidFill>
          </w14:textFill>
        </w:rPr>
        <w:t>（牵头单位：区医保局，责任单位：区卫生健康局、区总工会、区税务局）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（4）完善基本养老保险体系。妇女基本养老保险参保率达到95%以上，待遇水平稳步提高。</w:t>
      </w:r>
      <w:r>
        <w:rPr>
          <w:rFonts w:hint="eastAsia" w:ascii="楷体" w:hAnsi="楷体" w:eastAsia="楷体_GB2312" w:cs="仿宋_GB2312"/>
          <w:color w:val="000000" w:themeColor="text1"/>
          <w:sz w:val="32"/>
          <w:szCs w:val="32"/>
          <w14:textFill>
            <w14:solidFill>
              <w14:schemeClr w14:val="tx1"/>
            </w14:solidFill>
          </w14:textFill>
        </w:rPr>
        <w:t>（牵头单位：区人力资源和社会保障局，责任单位：区卫生健康局、区总工会、区税务局）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（5）完善失业保险和工伤保险制度。妇女失业保险和工伤保险的参保率以及待遇水平逐步提高。</w:t>
      </w:r>
      <w:r>
        <w:rPr>
          <w:rFonts w:hint="eastAsia" w:ascii="楷体" w:hAnsi="楷体" w:eastAsia="楷体_GB2312" w:cs="仿宋_GB2312"/>
          <w:color w:val="000000" w:themeColor="text1"/>
          <w:sz w:val="32"/>
          <w:szCs w:val="32"/>
          <w14:textFill>
            <w14:solidFill>
              <w14:schemeClr w14:val="tx1"/>
            </w14:solidFill>
          </w14:textFill>
        </w:rPr>
        <w:t>（牵头单位：区人力资源和社会保障局，责任单位：区总工会、区税务局）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（6）健全分层分类社会救助体系。特困和低保家庭妇女基本生活得到保障，低收入</w:t>
      </w:r>
      <w:r>
        <w:rPr>
          <w:rFonts w:ascii="仿宋_GB2312" w:hAnsi="仿宋_GB2312" w:eastAsia="仿宋_GB2312" w:cs="仿宋_GB2312"/>
          <w:color w:val="000000" w:themeColor="text1"/>
          <w:sz w:val="32"/>
          <w:szCs w:val="32"/>
          <w14:textFill>
            <w14:solidFill>
              <w14:schemeClr w14:val="tx1"/>
            </w14:solidFill>
          </w14:textFill>
        </w:rPr>
        <w:t>家</w:t>
      </w:r>
      <w:r>
        <w:rPr>
          <w:rFonts w:hint="eastAsia" w:ascii="仿宋_GB2312" w:hAnsi="仿宋_GB2312" w:eastAsia="仿宋_GB2312" w:cs="仿宋_GB2312"/>
          <w:color w:val="000000" w:themeColor="text1"/>
          <w:sz w:val="32"/>
          <w:szCs w:val="32"/>
          <w14:textFill>
            <w14:solidFill>
              <w14:schemeClr w14:val="tx1"/>
            </w14:solidFill>
          </w14:textFill>
        </w:rPr>
        <w:t>庭</w:t>
      </w:r>
      <w:r>
        <w:rPr>
          <w:rFonts w:ascii="仿宋_GB2312" w:hAnsi="仿宋_GB2312" w:eastAsia="仿宋_GB2312" w:cs="仿宋_GB2312"/>
          <w:color w:val="000000" w:themeColor="text1"/>
          <w:sz w:val="32"/>
          <w:szCs w:val="32"/>
          <w14:textFill>
            <w14:solidFill>
              <w14:schemeClr w14:val="tx1"/>
            </w14:solidFill>
          </w14:textFill>
        </w:rPr>
        <w:t>妇女根据实际需要得到专项救助</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（牵头单位：区民政局，责任单位：区财政局、区医保局、区教育和体育局、区人力资源和社会保障局、区应急管理局、区总工会、区妇联、区残联、团区委）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）建立完善多层次养老服务和长期照护保障制度。保障老年妇女享有均等可及的基本养老服务，失能妇女的照护服务水平不断提高。</w:t>
      </w:r>
      <w:r>
        <w:rPr>
          <w:rFonts w:hint="eastAsia" w:ascii="楷体" w:hAnsi="楷体" w:eastAsia="楷体_GB2312" w:cs="仿宋_GB2312"/>
          <w:color w:val="000000" w:themeColor="text1"/>
          <w:sz w:val="32"/>
          <w:szCs w:val="32"/>
          <w14:textFill>
            <w14:solidFill>
              <w14:schemeClr w14:val="tx1"/>
            </w14:solidFill>
          </w14:textFill>
        </w:rPr>
        <w:t>（牵头单位：区民政局、区医</w:t>
      </w:r>
      <w:r>
        <w:rPr>
          <w:rFonts w:ascii="楷体" w:hAnsi="楷体" w:eastAsia="楷体_GB2312" w:cs="仿宋_GB2312"/>
          <w:color w:val="000000" w:themeColor="text1"/>
          <w:sz w:val="32"/>
          <w:szCs w:val="32"/>
          <w14:textFill>
            <w14:solidFill>
              <w14:schemeClr w14:val="tx1"/>
            </w14:solidFill>
          </w14:textFill>
        </w:rPr>
        <w:t>保局</w:t>
      </w:r>
      <w:r>
        <w:rPr>
          <w:rFonts w:hint="eastAsia" w:ascii="楷体" w:hAnsi="楷体" w:eastAsia="楷体_GB2312" w:cs="仿宋_GB2312"/>
          <w:color w:val="000000" w:themeColor="text1"/>
          <w:sz w:val="32"/>
          <w:szCs w:val="32"/>
          <w14:textFill>
            <w14:solidFill>
              <w14:schemeClr w14:val="tx1"/>
            </w14:solidFill>
          </w14:textFill>
        </w:rPr>
        <w:t>，责任单位：区卫生健康局、区人力资源和社会保障局、区财政局）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）加强</w:t>
      </w:r>
      <w:r>
        <w:rPr>
          <w:rFonts w:ascii="仿宋_GB2312" w:hAnsi="仿宋_GB2312" w:eastAsia="仿宋_GB2312" w:cs="仿宋_GB2312"/>
          <w:color w:val="000000" w:themeColor="text1"/>
          <w:sz w:val="32"/>
          <w:szCs w:val="32"/>
          <w14:textFill>
            <w14:solidFill>
              <w14:schemeClr w14:val="tx1"/>
            </w14:solidFill>
          </w14:textFill>
        </w:rPr>
        <w:t>对妇女的关爱服务，</w:t>
      </w:r>
      <w:r>
        <w:rPr>
          <w:rFonts w:hint="eastAsia" w:ascii="仿宋_GB2312" w:hAnsi="仿宋_GB2312" w:eastAsia="仿宋_GB2312" w:cs="仿宋_GB2312"/>
          <w:color w:val="000000" w:themeColor="text1"/>
          <w:sz w:val="32"/>
          <w:szCs w:val="32"/>
          <w14:textFill>
            <w14:solidFill>
              <w14:schemeClr w14:val="tx1"/>
            </w14:solidFill>
          </w14:textFill>
        </w:rPr>
        <w:t>有困难、有需求的妇女得到重点帮扶。</w:t>
      </w:r>
      <w:r>
        <w:rPr>
          <w:rFonts w:hint="eastAsia" w:ascii="楷体" w:hAnsi="楷体" w:eastAsia="楷体_GB2312" w:cs="仿宋_GB2312"/>
          <w:color w:val="000000" w:themeColor="text1"/>
          <w:sz w:val="32"/>
          <w:szCs w:val="32"/>
          <w14:textFill>
            <w14:solidFill>
              <w14:schemeClr w14:val="tx1"/>
            </w14:solidFill>
          </w14:textFill>
        </w:rPr>
        <w:t>（牵头单位：区民政局，责任单位：区乡村振兴</w:t>
      </w:r>
      <w:r>
        <w:rPr>
          <w:rFonts w:ascii="楷体" w:hAnsi="楷体" w:eastAsia="楷体_GB2312" w:cs="仿宋_GB2312"/>
          <w:color w:val="000000" w:themeColor="text1"/>
          <w:sz w:val="32"/>
          <w:szCs w:val="32"/>
          <w14:textFill>
            <w14:solidFill>
              <w14:schemeClr w14:val="tx1"/>
            </w14:solidFill>
          </w14:textFill>
        </w:rPr>
        <w:t>局</w:t>
      </w:r>
      <w:r>
        <w:rPr>
          <w:rFonts w:hint="eastAsia" w:ascii="楷体" w:hAnsi="楷体" w:eastAsia="楷体_GB2312" w:cs="仿宋_GB2312"/>
          <w:color w:val="000000" w:themeColor="text1"/>
          <w:sz w:val="32"/>
          <w:szCs w:val="32"/>
          <w14:textFill>
            <w14:solidFill>
              <w14:schemeClr w14:val="tx1"/>
            </w14:solidFill>
          </w14:textFill>
        </w:rPr>
        <w:t>、区公安分局、区司法局、区财政局、区人力资源和社会保障局、区卫生健康局、区文化和旅游局、区教育和体育局、区妇联、区残联）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 策略措施。</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bookmarkStart w:id="18" w:name="_Hlk50545630"/>
      <w:r>
        <w:rPr>
          <w:rFonts w:hint="eastAsia" w:ascii="仿宋_GB2312" w:hAnsi="仿宋_GB2312" w:eastAsia="仿宋_GB2312" w:cs="仿宋_GB2312"/>
          <w:color w:val="000000" w:themeColor="text1"/>
          <w:kern w:val="0"/>
          <w:sz w:val="32"/>
          <w:szCs w:val="32"/>
          <w14:textFill>
            <w14:solidFill>
              <w14:schemeClr w14:val="tx1"/>
            </w14:solidFill>
          </w14:textFill>
        </w:rPr>
        <w:t>（1）完善惠及妇女群体的社会保障体系。在制定修订社会救助、社会保险和其他相关法规、政策过程中，关切和保障妇女的特殊利益和需求。</w:t>
      </w:r>
      <w:r>
        <w:rPr>
          <w:rFonts w:hint="eastAsia" w:ascii="仿宋_GB2312" w:hAnsi="仿宋_GB2312" w:eastAsia="仿宋_GB2312" w:cs="仿宋_GB2312"/>
          <w:color w:val="000000" w:themeColor="text1"/>
          <w:sz w:val="32"/>
          <w:szCs w:val="32"/>
          <w14:textFill>
            <w14:solidFill>
              <w14:schemeClr w14:val="tx1"/>
            </w14:solidFill>
          </w14:textFill>
        </w:rPr>
        <w:t>实施全民参保计划，推进社保转移接续，支持灵活就业、新业态就业女性参保，推进符合</w:t>
      </w:r>
      <w:r>
        <w:rPr>
          <w:rFonts w:ascii="仿宋_GB2312" w:hAnsi="仿宋_GB2312" w:eastAsia="仿宋_GB2312" w:cs="仿宋_GB2312"/>
          <w:color w:val="000000" w:themeColor="text1"/>
          <w:sz w:val="32"/>
          <w:szCs w:val="32"/>
          <w14:textFill>
            <w14:solidFill>
              <w14:schemeClr w14:val="tx1"/>
            </w14:solidFill>
          </w14:textFill>
        </w:rPr>
        <w:t>条件的</w:t>
      </w:r>
      <w:r>
        <w:rPr>
          <w:rFonts w:hint="eastAsia" w:ascii="仿宋_GB2312" w:hAnsi="仿宋_GB2312" w:eastAsia="仿宋_GB2312" w:cs="仿宋_GB2312"/>
          <w:color w:val="000000" w:themeColor="text1"/>
          <w:sz w:val="32"/>
          <w:szCs w:val="32"/>
          <w14:textFill>
            <w14:solidFill>
              <w14:schemeClr w14:val="tx1"/>
            </w14:solidFill>
          </w14:textFill>
        </w:rPr>
        <w:t>妇女应保尽保，扩大妇</w:t>
      </w:r>
      <w:r>
        <w:rPr>
          <w:rFonts w:ascii="仿宋_GB2312" w:hAnsi="仿宋_GB2312" w:eastAsia="仿宋_GB2312" w:cs="仿宋_GB2312"/>
          <w:color w:val="000000" w:themeColor="text1"/>
          <w:sz w:val="32"/>
          <w:szCs w:val="32"/>
          <w14:textFill>
            <w14:solidFill>
              <w14:schemeClr w14:val="tx1"/>
            </w14:solidFill>
          </w14:textFill>
        </w:rPr>
        <w:t>女</w:t>
      </w:r>
      <w:r>
        <w:rPr>
          <w:rFonts w:hint="eastAsia" w:ascii="仿宋_GB2312" w:hAnsi="仿宋_GB2312" w:eastAsia="仿宋_GB2312" w:cs="仿宋_GB2312"/>
          <w:color w:val="000000" w:themeColor="text1"/>
          <w:sz w:val="32"/>
          <w:szCs w:val="32"/>
          <w14:textFill>
            <w14:solidFill>
              <w14:schemeClr w14:val="tx1"/>
            </w14:solidFill>
          </w14:textFill>
        </w:rPr>
        <w:t>社会保险覆盖面，缩小社会保障的性别差距。</w:t>
      </w:r>
      <w:r>
        <w:rPr>
          <w:rFonts w:hint="eastAsia" w:ascii="仿宋_GB2312" w:hAnsi="仿宋_GB2312" w:eastAsia="仿宋_GB2312" w:cs="仿宋_GB2312"/>
          <w:color w:val="000000" w:themeColor="text1"/>
          <w:kern w:val="0"/>
          <w:sz w:val="32"/>
          <w:szCs w:val="32"/>
          <w14:textFill>
            <w14:solidFill>
              <w14:schemeClr w14:val="tx1"/>
            </w14:solidFill>
          </w14:textFill>
        </w:rPr>
        <w:t>加强社会保障分性别统计、信息动态监测和管理。</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（2）完善覆盖城乡妇女的生育保障制度。健全生育保险制度机制。落实《山东省企业职工生育保险规定》《山东省女职工劳动保护办法》等法规政策，提高生育保险与职工基本医疗保险合并实施成效，</w:t>
      </w:r>
      <w:r>
        <w:rPr>
          <w:rFonts w:hint="eastAsia" w:ascii="仿宋_GB2312" w:hAnsi="仿宋_GB2312" w:eastAsia="仿宋_GB2312" w:cs="仿宋_GB2312"/>
          <w:color w:val="000000" w:themeColor="text1"/>
          <w:sz w:val="32"/>
          <w:szCs w:val="32"/>
          <w14:textFill>
            <w14:solidFill>
              <w14:schemeClr w14:val="tx1"/>
            </w14:solidFill>
          </w14:textFill>
        </w:rPr>
        <w:t>保障女职工生育保险待遇。参加生育保险男职工的未就业配偶，符合计划生育政策规定生育，未享受生育医疗费待遇的</w:t>
      </w:r>
      <w:r>
        <w:rPr>
          <w:rFonts w:hint="eastAsia" w:ascii="仿宋_GB2312" w:hAnsi="仿宋_GB2312" w:eastAsia="仿宋_GB2312" w:cs="仿宋_GB2312"/>
          <w:color w:val="000000" w:themeColor="text1"/>
          <w:spacing w:val="1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按照女职工生育医疗费标准的50%享受生育医疗费待遇。妥善解决妇女在就业和失业期间生育保障问题。逐步提高</w:t>
      </w:r>
      <w:r>
        <w:rPr>
          <w:rFonts w:ascii="仿宋_GB2312" w:hAnsi="仿宋_GB2312" w:eastAsia="仿宋_GB2312" w:cs="仿宋_GB2312"/>
          <w:color w:val="000000" w:themeColor="text1"/>
          <w:sz w:val="32"/>
          <w:szCs w:val="32"/>
          <w14:textFill>
            <w14:solidFill>
              <w14:schemeClr w14:val="tx1"/>
            </w14:solidFill>
          </w14:textFill>
        </w:rPr>
        <w:t>参加</w:t>
      </w:r>
      <w:r>
        <w:rPr>
          <w:rFonts w:hint="eastAsia" w:ascii="仿宋_GB2312" w:hAnsi="仿宋_GB2312" w:eastAsia="仿宋_GB2312" w:cs="仿宋_GB2312"/>
          <w:color w:val="000000" w:themeColor="text1"/>
          <w:sz w:val="32"/>
          <w:szCs w:val="32"/>
          <w14:textFill>
            <w14:solidFill>
              <w14:schemeClr w14:val="tx1"/>
            </w14:solidFill>
          </w14:textFill>
        </w:rPr>
        <w:t>居民基本医疗保险的妇女生育医疗费用保障水平。</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（3）不断提高妇女医疗保障水平。推动女职工和城乡女性居民持续参加基本医疗保险，满足妇女基本医疗保障需求。</w:t>
      </w:r>
      <w:r>
        <w:rPr>
          <w:rFonts w:hint="eastAsia" w:ascii="仿宋_GB2312" w:hAnsi="Times New Roman" w:eastAsia="仿宋_GB2312"/>
          <w:color w:val="000000" w:themeColor="text1"/>
          <w:sz w:val="32"/>
          <w:szCs w:val="32"/>
          <w14:textFill>
            <w14:solidFill>
              <w14:schemeClr w14:val="tx1"/>
            </w14:solidFill>
          </w14:textFill>
        </w:rPr>
        <w:t>创新医保支付方式，完善异地就医结算办法，强化医保基金监管能力。加强基本医疗保险、大病保险与医疗救助协同互补，试点改革职工医保个人账户，建立健全门诊共济保障机制，鼓励发展多种类型的商业健康保险，</w:t>
      </w:r>
      <w:r>
        <w:rPr>
          <w:rFonts w:hint="eastAsia" w:ascii="仿宋_GB2312" w:hAnsi="仿宋_GB2312" w:eastAsia="仿宋_GB2312" w:cs="仿宋_GB2312"/>
          <w:color w:val="000000" w:themeColor="text1"/>
          <w:kern w:val="0"/>
          <w:sz w:val="32"/>
          <w:szCs w:val="32"/>
          <w14:textFill>
            <w14:solidFill>
              <w14:schemeClr w14:val="tx1"/>
            </w14:solidFill>
          </w14:textFill>
        </w:rPr>
        <w:t>促进多层次医疗保障互补衔接，做好符合条件的困难妇女医疗救助。落实职工大病保险女</w:t>
      </w:r>
      <w:r>
        <w:rPr>
          <w:rFonts w:ascii="仿宋_GB2312" w:hAnsi="仿宋_GB2312" w:eastAsia="仿宋_GB2312" w:cs="仿宋_GB2312"/>
          <w:color w:val="000000" w:themeColor="text1"/>
          <w:kern w:val="0"/>
          <w:sz w:val="32"/>
          <w:szCs w:val="32"/>
          <w14:textFill>
            <w14:solidFill>
              <w14:schemeClr w14:val="tx1"/>
            </w14:solidFill>
          </w14:textFill>
        </w:rPr>
        <w:t>职工待遇</w:t>
      </w:r>
      <w:r>
        <w:rPr>
          <w:rFonts w:hint="eastAsia" w:ascii="仿宋_GB2312" w:hAnsi="仿宋_GB2312" w:eastAsia="仿宋_GB2312" w:cs="仿宋_GB2312"/>
          <w:color w:val="000000" w:themeColor="text1"/>
          <w:kern w:val="0"/>
          <w:sz w:val="32"/>
          <w:szCs w:val="32"/>
          <w14:textFill>
            <w14:solidFill>
              <w14:schemeClr w14:val="tx1"/>
            </w14:solidFill>
          </w14:textFill>
        </w:rPr>
        <w:t>，发展宫颈癌、乳腺癌等重大疾病商业保险。</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（4）促进妇女享有可持续、多层次养老保险。</w:t>
      </w:r>
      <w:r>
        <w:rPr>
          <w:rFonts w:hint="eastAsia" w:ascii="仿宋_GB2312" w:hAnsi="Times New Roman" w:eastAsia="仿宋_GB2312"/>
          <w:color w:val="000000" w:themeColor="text1"/>
          <w:sz w:val="32"/>
          <w:szCs w:val="32"/>
          <w14:textFill>
            <w14:solidFill>
              <w14:schemeClr w14:val="tx1"/>
            </w14:solidFill>
          </w14:textFill>
        </w:rPr>
        <w:t>健全基本养老保险筹资和待遇调整机制，落实企业职工基本养老保险全国统筹，实施渐进式延迟法定退休年龄。加快商业养老保险发展，构建多层次、多支柱养老保险体系。督促用人单位依法为女职工足额缴纳基本养老保险费，鼓励有条件的用人单位为女职工建立企业（职业）年金。促进妇女群体公平享有养老保险，提高妇女养老保障水平。</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保障女性的失业保险权益。督促用人单位依法为女职工办理失业保险，提高女职工的参保率。保障符合条件的失业女职工按时享有失业保险待遇。强化失业保险促就业防失业功能，支持女职工稳定就业。适时制定特殊时期失业保障政策，</w:t>
      </w:r>
      <w:r>
        <w:rPr>
          <w:rFonts w:ascii="仿宋_GB2312" w:hAnsi="仿宋_GB2312" w:eastAsia="仿宋_GB2312" w:cs="仿宋_GB2312"/>
          <w:color w:val="000000" w:themeColor="text1"/>
          <w:kern w:val="0"/>
          <w:sz w:val="32"/>
          <w:szCs w:val="32"/>
          <w14:textFill>
            <w14:solidFill>
              <w14:schemeClr w14:val="tx1"/>
            </w14:solidFill>
          </w14:textFill>
        </w:rPr>
        <w:t>为包括女职工在内的劳动者提供保障。</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扩大妇女工伤保险覆盖面。增强工伤保险预防工伤、保障生活、促进康复的功能，探索建立新业态领域职业伤害参保机制，将灵活就业、新业态就业妇女纳入保障范围。督促用人单位特别是高风险行业单位依法为女职工办理工伤保险，确保工伤保险待遇落实。</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（7）强化社会救助对困难妇女的兜底保障。</w:t>
      </w:r>
      <w:r>
        <w:rPr>
          <w:rFonts w:hint="eastAsia" w:ascii="仿宋_GB2312" w:hAnsi="Times New Roman" w:eastAsia="仿宋_GB2312"/>
          <w:color w:val="000000" w:themeColor="text1"/>
          <w:sz w:val="32"/>
          <w:szCs w:val="32"/>
          <w14:textFill>
            <w14:solidFill>
              <w14:schemeClr w14:val="tx1"/>
            </w14:solidFill>
          </w14:textFill>
        </w:rPr>
        <w:t>健全以基本生活救助、专项社会救助、急难社会救助为主体，社会力量参与为补充的分层分类、城乡统筹的综合救助格局，实现城乡社会救助标准一体化。完善最低生活保障和特困人员供养等基本生活救助制度，加强灾害、医疗、教育、住房、司法等专项救助，构建区、(街道)镇、村(居)社会救助综合服务体系。实施救助家庭动态监管，实现社会救助相关数据跨部门共享，优化社会救助审批流程。鼓励社会力量提供就业指导、技能培训、法律援助等救助服务。推动建立统一的救助信息平台，加强社会救助分性别统计，精准识别救助对象，实现符合条件的妇女应救尽救。</w:t>
      </w:r>
    </w:p>
    <w:p>
      <w:pPr>
        <w:suppressAutoHyphens w:val="0"/>
        <w:overflowPunct w:val="0"/>
        <w:spacing w:line="62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（8）不断满足妇女群体的社会福利需求。</w:t>
      </w:r>
      <w:r>
        <w:rPr>
          <w:rFonts w:hint="eastAsia" w:ascii="仿宋_GB2312" w:hAnsi="Times New Roman" w:eastAsia="仿宋_GB2312"/>
          <w:color w:val="000000" w:themeColor="text1"/>
          <w:sz w:val="32"/>
          <w:szCs w:val="32"/>
          <w14:textFill>
            <w14:solidFill>
              <w14:schemeClr w14:val="tx1"/>
            </w14:solidFill>
          </w14:textFill>
        </w:rPr>
        <w:t>抓好社会福利院建设。完善社会福利制度体系，提高妇女的社会福利水平，落实各项补贴待遇，逐步提升老年妇女福利水平。完善残疾妇女补贴制度，动态调整、合理确定困难残疾妇女生活补贴和重度残疾妇女护理补贴标准。</w:t>
      </w:r>
      <w:r>
        <w:rPr>
          <w:rFonts w:ascii="仿宋_GB2312" w:hAnsi="Times New Roman" w:eastAsia="仿宋_GB2312"/>
          <w:color w:val="000000" w:themeColor="text1"/>
          <w:sz w:val="32"/>
          <w:szCs w:val="32"/>
          <w14:textFill>
            <w14:solidFill>
              <w14:schemeClr w14:val="tx1"/>
            </w14:solidFill>
          </w14:textFill>
        </w:rPr>
        <w:t>鼓励有条件的区县创新补贴内容</w:t>
      </w:r>
      <w:r>
        <w:rPr>
          <w:rFonts w:hint="eastAsia" w:ascii="仿宋_GB2312" w:hAnsi="Times New Roman" w:eastAsia="仿宋_GB2312"/>
          <w:color w:val="000000" w:themeColor="text1"/>
          <w:sz w:val="32"/>
          <w:szCs w:val="32"/>
          <w14:textFill>
            <w14:solidFill>
              <w14:schemeClr w14:val="tx1"/>
            </w14:solidFill>
          </w14:textFill>
        </w:rPr>
        <w:t>、</w:t>
      </w:r>
      <w:r>
        <w:rPr>
          <w:rFonts w:ascii="仿宋_GB2312" w:hAnsi="Times New Roman" w:eastAsia="仿宋_GB2312"/>
          <w:color w:val="000000" w:themeColor="text1"/>
          <w:sz w:val="32"/>
          <w:szCs w:val="32"/>
          <w14:textFill>
            <w14:solidFill>
              <w14:schemeClr w14:val="tx1"/>
            </w14:solidFill>
          </w14:textFill>
        </w:rPr>
        <w:t>补贴形式，</w:t>
      </w:r>
      <w:r>
        <w:rPr>
          <w:rFonts w:hint="eastAsia" w:ascii="仿宋_GB2312" w:hAnsi="Times New Roman" w:eastAsia="仿宋_GB2312"/>
          <w:color w:val="000000" w:themeColor="text1"/>
          <w:sz w:val="32"/>
          <w:szCs w:val="32"/>
          <w14:textFill>
            <w14:solidFill>
              <w14:schemeClr w14:val="tx1"/>
            </w14:solidFill>
          </w14:textFill>
        </w:rPr>
        <w:t>扩大适合残疾妇女特殊需求的公共服务供给。</w:t>
      </w:r>
    </w:p>
    <w:p>
      <w:pPr>
        <w:suppressAutoHyphens w:val="0"/>
        <w:overflowPunct w:val="0"/>
        <w:spacing w:line="62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（9）保障妇女享有基本养老服务。</w:t>
      </w:r>
      <w:r>
        <w:rPr>
          <w:rFonts w:hint="eastAsia" w:ascii="仿宋_GB2312" w:hAnsi="Times New Roman" w:eastAsia="仿宋_GB2312"/>
          <w:color w:val="000000" w:themeColor="text1"/>
          <w:sz w:val="32"/>
          <w:szCs w:val="32"/>
          <w14:textFill>
            <w14:solidFill>
              <w14:schemeClr w14:val="tx1"/>
            </w14:solidFill>
          </w14:textFill>
        </w:rPr>
        <w:t>构建居家社区机构相协调、医养康养相结合的养老服务体系，完善兜底性养老服务设施，实施敬老院改造提升工程。增建普惠型养老服务设施，支持社会力量兴办养老机构，</w:t>
      </w:r>
      <w:r>
        <w:rPr>
          <w:rFonts w:hint="eastAsia" w:ascii="仿宋_GB2312" w:hAnsi="仿宋_GB2312" w:eastAsia="仿宋_GB2312" w:cs="仿宋_GB2312"/>
          <w:color w:val="000000" w:themeColor="text1"/>
          <w:kern w:val="0"/>
          <w:sz w:val="32"/>
          <w:szCs w:val="32"/>
          <w14:textFill>
            <w14:solidFill>
              <w14:schemeClr w14:val="tx1"/>
            </w14:solidFill>
          </w14:textFill>
        </w:rPr>
        <w:t>养老机构护理型床位占比达到55%，实现区级失能照护服务机构全覆盖。</w:t>
      </w:r>
      <w:r>
        <w:rPr>
          <w:rFonts w:hint="eastAsia" w:ascii="仿宋_GB2312" w:hAnsi="Times New Roman" w:eastAsia="仿宋_GB2312"/>
          <w:color w:val="000000" w:themeColor="text1"/>
          <w:sz w:val="32"/>
          <w:szCs w:val="32"/>
          <w14:textFill>
            <w14:solidFill>
              <w14:schemeClr w14:val="tx1"/>
            </w14:solidFill>
          </w14:textFill>
        </w:rPr>
        <w:t>搭建全区统一开放的社会化智慧养老服务平台，创建国家智慧健康养老应用试点示范。健全老年健康危险因素干预、疾病早发现早诊断早治疗、失能预防三级预防体系。加快基础设施适老化改造，构建老年友好社区，建设老年友好型城市。</w:t>
      </w:r>
    </w:p>
    <w:p>
      <w:pPr>
        <w:suppressAutoHyphens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（10）探索建立多层次长期照护保障制度。加强长期护理保险制度与长期照护服务体系有机衔接，妥善解决失能妇女长期护理保障需求。建立相关保险、福利、救助相衔接的长期照护保障制度。</w:t>
      </w:r>
      <w:r>
        <w:rPr>
          <w:rFonts w:ascii="仿宋_GB2312" w:hAnsi="仿宋_GB2312" w:eastAsia="仿宋_GB2312" w:cs="仿宋_GB2312"/>
          <w:color w:val="000000" w:themeColor="text1"/>
          <w:kern w:val="0"/>
          <w:sz w:val="32"/>
          <w:szCs w:val="32"/>
          <w14:textFill>
            <w14:solidFill>
              <w14:schemeClr w14:val="tx1"/>
            </w14:solidFill>
          </w14:textFill>
        </w:rPr>
        <w:t>完善政府购买居家养老服务政策</w:t>
      </w:r>
      <w:r>
        <w:rPr>
          <w:rFonts w:hint="eastAsia" w:ascii="仿宋_GB2312" w:hAnsi="仿宋_GB2312" w:eastAsia="仿宋_GB2312" w:cs="仿宋_GB2312"/>
          <w:color w:val="000000" w:themeColor="text1"/>
          <w:kern w:val="0"/>
          <w:sz w:val="32"/>
          <w:szCs w:val="32"/>
          <w14:textFill>
            <w14:solidFill>
              <w14:schemeClr w14:val="tx1"/>
            </w14:solidFill>
          </w14:textFill>
        </w:rPr>
        <w:t>，制定</w:t>
      </w:r>
      <w:r>
        <w:rPr>
          <w:rFonts w:ascii="仿宋_GB2312" w:hAnsi="仿宋_GB2312" w:eastAsia="仿宋_GB2312" w:cs="仿宋_GB2312"/>
          <w:color w:val="000000" w:themeColor="text1"/>
          <w:kern w:val="0"/>
          <w:sz w:val="32"/>
          <w:szCs w:val="32"/>
          <w14:textFill>
            <w14:solidFill>
              <w14:schemeClr w14:val="tx1"/>
            </w14:solidFill>
          </w14:textFill>
        </w:rPr>
        <w:t>实施养老服务“</w:t>
      </w:r>
      <w:r>
        <w:rPr>
          <w:rFonts w:hint="eastAsia" w:ascii="仿宋_GB2312" w:hAnsi="仿宋_GB2312" w:eastAsia="仿宋_GB2312" w:cs="仿宋_GB2312"/>
          <w:color w:val="000000" w:themeColor="text1"/>
          <w:kern w:val="0"/>
          <w:sz w:val="32"/>
          <w:szCs w:val="32"/>
          <w14:textFill>
            <w14:solidFill>
              <w14:schemeClr w14:val="tx1"/>
            </w14:solidFill>
          </w14:textFill>
        </w:rPr>
        <w:t>时间</w:t>
      </w:r>
      <w:r>
        <w:rPr>
          <w:rFonts w:ascii="仿宋_GB2312" w:hAnsi="仿宋_GB2312" w:eastAsia="仿宋_GB2312" w:cs="仿宋_GB2312"/>
          <w:color w:val="000000" w:themeColor="text1"/>
          <w:kern w:val="0"/>
          <w:sz w:val="32"/>
          <w:szCs w:val="32"/>
          <w14:textFill>
            <w14:solidFill>
              <w14:schemeClr w14:val="tx1"/>
            </w14:solidFill>
          </w14:textFill>
        </w:rPr>
        <w:t>银行”</w:t>
      </w:r>
      <w:r>
        <w:rPr>
          <w:rFonts w:hint="eastAsia" w:ascii="仿宋_GB2312" w:hAnsi="仿宋_GB2312" w:eastAsia="仿宋_GB2312" w:cs="仿宋_GB2312"/>
          <w:color w:val="000000" w:themeColor="text1"/>
          <w:kern w:val="0"/>
          <w:sz w:val="32"/>
          <w:szCs w:val="32"/>
          <w14:textFill>
            <w14:solidFill>
              <w14:schemeClr w14:val="tx1"/>
            </w14:solidFill>
          </w14:textFill>
        </w:rPr>
        <w:t>、家庭</w:t>
      </w:r>
      <w:r>
        <w:rPr>
          <w:rFonts w:ascii="仿宋_GB2312" w:hAnsi="仿宋_GB2312" w:eastAsia="仿宋_GB2312" w:cs="仿宋_GB2312"/>
          <w:color w:val="000000" w:themeColor="text1"/>
          <w:kern w:val="0"/>
          <w:sz w:val="32"/>
          <w:szCs w:val="32"/>
          <w14:textFill>
            <w14:solidFill>
              <w14:schemeClr w14:val="tx1"/>
            </w14:solidFill>
          </w14:textFill>
        </w:rPr>
        <w:t>养老床位</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社区养老顾问制度</w:t>
      </w:r>
      <w:r>
        <w:rPr>
          <w:rFonts w:hint="eastAsia" w:ascii="仿宋_GB2312" w:hAnsi="仿宋_GB2312" w:eastAsia="仿宋_GB2312" w:cs="仿宋_GB2312"/>
          <w:color w:val="000000" w:themeColor="text1"/>
          <w:kern w:val="0"/>
          <w:sz w:val="32"/>
          <w:szCs w:val="32"/>
          <w14:textFill>
            <w14:solidFill>
              <w14:schemeClr w14:val="tx1"/>
            </w14:solidFill>
          </w14:textFill>
        </w:rPr>
        <w:t>等</w:t>
      </w:r>
      <w:r>
        <w:rPr>
          <w:rFonts w:ascii="仿宋_GB2312" w:hAnsi="仿宋_GB2312" w:eastAsia="仿宋_GB2312" w:cs="仿宋_GB2312"/>
          <w:color w:val="000000" w:themeColor="text1"/>
          <w:kern w:val="0"/>
          <w:sz w:val="32"/>
          <w:szCs w:val="32"/>
          <w14:textFill>
            <w14:solidFill>
              <w14:schemeClr w14:val="tx1"/>
            </w14:solidFill>
          </w14:textFill>
        </w:rPr>
        <w:t>政策</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Times New Roman" w:eastAsia="仿宋_GB2312"/>
          <w:color w:val="000000" w:themeColor="text1"/>
          <w:sz w:val="32"/>
          <w:szCs w:val="32"/>
          <w14:textFill>
            <w14:solidFill>
              <w14:schemeClr w14:val="tx1"/>
            </w14:solidFill>
          </w14:textFill>
        </w:rPr>
        <w:t>培养养老服务人才，建设高素质、专业化的养老服务队伍，</w:t>
      </w:r>
      <w:r>
        <w:rPr>
          <w:rFonts w:hint="eastAsia" w:ascii="仿宋_GB2312" w:hAnsi="仿宋_GB2312" w:eastAsia="仿宋_GB2312" w:cs="仿宋_GB2312"/>
          <w:color w:val="000000" w:themeColor="text1"/>
          <w:kern w:val="0"/>
          <w:sz w:val="32"/>
          <w:szCs w:val="32"/>
          <w14:textFill>
            <w14:solidFill>
              <w14:schemeClr w14:val="tx1"/>
            </w14:solidFill>
          </w14:textFill>
        </w:rPr>
        <w:t>提高老年妇女生活照料、紧急救援、精神慰藉等服务水平。</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（11）加强农村留守妇女关爱服务工作。</w:t>
      </w:r>
      <w:bookmarkEnd w:id="18"/>
      <w:r>
        <w:rPr>
          <w:rFonts w:hint="eastAsia" w:ascii="仿宋_GB2312" w:hAnsi="仿宋_GB2312" w:eastAsia="仿宋_GB2312" w:cs="仿宋_GB2312"/>
          <w:color w:val="000000" w:themeColor="text1"/>
          <w:kern w:val="0"/>
          <w:sz w:val="32"/>
          <w:szCs w:val="32"/>
          <w14:textFill>
            <w14:solidFill>
              <w14:schemeClr w14:val="tx1"/>
            </w14:solidFill>
          </w14:textFill>
        </w:rPr>
        <w:t>完善农村留守妇女关爱服务体系，建立完善以区为单位的农村留守妇女信息台账，加强分类管理和服务。支持社会力量为农村留守妇女提供关爱服务,重点为生活困难、残疾、重病等农村留守妇女提供权益保护、生活帮扶、精神抚慰等关爱服务。支持留守妇女积极参与乡村振兴和家庭文明建设，在乡村治理、邻里互助、留守老人儿童关爱服务中发挥作用。</w:t>
      </w:r>
    </w:p>
    <w:p>
      <w:pPr>
        <w:suppressAutoHyphens w:val="0"/>
        <w:overflowPunct w:val="0"/>
        <w:spacing w:line="620" w:lineRule="exact"/>
        <w:ind w:firstLine="640" w:firstLineChars="200"/>
        <w:outlineLvl w:val="1"/>
        <w:rPr>
          <w:rFonts w:ascii="Times New Roman" w:hAnsi="Times New Roman" w:eastAsia="仿宋_GB2312"/>
          <w:color w:val="000000" w:themeColor="text1"/>
          <w:sz w:val="32"/>
          <w:szCs w:val="32"/>
          <w14:textFill>
            <w14:solidFill>
              <w14:schemeClr w14:val="tx1"/>
            </w14:solidFill>
          </w14:textFill>
        </w:rPr>
      </w:pPr>
      <w:bookmarkStart w:id="19" w:name="_Toc200763252"/>
      <w:r>
        <w:rPr>
          <w:rFonts w:ascii="Times New Roman" w:hAnsi="楷体" w:eastAsia="楷体_GB2312"/>
          <w:color w:val="000000" w:themeColor="text1"/>
          <w:sz w:val="32"/>
          <w:szCs w:val="32"/>
          <w14:textFill>
            <w14:solidFill>
              <w14:schemeClr w14:val="tx1"/>
            </w14:solidFill>
          </w14:textFill>
        </w:rPr>
        <w:t>（六）妇女与法律</w:t>
      </w:r>
      <w:bookmarkEnd w:id="19"/>
      <w:r>
        <w:rPr>
          <w:rFonts w:hint="eastAsia" w:ascii="Times New Roman" w:hAnsi="楷体" w:eastAsia="楷体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1.主要目标。</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（1）全面贯彻落实男女平等宪法原则和基本国策，推动健全完善保障妇女权益的法规政策体系。</w:t>
      </w:r>
      <w:r>
        <w:rPr>
          <w:rFonts w:hint="eastAsia" w:ascii="楷体" w:hAnsi="楷体" w:eastAsia="楷体_GB2312" w:cs="仿宋_GB2312"/>
          <w:color w:val="000000" w:themeColor="text1"/>
          <w:sz w:val="32"/>
          <w:szCs w:val="32"/>
          <w14:textFill>
            <w14:solidFill>
              <w14:schemeClr w14:val="tx1"/>
            </w14:solidFill>
          </w14:textFill>
        </w:rPr>
        <w:t>（责任单位：区妇儿工委各成员单位、特邀单位）</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（2）促进法规政策性别平等评估机制有效运行。</w:t>
      </w:r>
      <w:r>
        <w:rPr>
          <w:rFonts w:hint="eastAsia" w:ascii="楷体" w:hAnsi="楷体" w:eastAsia="楷体_GB2312" w:cs="仿宋_GB2312"/>
          <w:color w:val="000000" w:themeColor="text1"/>
          <w:sz w:val="32"/>
          <w:szCs w:val="32"/>
          <w14:textFill>
            <w14:solidFill>
              <w14:schemeClr w14:val="tx1"/>
            </w14:solidFill>
          </w14:textFill>
        </w:rPr>
        <w:t>（牵头单位：区妇儿工委办公室，责任单位：</w:t>
      </w:r>
      <w:r>
        <w:rPr>
          <w:rFonts w:hint="eastAsia" w:ascii="仿宋_GB2312" w:hAnsi="仿宋_GB2312" w:eastAsia="仿宋_GB2312" w:cs="仿宋_GB2312"/>
          <w:color w:val="000000" w:themeColor="text1"/>
          <w:sz w:val="32"/>
          <w:szCs w:val="32"/>
          <w14:textFill>
            <w14:solidFill>
              <w14:schemeClr w14:val="tx1"/>
            </w14:solidFill>
          </w14:textFill>
        </w:rPr>
        <w:t>区司法局）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（3）妇女</w:t>
      </w:r>
      <w:r>
        <w:rPr>
          <w:rFonts w:hint="eastAsia" w:ascii="仿宋_GB2312" w:eastAsia="仿宋_GB2312"/>
          <w:color w:val="000000" w:themeColor="text1"/>
          <w:sz w:val="32"/>
          <w:szCs w:val="32"/>
          <w14:textFill>
            <w14:solidFill>
              <w14:schemeClr w14:val="tx1"/>
            </w14:solidFill>
          </w14:textFill>
        </w:rPr>
        <w:t>尊法学法守法用法的意识和能力</w:t>
      </w:r>
      <w:r>
        <w:rPr>
          <w:rFonts w:hint="eastAsia" w:ascii="仿宋_GB2312" w:hAnsi="仿宋_GB2312" w:eastAsia="仿宋_GB2312" w:cs="仿宋_GB2312"/>
          <w:color w:val="000000" w:themeColor="text1"/>
          <w:sz w:val="32"/>
          <w:szCs w:val="32"/>
          <w14:textFill>
            <w14:solidFill>
              <w14:schemeClr w14:val="tx1"/>
            </w14:solidFill>
          </w14:textFill>
        </w:rPr>
        <w:t>增强。充分发挥妇女在法治章丘建设中的作用。（</w:t>
      </w:r>
      <w:r>
        <w:rPr>
          <w:rFonts w:hint="eastAsia" w:ascii="楷体" w:hAnsi="楷体" w:eastAsia="楷体_GB2312" w:cs="仿宋_GB2312"/>
          <w:color w:val="000000" w:themeColor="text1"/>
          <w:sz w:val="32"/>
          <w:szCs w:val="32"/>
          <w14:textFill>
            <w14:solidFill>
              <w14:schemeClr w14:val="tx1"/>
            </w14:solidFill>
          </w14:textFill>
        </w:rPr>
        <w:t>牵头单位：区妇联，责任单位：区司法局、区教育和体育局、区法院、区检察院、区公安分局、区人力资源和社会保障局、区总工会）</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（4）深入实施反家庭暴力法律法规，预防和制止针对妇女的一切形式的家庭暴力。</w:t>
      </w:r>
      <w:r>
        <w:rPr>
          <w:rFonts w:hint="eastAsia" w:ascii="楷体" w:hAnsi="楷体" w:eastAsia="楷体_GB2312" w:cs="仿宋_GB2312"/>
          <w:color w:val="000000" w:themeColor="text1"/>
          <w:sz w:val="32"/>
          <w:szCs w:val="32"/>
          <w14:textFill>
            <w14:solidFill>
              <w14:schemeClr w14:val="tx1"/>
            </w14:solidFill>
          </w14:textFill>
        </w:rPr>
        <w:t>（牵头单位：区</w:t>
      </w:r>
      <w:r>
        <w:rPr>
          <w:rFonts w:ascii="楷体" w:hAnsi="楷体" w:eastAsia="楷体_GB2312" w:cs="仿宋_GB2312"/>
          <w:color w:val="000000" w:themeColor="text1"/>
          <w:sz w:val="32"/>
          <w:szCs w:val="32"/>
          <w14:textFill>
            <w14:solidFill>
              <w14:schemeClr w14:val="tx1"/>
            </w14:solidFill>
          </w14:textFill>
        </w:rPr>
        <w:t>委政法</w:t>
      </w:r>
      <w:r>
        <w:rPr>
          <w:rFonts w:hint="eastAsia" w:ascii="楷体" w:hAnsi="楷体" w:eastAsia="楷体_GB2312" w:cs="仿宋_GB2312"/>
          <w:color w:val="000000" w:themeColor="text1"/>
          <w:sz w:val="32"/>
          <w:szCs w:val="32"/>
          <w14:textFill>
            <w14:solidFill>
              <w14:schemeClr w14:val="tx1"/>
            </w14:solidFill>
          </w14:textFill>
        </w:rPr>
        <w:t>委，责任单位：区公安分局、区法院、区检察院、区司法局、区民政局、区卫生健康局、区妇联）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（5）严厉打击拐卖妇女、性侵害妇女等违法犯罪行为。</w:t>
      </w:r>
      <w:r>
        <w:rPr>
          <w:rFonts w:hint="eastAsia" w:ascii="楷体" w:hAnsi="楷体" w:eastAsia="楷体_GB2312" w:cs="仿宋_GB2312"/>
          <w:color w:val="000000" w:themeColor="text1"/>
          <w:sz w:val="32"/>
          <w:szCs w:val="32"/>
          <w14:textFill>
            <w14:solidFill>
              <w14:schemeClr w14:val="tx1"/>
            </w14:solidFill>
          </w14:textFill>
        </w:rPr>
        <w:t>（牵头单位：区公安分局，责任单位：区法院、区检察院、区司法局、区卫生健康局、区妇联）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（6）提升预防和制止性骚扰的法治意识，有效遏制针对妇女的性骚扰。</w:t>
      </w:r>
      <w:r>
        <w:rPr>
          <w:rFonts w:hint="eastAsia" w:ascii="楷体" w:hAnsi="楷体" w:eastAsia="楷体_GB2312" w:cs="仿宋_GB2312"/>
          <w:color w:val="000000" w:themeColor="text1"/>
          <w:sz w:val="32"/>
          <w:szCs w:val="32"/>
          <w14:textFill>
            <w14:solidFill>
              <w14:schemeClr w14:val="tx1"/>
            </w14:solidFill>
          </w14:textFill>
        </w:rPr>
        <w:t>（牵头单位：区司法局、区公安分局，责任单位：区法院、区检察院、区教育和体育局、区总工会、区妇联）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（7）严厉打击利用网络对妇女实施的违法犯罪行为。</w:t>
      </w:r>
      <w:r>
        <w:rPr>
          <w:rFonts w:hint="eastAsia" w:ascii="楷体" w:hAnsi="楷体" w:eastAsia="楷体_GB2312" w:cs="仿宋_GB2312"/>
          <w:color w:val="000000" w:themeColor="text1"/>
          <w:sz w:val="32"/>
          <w:szCs w:val="32"/>
          <w14:textFill>
            <w14:solidFill>
              <w14:schemeClr w14:val="tx1"/>
            </w14:solidFill>
          </w14:textFill>
        </w:rPr>
        <w:t>（牵头单位：区公安分局，责任单位：区委宣传部、区法院、区检察院、区司法局）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（8）保障妇女在家庭关系中的财产所有权、继承权，保障妇女对婚姻家庭关系中共同财产享有知情权和平等的处理权。</w:t>
      </w:r>
      <w:r>
        <w:rPr>
          <w:rFonts w:hint="eastAsia" w:ascii="楷体" w:hAnsi="楷体" w:eastAsia="楷体_GB2312" w:cs="仿宋_GB2312"/>
          <w:color w:val="000000" w:themeColor="text1"/>
          <w:sz w:val="32"/>
          <w:szCs w:val="32"/>
          <w14:textFill>
            <w14:solidFill>
              <w14:schemeClr w14:val="tx1"/>
            </w14:solidFill>
          </w14:textFill>
        </w:rPr>
        <w:t>（牵头单位：区法院，责任单位：区司法局、区检察院、区民政局、区农业农村局、区妇联）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（9）保障妇女对化妆品、卫生巾等用品的消费者权益。</w:t>
      </w:r>
      <w:r>
        <w:rPr>
          <w:rFonts w:hint="eastAsia" w:ascii="楷体" w:hAnsi="楷体" w:eastAsia="楷体_GB2312" w:cs="仿宋_GB2312"/>
          <w:color w:val="000000" w:themeColor="text1"/>
          <w:sz w:val="32"/>
          <w:szCs w:val="32"/>
          <w14:textFill>
            <w14:solidFill>
              <w14:schemeClr w14:val="tx1"/>
            </w14:solidFill>
          </w14:textFill>
        </w:rPr>
        <w:t>（牵头单位：区市场监管局，</w:t>
      </w:r>
      <w:r>
        <w:rPr>
          <w:rFonts w:ascii="楷体" w:hAnsi="楷体" w:eastAsia="楷体_GB2312" w:cs="仿宋_GB2312"/>
          <w:color w:val="000000" w:themeColor="text1"/>
          <w:sz w:val="32"/>
          <w:szCs w:val="32"/>
          <w14:textFill>
            <w14:solidFill>
              <w14:schemeClr w14:val="tx1"/>
            </w14:solidFill>
          </w14:textFill>
        </w:rPr>
        <w:t>责任单位：</w:t>
      </w:r>
      <w:r>
        <w:rPr>
          <w:rFonts w:hint="eastAsia" w:ascii="楷体" w:hAnsi="楷体" w:eastAsia="楷体_GB2312" w:cs="仿宋_GB2312"/>
          <w:color w:val="000000" w:themeColor="text1"/>
          <w:sz w:val="32"/>
          <w:szCs w:val="32"/>
          <w14:textFill>
            <w14:solidFill>
              <w14:schemeClr w14:val="tx1"/>
            </w14:solidFill>
          </w14:textFill>
        </w:rPr>
        <w:t>区</w:t>
      </w:r>
      <w:r>
        <w:rPr>
          <w:rFonts w:ascii="楷体" w:hAnsi="楷体" w:eastAsia="楷体_GB2312" w:cs="仿宋_GB2312"/>
          <w:color w:val="000000" w:themeColor="text1"/>
          <w:sz w:val="32"/>
          <w:szCs w:val="32"/>
          <w14:textFill>
            <w14:solidFill>
              <w14:schemeClr w14:val="tx1"/>
            </w14:solidFill>
          </w14:textFill>
        </w:rPr>
        <w:t>卫生健康</w:t>
      </w:r>
      <w:r>
        <w:rPr>
          <w:rFonts w:hint="eastAsia" w:ascii="楷体" w:hAnsi="楷体" w:eastAsia="楷体_GB2312" w:cs="仿宋_GB2312"/>
          <w:color w:val="000000" w:themeColor="text1"/>
          <w:sz w:val="32"/>
          <w:szCs w:val="32"/>
          <w14:textFill>
            <w14:solidFill>
              <w14:schemeClr w14:val="tx1"/>
            </w14:solidFill>
          </w14:textFill>
        </w:rPr>
        <w:t>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（10）依法为妇女提供公共法律服务。保障遭受侵害妇女获得及时有效的法律救助。</w:t>
      </w:r>
      <w:r>
        <w:rPr>
          <w:rFonts w:hint="eastAsia" w:ascii="楷体" w:hAnsi="楷体" w:eastAsia="楷体_GB2312" w:cs="仿宋_GB2312"/>
          <w:color w:val="000000" w:themeColor="text1"/>
          <w:sz w:val="32"/>
          <w:szCs w:val="32"/>
          <w14:textFill>
            <w14:solidFill>
              <w14:schemeClr w14:val="tx1"/>
            </w14:solidFill>
          </w14:textFill>
        </w:rPr>
        <w:t>（牵头单位：区司法局，责任单位：区法院、区民政局、区妇联）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 策略措施。</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（1）推进将男女平等宪法原则和基本国策贯彻落实到法治济南建设全过程。加大</w:t>
      </w:r>
      <w:r>
        <w:rPr>
          <w:rFonts w:hint="eastAsia" w:ascii="仿宋_GB2312" w:hAnsi="仿宋_GB2312" w:eastAsia="仿宋_GB2312" w:cs="仿宋_GB2312"/>
          <w:color w:val="000000" w:themeColor="text1"/>
          <w:sz w:val="32"/>
          <w:szCs w:val="32"/>
          <w14:textFill>
            <w14:solidFill>
              <w14:schemeClr w14:val="tx1"/>
            </w14:solidFill>
          </w14:textFill>
        </w:rPr>
        <w:t>《中华人民共和国民法典》《中华人民共和国妇女权益保障法》</w:t>
      </w:r>
      <w:r>
        <w:rPr>
          <w:rFonts w:hint="eastAsia" w:ascii="仿宋_GB2312" w:hAnsi="仿宋_GB2312" w:eastAsia="仿宋_GB2312" w:cs="仿宋_GB2312"/>
          <w:color w:val="000000" w:themeColor="text1"/>
          <w:kern w:val="0"/>
          <w:sz w:val="32"/>
          <w:szCs w:val="32"/>
          <w14:textFill>
            <w14:solidFill>
              <w14:schemeClr w14:val="tx1"/>
            </w14:solidFill>
          </w14:textFill>
        </w:rPr>
        <w:t>法律法规的实施力度，加强执法检查和督查督办，保障侵害妇女权益案件获得公平公正处理。促进开展妇女权益保障领域的公益诉讼。将保障妇女权益相关内容纳入基层社会治理，纳入法治队伍建设、全民普法规划和群众性法治文化活动，增强全社会男女平等的法治意识和法治素养。</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加强法规政策性别平等评估工作。探索建立区政策性别平等评估机制，明确评估范围和标准，规范评估流程，细化评估指标。依法对法规政策备案审查，加强法规政策制定前研判、决策中贯彻、实施后评估的制度化建设。对现行法规政策中违反男女平等基本国策的条款和内容进行清理。开展性别平等评估相关培训，加强专业化队伍建设，将男女平等理念落实在法规、规章、政策制定实施全过程各环节。加强社会性别理论培训，将社会性别理论纳入立法、司法和执法部门培训课程，提高立法、司法和执法人员的社会性别意识。</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提升妇女法治意识和参与法治章丘建设的能力。深入开展专项普法活动，提高妇女尊法学法守法用法的意识和能力。面向妇女提供法律咨询等服务，引导妇女自觉学习宪法和法律知识，增强法治观念，引导妇女养成办事依法、遇事找法、解决问题用法、化解矛盾靠法的法治思维和行为习惯。鼓励妇女多途径参与立法、司法和普法活动。充分发挥人大女代表、政协女委员、妇联组织、以</w:t>
      </w:r>
      <w:r>
        <w:rPr>
          <w:rFonts w:ascii="仿宋_GB2312" w:hAnsi="仿宋_GB2312" w:eastAsia="仿宋_GB2312" w:cs="仿宋_GB2312"/>
          <w:color w:val="000000" w:themeColor="text1"/>
          <w:kern w:val="0"/>
          <w:sz w:val="32"/>
          <w:szCs w:val="32"/>
          <w14:textFill>
            <w14:solidFill>
              <w14:schemeClr w14:val="tx1"/>
            </w14:solidFill>
          </w14:textFill>
        </w:rPr>
        <w:t>女性为会员主体或者以</w:t>
      </w:r>
      <w:r>
        <w:rPr>
          <w:rFonts w:hint="eastAsia" w:ascii="仿宋_GB2312" w:hAnsi="仿宋_GB2312" w:eastAsia="仿宋_GB2312" w:cs="仿宋_GB2312"/>
          <w:color w:val="000000" w:themeColor="text1"/>
          <w:kern w:val="0"/>
          <w:sz w:val="32"/>
          <w:szCs w:val="32"/>
          <w14:textFill>
            <w14:solidFill>
              <w14:schemeClr w14:val="tx1"/>
            </w14:solidFill>
          </w14:textFill>
        </w:rPr>
        <w:t>女性为</w:t>
      </w:r>
      <w:r>
        <w:rPr>
          <w:rFonts w:ascii="仿宋_GB2312" w:hAnsi="仿宋_GB2312" w:eastAsia="仿宋_GB2312" w:cs="仿宋_GB2312"/>
          <w:color w:val="000000" w:themeColor="text1"/>
          <w:kern w:val="0"/>
          <w:sz w:val="32"/>
          <w:szCs w:val="32"/>
          <w14:textFill>
            <w14:solidFill>
              <w14:schemeClr w14:val="tx1"/>
            </w14:solidFill>
          </w14:textFill>
        </w:rPr>
        <w:t>主要服务对象的</w:t>
      </w:r>
      <w:r>
        <w:rPr>
          <w:rFonts w:hint="eastAsia" w:ascii="仿宋_GB2312" w:hAnsi="仿宋_GB2312" w:eastAsia="仿宋_GB2312" w:cs="仿宋_GB2312"/>
          <w:color w:val="000000" w:themeColor="text1"/>
          <w:kern w:val="0"/>
          <w:sz w:val="32"/>
          <w:szCs w:val="32"/>
          <w14:textFill>
            <w14:solidFill>
              <w14:schemeClr w14:val="tx1"/>
            </w14:solidFill>
          </w14:textFill>
        </w:rPr>
        <w:t>社会组织等在法治章丘建设中的作用。</w:t>
      </w:r>
    </w:p>
    <w:p>
      <w:pPr>
        <w:suppressAutoHyphens w:val="0"/>
        <w:spacing w:line="620" w:lineRule="exact"/>
        <w:ind w:firstLine="480" w:firstLineChars="15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加大反家庭暴力法律法规的实施力度。建立健全反家庭暴力宣传教育体系，落实以案说法工作制度，提高全社会反家暴意识。健全预防和制止家庭暴力多部门合作机制，畅通部门信息共享渠道。强化预防排查，完善社区网格化家庭暴力重点监控机制。完善家庭暴力发现、报告、处置机制，落实学校、幼儿园、医疗机构等相关主体强制报告义务。规范接警处警工作，对家庭暴力案件及时依法处置，并对家庭暴力警情、告诫书出具情况进行专项统计。提高人身安全保护令的审核签发率，加大执行力度。规范临时庇护场所和紧急庇护场所管理，提升庇护服务水平。加快落实《山东省反家庭暴力条例》规定的因实施家庭暴力受到处罚作为不良信息被记入信用档案的加害人的惩戒。加强对受暴妇女的心理抚慰、身体康复和生活救助。加强对施暴者的警示教育和行为矫治。鼓励支持社会组织和社会工作者参与反家庭暴力工作，提供专业化服务。</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（5）坚决打击拐卖妇女犯罪。</w:t>
      </w:r>
      <w:r>
        <w:rPr>
          <w:rFonts w:hint="eastAsia" w:ascii="仿宋_GB2312" w:hAnsi="仿宋_GB2312" w:eastAsia="仿宋_GB2312" w:cs="仿宋_GB2312"/>
          <w:color w:val="000000" w:themeColor="text1"/>
          <w:kern w:val="0"/>
          <w:sz w:val="32"/>
          <w:szCs w:val="32"/>
          <w:lang w:val="zh-TW" w:eastAsia="zh-TW"/>
          <w14:textFill>
            <w14:solidFill>
              <w14:schemeClr w14:val="tx1"/>
            </w14:solidFill>
          </w14:textFill>
        </w:rPr>
        <w:t>完善落实预防、打击、救助、</w:t>
      </w:r>
      <w:r>
        <w:rPr>
          <w:rFonts w:hint="eastAsia" w:ascii="仿宋_GB2312" w:hAnsi="仿宋_GB2312" w:eastAsia="仿宋_GB2312" w:cs="仿宋_GB2312"/>
          <w:color w:val="000000" w:themeColor="text1"/>
          <w:kern w:val="0"/>
          <w:sz w:val="32"/>
          <w:szCs w:val="32"/>
          <w:lang w:val="zh-TW"/>
          <w14:textFill>
            <w14:solidFill>
              <w14:schemeClr w14:val="tx1"/>
            </w14:solidFill>
          </w14:textFill>
        </w:rPr>
        <w:t>安置、</w:t>
      </w:r>
      <w:r>
        <w:rPr>
          <w:rFonts w:hint="eastAsia" w:ascii="仿宋_GB2312" w:hAnsi="仿宋_GB2312" w:eastAsia="仿宋_GB2312" w:cs="仿宋_GB2312"/>
          <w:color w:val="000000" w:themeColor="text1"/>
          <w:kern w:val="0"/>
          <w:sz w:val="32"/>
          <w:szCs w:val="32"/>
          <w:lang w:val="zh-TW" w:eastAsia="zh-TW"/>
          <w14:textFill>
            <w14:solidFill>
              <w14:schemeClr w14:val="tx1"/>
            </w14:solidFill>
          </w14:textFill>
        </w:rPr>
        <w:t>康复为一体的反拐工作长效机制。</w:t>
      </w:r>
      <w:r>
        <w:rPr>
          <w:rFonts w:hint="eastAsia" w:ascii="仿宋_GB2312" w:hAnsi="仿宋_GB2312" w:eastAsia="仿宋_GB2312" w:cs="仿宋_GB2312"/>
          <w:color w:val="000000" w:themeColor="text1"/>
          <w:kern w:val="0"/>
          <w:sz w:val="32"/>
          <w:szCs w:val="32"/>
          <w14:textFill>
            <w14:solidFill>
              <w14:schemeClr w14:val="tx1"/>
            </w14:solidFill>
          </w14:textFill>
        </w:rPr>
        <w:t>坚持预防为主、防治结合，提高全社会的反拐意识以及妇女的自我防范意识和能力。深入实施反对拐卖人口行动计划，打击拐卖妇女犯罪团伙。整治“买方市场”，及时解救被拐妇女并帮助正常融入社会。打击跨国跨区域拐卖妇女犯罪。</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加大对组织、强迫、引诱、容留、介绍卖淫等犯罪行为的打击力度。加强网络治理，利用大数据完善违法信息过滤、举报等功能，严厉打击利用网络组织、强迫、引诱、容留、介绍妇女卖淫。依法加大对强迫、引诱幼女卖淫和智力残疾妇女卖淫的打击力度。加强社会治安综合治理，建立常态整治机制，鼓励群众监督和举报涉黄违法犯罪行为。</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7）有效控制和严厉惩处强奸、猥亵、侮辱妇女特别是女童和智力、精神残疾妇女的违法犯罪行为。加强防性侵教育，提高妇女特别是女童的防性侵意识和能力。建立完善重点人群和家庭关爱服务机制、侵权案件发现报告制度、多部门联防联动机制、侵权案件推进工作督查制度。完善立案侦查制度，区医疗机构、公安机关执法办案中心、检察机关办案区及其他有条件便于对被害人询问、取证、检查救治的场所建立“一站式”办案（取证）区，与其他办案、工作区隔离，设置专门进出通道，及时、全面、一次性收集固定证据，保障被害人安全和隐私，避免受害妇女“二次伤害”。建立性侵害的违法犯罪人员信息查询系统，完善和落实从业禁止制度。加强受害妇女特别是女童的隐私保护、心理疏导和干预。</w:t>
      </w:r>
    </w:p>
    <w:p>
      <w:pPr>
        <w:suppressAutoHyphens w:val="0"/>
        <w:overflowPunct w:val="0"/>
        <w:adjustRightInd w:val="0"/>
        <w:snapToGrid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8）预防和制止针对妇女的性骚扰。建立健全预防和制止性骚扰工作机制，加大对性骚扰行为的打击力度。加强联防联控，发挥典型案例示范指引作用。预防和减少公共场所和工作、学习等场所的性骚扰，推动机关、企事业、学校、社会组织等单位建立预防和制止性骚扰工作机制</w:t>
      </w:r>
      <w:r>
        <w:rPr>
          <w:rFonts w:ascii="仿宋_GB2312" w:hAnsi="仿宋_GB2312" w:eastAsia="仿宋_GB2312" w:cs="仿宋_GB2312"/>
          <w:color w:val="000000" w:themeColor="text1"/>
          <w:kern w:val="0"/>
          <w:sz w:val="32"/>
          <w:szCs w:val="32"/>
          <w14:textFill>
            <w14:solidFill>
              <w14:schemeClr w14:val="tx1"/>
            </w14:solidFill>
          </w14:textFill>
        </w:rPr>
        <w:t>。加强日常管理、预防排查、受理投</w:t>
      </w:r>
      <w:r>
        <w:rPr>
          <w:rFonts w:hint="eastAsia" w:ascii="仿宋_GB2312" w:hAnsi="仿宋_GB2312" w:eastAsia="仿宋_GB2312" w:cs="仿宋_GB2312"/>
          <w:color w:val="000000" w:themeColor="text1"/>
          <w:kern w:val="0"/>
          <w:sz w:val="32"/>
          <w:szCs w:val="32"/>
          <w14:textFill>
            <w14:solidFill>
              <w14:schemeClr w14:val="tx1"/>
            </w14:solidFill>
          </w14:textFill>
        </w:rPr>
        <w:t>诉</w:t>
      </w:r>
      <w:r>
        <w:rPr>
          <w:rFonts w:ascii="仿宋_GB2312" w:hAnsi="仿宋_GB2312" w:eastAsia="仿宋_GB2312" w:cs="仿宋_GB2312"/>
          <w:color w:val="000000" w:themeColor="text1"/>
          <w:kern w:val="0"/>
          <w:sz w:val="32"/>
          <w:szCs w:val="32"/>
          <w14:textFill>
            <w14:solidFill>
              <w14:schemeClr w14:val="tx1"/>
            </w14:solidFill>
          </w14:textFill>
        </w:rPr>
        <w:t>和调</w:t>
      </w:r>
      <w:r>
        <w:rPr>
          <w:rFonts w:hint="eastAsia" w:ascii="仿宋_GB2312" w:hAnsi="仿宋_GB2312" w:eastAsia="仿宋_GB2312" w:cs="仿宋_GB2312"/>
          <w:color w:val="000000" w:themeColor="text1"/>
          <w:kern w:val="0"/>
          <w:sz w:val="32"/>
          <w:szCs w:val="32"/>
          <w14:textFill>
            <w14:solidFill>
              <w14:schemeClr w14:val="tx1"/>
            </w14:solidFill>
          </w14:textFill>
        </w:rPr>
        <w:t>查</w:t>
      </w:r>
      <w:r>
        <w:rPr>
          <w:rFonts w:ascii="仿宋_GB2312" w:hAnsi="仿宋_GB2312" w:eastAsia="仿宋_GB2312" w:cs="仿宋_GB2312"/>
          <w:color w:val="000000" w:themeColor="text1"/>
          <w:kern w:val="0"/>
          <w:sz w:val="32"/>
          <w:szCs w:val="32"/>
          <w14:textFill>
            <w14:solidFill>
              <w14:schemeClr w14:val="tx1"/>
            </w14:solidFill>
          </w14:textFill>
        </w:rPr>
        <w:t>处置，预防和制止利用职权、</w:t>
      </w:r>
      <w:r>
        <w:rPr>
          <w:rFonts w:hint="eastAsia" w:ascii="仿宋_GB2312" w:hAnsi="仿宋_GB2312" w:eastAsia="仿宋_GB2312" w:cs="仿宋_GB2312"/>
          <w:color w:val="000000" w:themeColor="text1"/>
          <w:kern w:val="0"/>
          <w:sz w:val="32"/>
          <w:szCs w:val="32"/>
          <w14:textFill>
            <w14:solidFill>
              <w14:schemeClr w14:val="tx1"/>
            </w14:solidFill>
          </w14:textFill>
        </w:rPr>
        <w:t>从属关系等实施性骚扰。畅通救济途径。多形式多渠道宣传防范性骚扰知识，提升妇女自我防范和制止性骚扰的意识能力。</w:t>
      </w:r>
    </w:p>
    <w:p>
      <w:pPr>
        <w:suppressAutoHyphens w:val="0"/>
        <w:overflowPunct w:val="0"/>
        <w:adjustRightInd w:val="0"/>
        <w:snapToGrid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9）保障妇女免遭利用网络实施违法犯罪行为的侵害。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能力，严厉打击采取非法网络贷款、虚假投资、咨询服务等手段骗取妇女钱财的犯罪行为。</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10）在婚姻家庭和继承案件处理中依法保障妇女的财产权益。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w:t>
      </w:r>
      <w:r>
        <w:rPr>
          <w:rFonts w:ascii="仿宋_GB2312" w:hAnsi="仿宋_GB2312" w:eastAsia="仿宋_GB2312" w:cs="仿宋_GB2312"/>
          <w:color w:val="000000" w:themeColor="text1"/>
          <w:kern w:val="0"/>
          <w:sz w:val="32"/>
          <w:szCs w:val="32"/>
          <w14:textFill>
            <w14:solidFill>
              <w14:schemeClr w14:val="tx1"/>
            </w14:solidFill>
          </w14:textFill>
        </w:rPr>
        <w:t>困难妇女获得经济帮助、</w:t>
      </w:r>
      <w:r>
        <w:rPr>
          <w:rFonts w:hint="eastAsia" w:ascii="仿宋_GB2312" w:hAnsi="仿宋_GB2312" w:eastAsia="仿宋_GB2312" w:cs="仿宋_GB2312"/>
          <w:color w:val="000000" w:themeColor="text1"/>
          <w:kern w:val="0"/>
          <w:sz w:val="32"/>
          <w:szCs w:val="32"/>
          <w14:textFill>
            <w14:solidFill>
              <w14:schemeClr w14:val="tx1"/>
            </w14:solidFill>
          </w14:textFill>
        </w:rPr>
        <w:t>无过错妇女依法获得赔偿。</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（11）加大对妇女用品的质量监督与卫生检查。提高化妆品、妇女用药和卫生用品等的送检率和合格率，依法查处假冒伪劣产品，保障妇女消费者权益。</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（12）为妇女提供优质高效的公共法律服务。推进公共法律服务实体、热线和网络平台融合发展，为妇女特别是低收入妇女、老年妇女、残疾</w:t>
      </w:r>
      <w:r>
        <w:rPr>
          <w:rFonts w:ascii="仿宋_GB2312" w:hAnsi="仿宋_GB2312" w:eastAsia="仿宋_GB2312" w:cs="仿宋_GB2312"/>
          <w:color w:val="000000" w:themeColor="text1"/>
          <w:kern w:val="0"/>
          <w:sz w:val="32"/>
          <w:szCs w:val="32"/>
          <w14:textFill>
            <w14:solidFill>
              <w14:schemeClr w14:val="tx1"/>
            </w14:solidFill>
          </w14:textFill>
        </w:rPr>
        <w:t>妇</w:t>
      </w:r>
      <w:r>
        <w:rPr>
          <w:rFonts w:hint="eastAsia" w:ascii="仿宋_GB2312" w:hAnsi="仿宋_GB2312" w:eastAsia="仿宋_GB2312" w:cs="仿宋_GB2312"/>
          <w:color w:val="000000" w:themeColor="text1"/>
          <w:kern w:val="0"/>
          <w:sz w:val="32"/>
          <w:szCs w:val="32"/>
          <w14:textFill>
            <w14:solidFill>
              <w14:schemeClr w14:val="tx1"/>
            </w14:solidFill>
          </w14:textFill>
        </w:rPr>
        <w:t>女</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单亲困难母亲等提供便捷高效、均等普惠的公共法律服务。增加面向妇女的法律援助事项。保障妇女在刑事、民事、行政案件中享有诉讼代理和维权指导服务。加强维护妇女合法权益的专业法律援助机构和专业律师、基层法务工作者队伍建设。保障特定案件中生活困难妇女能够获得司法救助。</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13）发挥妇联组织代表和维护妇女合法权益的职能作用。支持妇联组织健全联合约谈、联席会议、信息通报、调研督查、发布案例等工作制度，推动保障妇女权益法规政策的制定实施。加强“12338”妇女维权公益服务热线建设，畅通妇女有序表达诉求的渠道。及时发现报告侵权问题，依法建议查处性别歧视事件或协调办理侵害妇女权益案件，为受侵害妇女提供帮助。</w:t>
      </w:r>
    </w:p>
    <w:p>
      <w:pPr>
        <w:suppressAutoHyphens w:val="0"/>
        <w:overflowPunct w:val="0"/>
        <w:spacing w:line="620" w:lineRule="exact"/>
        <w:ind w:firstLine="640" w:firstLineChars="200"/>
        <w:outlineLvl w:val="1"/>
        <w:rPr>
          <w:rFonts w:ascii="Times New Roman" w:hAnsi="Times New Roman" w:eastAsia="楷体_GB2312"/>
          <w:color w:val="000000" w:themeColor="text1"/>
          <w:sz w:val="32"/>
          <w:szCs w:val="32"/>
          <w14:textFill>
            <w14:solidFill>
              <w14:schemeClr w14:val="tx1"/>
            </w14:solidFill>
          </w14:textFill>
        </w:rPr>
      </w:pPr>
      <w:bookmarkStart w:id="20" w:name="_Toc2097095398"/>
      <w:r>
        <w:rPr>
          <w:rFonts w:ascii="Times New Roman" w:hAnsi="楷体" w:eastAsia="楷体_GB2312"/>
          <w:color w:val="000000" w:themeColor="text1"/>
          <w:sz w:val="32"/>
          <w:szCs w:val="32"/>
          <w14:textFill>
            <w14:solidFill>
              <w14:schemeClr w14:val="tx1"/>
            </w14:solidFill>
          </w14:textFill>
        </w:rPr>
        <w:t>（</w:t>
      </w:r>
      <w:r>
        <w:rPr>
          <w:rFonts w:hint="eastAsia" w:ascii="Times New Roman" w:hAnsi="楷体" w:eastAsia="楷体_GB2312"/>
          <w:color w:val="000000" w:themeColor="text1"/>
          <w:sz w:val="32"/>
          <w:szCs w:val="32"/>
          <w14:textFill>
            <w14:solidFill>
              <w14:schemeClr w14:val="tx1"/>
            </w14:solidFill>
          </w14:textFill>
        </w:rPr>
        <w:t>七</w:t>
      </w:r>
      <w:r>
        <w:rPr>
          <w:rFonts w:ascii="Times New Roman" w:hAnsi="楷体" w:eastAsia="楷体_GB2312"/>
          <w:color w:val="000000" w:themeColor="text1"/>
          <w:sz w:val="32"/>
          <w:szCs w:val="32"/>
          <w14:textFill>
            <w14:solidFill>
              <w14:schemeClr w14:val="tx1"/>
            </w14:solidFill>
          </w14:textFill>
        </w:rPr>
        <w:t>）妇女与家庭建设</w:t>
      </w:r>
      <w:bookmarkEnd w:id="20"/>
      <w:r>
        <w:rPr>
          <w:rFonts w:hint="eastAsia" w:ascii="Times New Roman" w:hAnsi="楷体" w:eastAsia="楷体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1.主要目标。</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树立新时代家庭观，</w:t>
      </w:r>
      <w:r>
        <w:rPr>
          <w:rFonts w:hint="eastAsia" w:ascii="仿宋_GB2312" w:hAnsi="仿宋_GB2312" w:eastAsia="仿宋_GB2312" w:cs="仿宋_GB2312"/>
          <w:color w:val="000000" w:themeColor="text1"/>
          <w:sz w:val="32"/>
          <w:szCs w:val="32"/>
          <w14:textFill>
            <w14:solidFill>
              <w14:schemeClr w14:val="tx1"/>
            </w14:solidFill>
          </w14:textFill>
        </w:rPr>
        <w:t>推动形成爱国爱家、相亲相爱、向上向善、共建共享的社会主义家庭文明新风尚，推动社会主义核心价值观在家庭落地生根。</w:t>
      </w:r>
      <w:r>
        <w:rPr>
          <w:rFonts w:hint="eastAsia" w:ascii="楷体" w:hAnsi="楷体" w:eastAsia="楷体_GB2312" w:cs="仿宋_GB2312"/>
          <w:color w:val="000000" w:themeColor="text1"/>
          <w:sz w:val="32"/>
          <w:szCs w:val="32"/>
          <w14:textFill>
            <w14:solidFill>
              <w14:schemeClr w14:val="tx1"/>
            </w14:solidFill>
          </w14:textFill>
        </w:rPr>
        <w:t>（牵头单位：区妇联，责任单位：区委宣传部</w:t>
      </w:r>
      <w:r>
        <w:rPr>
          <w:rFonts w:hint="eastAsia" w:ascii="楷体" w:hAnsi="楷体" w:eastAsia="楷体_GB2312" w:cs="仿宋_GB2312"/>
          <w:color w:val="000000" w:themeColor="text1"/>
          <w:kern w:val="0"/>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区融媒中心、区文化和旅游局、</w:t>
      </w:r>
      <w:r>
        <w:rPr>
          <w:rFonts w:hint="eastAsia" w:ascii="楷体" w:hAnsi="楷体" w:eastAsia="楷体_GB2312" w:cs="仿宋_GB2312"/>
          <w:color w:val="000000" w:themeColor="text1"/>
          <w:kern w:val="0"/>
          <w:sz w:val="32"/>
          <w:szCs w:val="32"/>
          <w14:textFill>
            <w14:solidFill>
              <w14:schemeClr w14:val="tx1"/>
            </w14:solidFill>
          </w14:textFill>
        </w:rPr>
        <w:t>区教育和体育局</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（2）建立完善促进男女平等和妇女全面发展的家庭政策体系，增强家庭功能，提升家庭发展能力。</w:t>
      </w:r>
      <w:r>
        <w:rPr>
          <w:rFonts w:hint="eastAsia" w:ascii="楷体" w:hAnsi="楷体" w:eastAsia="楷体_GB2312" w:cs="仿宋_GB2312"/>
          <w:color w:val="000000" w:themeColor="text1"/>
          <w:sz w:val="32"/>
          <w:szCs w:val="32"/>
          <w14:textFill>
            <w14:solidFill>
              <w14:schemeClr w14:val="tx1"/>
            </w14:solidFill>
          </w14:textFill>
        </w:rPr>
        <w:t>（牵头单位：区妇联，责任单位：区财政局、区发展和改革局、区卫生健康局、区商务服务中心、区人力资源和社会保障局、区民政局、区教育和体育局）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（3）拓展支持家庭与妇女全面发展的公共服务。</w:t>
      </w:r>
      <w:r>
        <w:rPr>
          <w:rFonts w:hint="eastAsia" w:ascii="楷体" w:hAnsi="楷体" w:eastAsia="楷体_GB2312" w:cs="仿宋_GB2312"/>
          <w:color w:val="000000" w:themeColor="text1"/>
          <w:sz w:val="32"/>
          <w:szCs w:val="32"/>
          <w14:textFill>
            <w14:solidFill>
              <w14:schemeClr w14:val="tx1"/>
            </w14:solidFill>
          </w14:textFill>
        </w:rPr>
        <w:t>（牵头单位：区妇儿工委办公室、区发展和改革局，责任单位：区财政局、区卫生健康局、区商务服务中心、区人力资源和社会保障局、区民政局、区教育和体育局、区妇联、区残联）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（4）注重发挥家庭家教家风在基层社会治理中的重要作用。</w:t>
      </w:r>
      <w:r>
        <w:rPr>
          <w:rFonts w:hint="eastAsia" w:ascii="楷体" w:hAnsi="楷体" w:eastAsia="楷体_GB2312" w:cs="仿宋_GB2312"/>
          <w:color w:val="000000" w:themeColor="text1"/>
          <w:sz w:val="32"/>
          <w:szCs w:val="32"/>
          <w14:textFill>
            <w14:solidFill>
              <w14:schemeClr w14:val="tx1"/>
            </w14:solidFill>
          </w14:textFill>
        </w:rPr>
        <w:t>（牵头单位：区委政法委，责任单位：区委组织部、区委宣传部、区民政局、区妇联、区教育和体育局）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（5）充分发挥妇女在家庭生活中的独特作用。支持妇女成为幸福安康家庭的建设者、倡导者和</w:t>
      </w:r>
      <w:r>
        <w:rPr>
          <w:rFonts w:ascii="仿宋_GB2312" w:hAnsi="仿宋_GB2312" w:eastAsia="仿宋_GB2312" w:cs="仿宋_GB2312"/>
          <w:color w:val="000000" w:themeColor="text1"/>
          <w:sz w:val="32"/>
          <w:szCs w:val="32"/>
          <w14:textFill>
            <w14:solidFill>
              <w14:schemeClr w14:val="tx1"/>
            </w14:solidFill>
          </w14:textFill>
        </w:rPr>
        <w:t>享有者</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（牵头单位：区妇联，责任单位：区委宣传部、区委政法委、区教育和体育局、区卫生健康局、区生态环境分局、区融媒中心）</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kern w:val="0"/>
          <w:sz w:val="32"/>
          <w:szCs w:val="32"/>
          <w14:textFill>
            <w14:solidFill>
              <w14:schemeClr w14:val="tx1"/>
            </w14:solidFill>
          </w14:textFill>
        </w:rPr>
        <w:t>倡导</w:t>
      </w:r>
      <w:r>
        <w:rPr>
          <w:rFonts w:hint="eastAsia" w:ascii="仿宋_GB2312" w:hAnsi="仿宋_GB2312" w:eastAsia="仿宋_GB2312" w:cs="仿宋_GB2312"/>
          <w:color w:val="000000" w:themeColor="text1"/>
          <w:sz w:val="32"/>
          <w:szCs w:val="32"/>
          <w14:textFill>
            <w14:solidFill>
              <w14:schemeClr w14:val="tx1"/>
            </w14:solidFill>
          </w14:textFill>
        </w:rPr>
        <w:t>构建男女平等、和睦、文明的婚姻家庭关系，降低婚姻家庭纠纷对妇女发展的不利影响。</w:t>
      </w:r>
      <w:r>
        <w:rPr>
          <w:rFonts w:hint="eastAsia" w:ascii="楷体" w:hAnsi="楷体" w:eastAsia="楷体_GB2312" w:cs="仿宋_GB2312"/>
          <w:color w:val="000000" w:themeColor="text1"/>
          <w:sz w:val="32"/>
          <w:szCs w:val="32"/>
          <w14:textFill>
            <w14:solidFill>
              <w14:schemeClr w14:val="tx1"/>
            </w14:solidFill>
          </w14:textFill>
        </w:rPr>
        <w:t>（牵头单位：区妇联，责任单位：区民政局、区委宣传部、区卫生健康局</w:t>
      </w:r>
      <w:r>
        <w:rPr>
          <w:rFonts w:ascii="楷体" w:hAnsi="楷体" w:eastAsia="楷体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区法院、区司法局、区融媒中心）</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（7）倡导和支持男女共担家务，缩小两性家务劳动时间差距。</w:t>
      </w:r>
      <w:r>
        <w:rPr>
          <w:rFonts w:hint="eastAsia" w:ascii="楷体" w:hAnsi="楷体" w:eastAsia="楷体_GB2312" w:cs="仿宋_GB2312"/>
          <w:color w:val="000000" w:themeColor="text1"/>
          <w:sz w:val="32"/>
          <w:szCs w:val="32"/>
          <w14:textFill>
            <w14:solidFill>
              <w14:schemeClr w14:val="tx1"/>
            </w14:solidFill>
          </w14:textFill>
        </w:rPr>
        <w:t>（牵头单位：区妇联、区委宣传部，责任单位：区人力资源和社会保障局、区卫生健康局、区教育和体育局、区总工会、区融媒中心）</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）促进夫妻共担未成</w:t>
      </w:r>
      <w:r>
        <w:rPr>
          <w:rFonts w:ascii="仿宋_GB2312" w:hAnsi="仿宋_GB2312" w:eastAsia="仿宋_GB2312" w:cs="仿宋_GB2312"/>
          <w:color w:val="000000" w:themeColor="text1"/>
          <w:sz w:val="32"/>
          <w:szCs w:val="32"/>
          <w14:textFill>
            <w14:solidFill>
              <w14:schemeClr w14:val="tx1"/>
            </w14:solidFill>
          </w14:textFill>
        </w:rPr>
        <w:t>年子女的</w:t>
      </w:r>
      <w:r>
        <w:rPr>
          <w:rFonts w:hint="eastAsia" w:ascii="仿宋_GB2312" w:hAnsi="仿宋_GB2312" w:eastAsia="仿宋_GB2312" w:cs="仿宋_GB2312"/>
          <w:color w:val="000000" w:themeColor="text1"/>
          <w:sz w:val="32"/>
          <w:szCs w:val="32"/>
          <w14:textFill>
            <w14:solidFill>
              <w14:schemeClr w14:val="tx1"/>
            </w14:solidFill>
          </w14:textFill>
        </w:rPr>
        <w:t>抚养、教育、保护责任，为未成年子女身心发展创造良好家庭环境。</w:t>
      </w:r>
      <w:r>
        <w:rPr>
          <w:rFonts w:hint="eastAsia" w:ascii="楷体" w:hAnsi="楷体" w:eastAsia="楷体_GB2312" w:cs="仿宋_GB2312"/>
          <w:color w:val="000000" w:themeColor="text1"/>
          <w:sz w:val="32"/>
          <w:szCs w:val="32"/>
          <w14:textFill>
            <w14:solidFill>
              <w14:schemeClr w14:val="tx1"/>
            </w14:solidFill>
          </w14:textFill>
        </w:rPr>
        <w:t>（牵头单位：区教育和体育局、区妇联，责任单位：区民政局、区公安分局、区检察院、区法院、区司法局）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）建立健全家庭</w:t>
      </w:r>
      <w:r>
        <w:rPr>
          <w:rFonts w:ascii="仿宋_GB2312" w:hAnsi="仿宋_GB2312" w:eastAsia="仿宋_GB2312" w:cs="仿宋_GB2312"/>
          <w:color w:val="000000" w:themeColor="text1"/>
          <w:sz w:val="32"/>
          <w:szCs w:val="32"/>
          <w14:textFill>
            <w14:solidFill>
              <w14:schemeClr w14:val="tx1"/>
            </w14:solidFill>
          </w14:textFill>
        </w:rPr>
        <w:t>养老支持政策</w:t>
      </w:r>
      <w:r>
        <w:rPr>
          <w:rFonts w:hint="eastAsia" w:ascii="仿宋_GB2312" w:hAnsi="仿宋_GB2312" w:eastAsia="仿宋_GB2312" w:cs="仿宋_GB2312"/>
          <w:color w:val="000000" w:themeColor="text1"/>
          <w:sz w:val="32"/>
          <w:szCs w:val="32"/>
          <w14:textFill>
            <w14:solidFill>
              <w14:schemeClr w14:val="tx1"/>
            </w14:solidFill>
          </w14:textFill>
        </w:rPr>
        <w:t>，全面</w:t>
      </w:r>
      <w:r>
        <w:rPr>
          <w:rFonts w:ascii="仿宋_GB2312" w:hAnsi="仿宋_GB2312" w:eastAsia="仿宋_GB2312" w:cs="仿宋_GB2312"/>
          <w:color w:val="000000" w:themeColor="text1"/>
          <w:sz w:val="32"/>
          <w:szCs w:val="32"/>
          <w14:textFill>
            <w14:solidFill>
              <w14:schemeClr w14:val="tx1"/>
            </w14:solidFill>
          </w14:textFill>
        </w:rPr>
        <w:t>提高老年妇女</w:t>
      </w:r>
      <w:r>
        <w:rPr>
          <w:rFonts w:hint="eastAsia" w:ascii="仿宋_GB2312" w:hAnsi="仿宋_GB2312" w:eastAsia="仿宋_GB2312" w:cs="仿宋_GB2312"/>
          <w:color w:val="000000" w:themeColor="text1"/>
          <w:sz w:val="32"/>
          <w:szCs w:val="32"/>
          <w14:textFill>
            <w14:solidFill>
              <w14:schemeClr w14:val="tx1"/>
            </w14:solidFill>
          </w14:textFill>
        </w:rPr>
        <w:t>生活质量。</w:t>
      </w:r>
      <w:r>
        <w:rPr>
          <w:rFonts w:hint="eastAsia" w:ascii="楷体" w:hAnsi="楷体" w:eastAsia="楷体_GB2312" w:cs="仿宋_GB2312"/>
          <w:color w:val="000000" w:themeColor="text1"/>
          <w:sz w:val="32"/>
          <w:szCs w:val="32"/>
          <w14:textFill>
            <w14:solidFill>
              <w14:schemeClr w14:val="tx1"/>
            </w14:solidFill>
          </w14:textFill>
        </w:rPr>
        <w:t>（牵头单位：区</w:t>
      </w:r>
      <w:r>
        <w:rPr>
          <w:rFonts w:ascii="楷体" w:hAnsi="楷体" w:eastAsia="楷体_GB2312" w:cs="仿宋_GB2312"/>
          <w:color w:val="000000" w:themeColor="text1"/>
          <w:sz w:val="32"/>
          <w:szCs w:val="32"/>
          <w14:textFill>
            <w14:solidFill>
              <w14:schemeClr w14:val="tx1"/>
            </w14:solidFill>
          </w14:textFill>
        </w:rPr>
        <w:t>民政局</w:t>
      </w:r>
      <w:r>
        <w:rPr>
          <w:rFonts w:hint="eastAsia" w:ascii="楷体" w:hAnsi="楷体" w:eastAsia="楷体_GB2312" w:cs="仿宋_GB2312"/>
          <w:color w:val="000000" w:themeColor="text1"/>
          <w:sz w:val="32"/>
          <w:szCs w:val="32"/>
          <w14:textFill>
            <w14:solidFill>
              <w14:schemeClr w14:val="tx1"/>
            </w14:solidFill>
          </w14:textFill>
        </w:rPr>
        <w:t>、区卫生健康局，责任单位：区发展和改革局</w:t>
      </w:r>
      <w:r>
        <w:rPr>
          <w:rFonts w:ascii="楷体" w:hAnsi="楷体" w:eastAsia="楷体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区人力资源和社会保障局、区</w:t>
      </w:r>
      <w:r>
        <w:rPr>
          <w:rFonts w:ascii="楷体" w:hAnsi="楷体" w:eastAsia="楷体_GB2312" w:cs="仿宋_GB2312"/>
          <w:color w:val="000000" w:themeColor="text1"/>
          <w:sz w:val="32"/>
          <w:szCs w:val="32"/>
          <w14:textFill>
            <w14:solidFill>
              <w14:schemeClr w14:val="tx1"/>
            </w14:solidFill>
          </w14:textFill>
        </w:rPr>
        <w:t>财政局</w:t>
      </w:r>
      <w:r>
        <w:rPr>
          <w:rFonts w:hint="eastAsia" w:ascii="楷体" w:hAnsi="楷体" w:eastAsia="楷体_GB2312" w:cs="仿宋_GB2312"/>
          <w:color w:val="000000" w:themeColor="text1"/>
          <w:sz w:val="32"/>
          <w:szCs w:val="32"/>
          <w14:textFill>
            <w14:solidFill>
              <w14:schemeClr w14:val="tx1"/>
            </w14:solidFill>
          </w14:textFill>
        </w:rPr>
        <w:t>、区</w:t>
      </w:r>
      <w:r>
        <w:rPr>
          <w:rFonts w:ascii="楷体" w:hAnsi="楷体" w:eastAsia="楷体_GB2312" w:cs="仿宋_GB2312"/>
          <w:color w:val="000000" w:themeColor="text1"/>
          <w:sz w:val="32"/>
          <w:szCs w:val="32"/>
          <w14:textFill>
            <w14:solidFill>
              <w14:schemeClr w14:val="tx1"/>
            </w14:solidFill>
          </w14:textFill>
        </w:rPr>
        <w:t>法院</w:t>
      </w:r>
      <w:r>
        <w:rPr>
          <w:rFonts w:hint="eastAsia" w:ascii="楷体" w:hAnsi="楷体" w:eastAsia="楷体_GB2312" w:cs="仿宋_GB2312"/>
          <w:color w:val="000000" w:themeColor="text1"/>
          <w:sz w:val="32"/>
          <w:szCs w:val="32"/>
          <w14:textFill>
            <w14:solidFill>
              <w14:schemeClr w14:val="tx1"/>
            </w14:solidFill>
          </w14:textFill>
        </w:rPr>
        <w:t>、区司法</w:t>
      </w:r>
      <w:r>
        <w:rPr>
          <w:rFonts w:ascii="楷体" w:hAnsi="楷体" w:eastAsia="楷体_GB2312" w:cs="仿宋_GB2312"/>
          <w:color w:val="000000" w:themeColor="text1"/>
          <w:sz w:val="32"/>
          <w:szCs w:val="32"/>
          <w14:textFill>
            <w14:solidFill>
              <w14:schemeClr w14:val="tx1"/>
            </w14:solidFill>
          </w14:textFill>
        </w:rPr>
        <w:t>局</w:t>
      </w:r>
      <w:r>
        <w:rPr>
          <w:rFonts w:hint="eastAsia" w:ascii="楷体" w:hAnsi="楷体" w:eastAsia="楷体_GB2312" w:cs="仿宋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2.策略措施。</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（1）促进家庭成员践行社会主义核心价值观。加强</w:t>
      </w:r>
      <w:r>
        <w:rPr>
          <w:rFonts w:hint="eastAsia" w:ascii="仿宋_GB2312" w:hAnsi="仿宋_GB2312" w:eastAsia="仿宋_GB2312" w:cs="仿宋_GB2312"/>
          <w:color w:val="000000" w:themeColor="text1"/>
          <w:sz w:val="32"/>
          <w:szCs w:val="32"/>
          <w14:textFill>
            <w14:solidFill>
              <w14:schemeClr w14:val="tx1"/>
            </w14:solidFill>
          </w14:textFill>
        </w:rPr>
        <w:t>教育引导、舆论宣传、文化熏陶、实践养成</w:t>
      </w:r>
      <w:r>
        <w:rPr>
          <w:rFonts w:hint="eastAsia" w:ascii="仿宋_GB2312" w:hAnsi="仿宋_GB2312" w:eastAsia="仿宋_GB2312" w:cs="仿宋_GB2312"/>
          <w:color w:val="000000" w:themeColor="text1"/>
          <w:kern w:val="0"/>
          <w:sz w:val="32"/>
          <w:szCs w:val="32"/>
          <w14:textFill>
            <w14:solidFill>
              <w14:schemeClr w14:val="tx1"/>
            </w14:solidFill>
          </w14:textFill>
        </w:rPr>
        <w:t>，使妇女和家庭成员将</w:t>
      </w:r>
      <w:r>
        <w:rPr>
          <w:rFonts w:hint="eastAsia" w:ascii="仿宋_GB2312" w:hAnsi="仿宋_GB2312" w:eastAsia="仿宋_GB2312" w:cs="仿宋_GB2312"/>
          <w:color w:val="000000" w:themeColor="text1"/>
          <w:sz w:val="32"/>
          <w:szCs w:val="32"/>
          <w14:textFill>
            <w14:solidFill>
              <w14:schemeClr w14:val="tx1"/>
            </w14:solidFill>
          </w14:textFill>
        </w:rPr>
        <w:t>社会主义核心价值观内化为精神追求，外化为自觉行动，</w:t>
      </w:r>
      <w:r>
        <w:rPr>
          <w:rFonts w:hint="eastAsia" w:ascii="仿宋_GB2312" w:hAnsi="仿宋_GB2312" w:eastAsia="仿宋_GB2312" w:cs="仿宋_GB2312"/>
          <w:color w:val="000000" w:themeColor="text1"/>
          <w:kern w:val="0"/>
          <w:sz w:val="32"/>
          <w:szCs w:val="32"/>
          <w14:textFill>
            <w14:solidFill>
              <w14:schemeClr w14:val="tx1"/>
            </w14:solidFill>
          </w14:textFill>
        </w:rPr>
        <w:t>把家庭梦融入中国梦，实现共建共享的家庭追求，为大力培育和弘扬社会主义家庭文明新风尚贡献力量。</w:t>
      </w:r>
    </w:p>
    <w:p>
      <w:pPr>
        <w:suppressAutoHyphens w:val="0"/>
        <w:overflowPunct w:val="0"/>
        <w:spacing w:line="620" w:lineRule="exact"/>
        <w:ind w:firstLine="64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（2）制定出台</w:t>
      </w:r>
      <w:r>
        <w:rPr>
          <w:rFonts w:ascii="仿宋_GB2312" w:hAnsi="仿宋_GB2312" w:eastAsia="仿宋_GB2312" w:cs="仿宋_GB2312"/>
          <w:color w:val="000000" w:themeColor="text1"/>
          <w:kern w:val="0"/>
          <w:sz w:val="32"/>
          <w:szCs w:val="32"/>
          <w14:textFill>
            <w14:solidFill>
              <w14:schemeClr w14:val="tx1"/>
            </w14:solidFill>
          </w14:textFill>
        </w:rPr>
        <w:t>促进</w:t>
      </w:r>
      <w:r>
        <w:rPr>
          <w:rFonts w:hint="eastAsia" w:ascii="仿宋_GB2312" w:hAnsi="仿宋_GB2312" w:eastAsia="仿宋_GB2312" w:cs="仿宋_GB2312"/>
          <w:color w:val="000000" w:themeColor="text1"/>
          <w:kern w:val="0"/>
          <w:sz w:val="32"/>
          <w:szCs w:val="32"/>
          <w14:textFill>
            <w14:solidFill>
              <w14:schemeClr w14:val="tx1"/>
            </w14:solidFill>
          </w14:textFill>
        </w:rPr>
        <w:t>男女平等和妇女全面发展的家庭领域法规政策。完善支持家庭生育养育的法规政策，推进落实将3岁以下婴幼儿照护服务费用纳入个人所得税专项附加扣除、住房等方面支持政策，减轻家庭生育、养育、教育负担。完善幼儿养育、青少年发展、老人赡养、病残照料等政策，形成支持完善家庭基本功能、促进男女平等和妇女全面发展的家庭政策体系，增强家庭发展能力。完善产假制度，探索实施父母育儿假</w:t>
      </w:r>
      <w:bookmarkStart w:id="21" w:name="_Hlk67561807"/>
      <w:r>
        <w:rPr>
          <w:rFonts w:hint="eastAsia" w:ascii="仿宋_GB2312" w:hAnsi="仿宋_GB2312" w:eastAsia="仿宋_GB2312" w:cs="仿宋_GB2312"/>
          <w:color w:val="000000" w:themeColor="text1"/>
          <w:kern w:val="0"/>
          <w:sz w:val="32"/>
          <w:szCs w:val="32"/>
          <w14:textFill>
            <w14:solidFill>
              <w14:schemeClr w14:val="tx1"/>
            </w14:solidFill>
          </w14:textFill>
        </w:rPr>
        <w:t>和家庭育儿津贴</w:t>
      </w:r>
      <w:bookmarkEnd w:id="21"/>
      <w:r>
        <w:rPr>
          <w:rFonts w:hint="eastAsia" w:ascii="仿宋_GB2312" w:hAnsi="仿宋_GB2312" w:eastAsia="仿宋_GB2312" w:cs="仿宋_GB2312"/>
          <w:color w:val="000000" w:themeColor="text1"/>
          <w:kern w:val="0"/>
          <w:sz w:val="32"/>
          <w:szCs w:val="32"/>
          <w14:textFill>
            <w14:solidFill>
              <w14:schemeClr w14:val="tx1"/>
            </w14:solidFill>
          </w14:textFill>
        </w:rPr>
        <w:t>制度。建立促进家庭发展的政策评估机制。</w:t>
      </w:r>
    </w:p>
    <w:p>
      <w:pPr>
        <w:suppressAutoHyphens w:val="0"/>
        <w:overflowPunct w:val="0"/>
        <w:spacing w:line="620" w:lineRule="exact"/>
        <w:ind w:firstLine="64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（3）大力发展家庭公共服务。发展</w:t>
      </w:r>
      <w:r>
        <w:rPr>
          <w:rFonts w:ascii="仿宋_GB2312" w:hAnsi="仿宋_GB2312" w:eastAsia="仿宋_GB2312" w:cs="仿宋_GB2312"/>
          <w:color w:val="000000" w:themeColor="text1"/>
          <w:kern w:val="0"/>
          <w:sz w:val="32"/>
          <w:szCs w:val="32"/>
          <w14:textFill>
            <w14:solidFill>
              <w14:schemeClr w14:val="tx1"/>
            </w14:solidFill>
          </w14:textFill>
        </w:rPr>
        <w:t>普</w:t>
      </w:r>
      <w:r>
        <w:rPr>
          <w:rFonts w:hint="eastAsia" w:ascii="仿宋_GB2312" w:hAnsi="仿宋_GB2312" w:eastAsia="仿宋_GB2312" w:cs="仿宋_GB2312"/>
          <w:color w:val="000000" w:themeColor="text1"/>
          <w:kern w:val="0"/>
          <w:sz w:val="32"/>
          <w:szCs w:val="32"/>
          <w14:textFill>
            <w14:solidFill>
              <w14:schemeClr w14:val="tx1"/>
            </w14:solidFill>
          </w14:textFill>
        </w:rPr>
        <w:t>惠</w:t>
      </w:r>
      <w:r>
        <w:rPr>
          <w:rFonts w:ascii="仿宋_GB2312" w:hAnsi="仿宋_GB2312" w:eastAsia="仿宋_GB2312" w:cs="仿宋_GB2312"/>
          <w:color w:val="000000" w:themeColor="text1"/>
          <w:kern w:val="0"/>
          <w:sz w:val="32"/>
          <w:szCs w:val="32"/>
          <w14:textFill>
            <w14:solidFill>
              <w14:schemeClr w14:val="tx1"/>
            </w14:solidFill>
          </w14:textFill>
        </w:rPr>
        <w:t>托育服务体系，</w:t>
      </w:r>
      <w:r>
        <w:rPr>
          <w:rFonts w:hint="eastAsia" w:ascii="仿宋_GB2312" w:hAnsi="仿宋_GB2312" w:eastAsia="仿宋_GB2312" w:cs="仿宋_GB2312"/>
          <w:color w:val="000000" w:themeColor="text1"/>
          <w:kern w:val="0"/>
          <w:sz w:val="32"/>
          <w:szCs w:val="32"/>
          <w14:textFill>
            <w14:solidFill>
              <w14:schemeClr w14:val="tx1"/>
            </w14:solidFill>
          </w14:textFill>
        </w:rPr>
        <w:t>促进3岁以下婴幼儿照护服务专业</w:t>
      </w:r>
      <w:r>
        <w:rPr>
          <w:rFonts w:ascii="仿宋_GB2312" w:hAnsi="仿宋_GB2312" w:eastAsia="仿宋_GB2312" w:cs="仿宋_GB2312"/>
          <w:color w:val="000000" w:themeColor="text1"/>
          <w:kern w:val="0"/>
          <w:sz w:val="32"/>
          <w:szCs w:val="32"/>
          <w14:textFill>
            <w14:solidFill>
              <w14:schemeClr w14:val="tx1"/>
            </w14:solidFill>
          </w14:textFill>
        </w:rPr>
        <w:t>化、规范化发展，支持事业单位和社会力量提供普惠托育服务，</w:t>
      </w:r>
      <w:r>
        <w:rPr>
          <w:rFonts w:hint="eastAsia" w:ascii="仿宋_GB2312" w:hAnsi="仿宋_GB2312" w:eastAsia="仿宋_GB2312" w:cs="仿宋_GB2312"/>
          <w:color w:val="000000" w:themeColor="text1"/>
          <w:kern w:val="0"/>
          <w:sz w:val="32"/>
          <w:szCs w:val="32"/>
          <w14:textFill>
            <w14:solidFill>
              <w14:schemeClr w14:val="tx1"/>
            </w14:solidFill>
          </w14:textFill>
        </w:rPr>
        <w:t>鼓励</w:t>
      </w:r>
      <w:r>
        <w:rPr>
          <w:rFonts w:ascii="仿宋_GB2312" w:hAnsi="仿宋_GB2312" w:eastAsia="仿宋_GB2312" w:cs="仿宋_GB2312"/>
          <w:color w:val="000000" w:themeColor="text1"/>
          <w:kern w:val="0"/>
          <w:sz w:val="32"/>
          <w:szCs w:val="32"/>
          <w14:textFill>
            <w14:solidFill>
              <w14:schemeClr w14:val="tx1"/>
            </w14:solidFill>
          </w14:textFill>
        </w:rPr>
        <w:t>幼儿园发展托幼一体化服务</w:t>
      </w:r>
      <w:r>
        <w:rPr>
          <w:rFonts w:hint="eastAsia" w:ascii="仿宋_GB2312" w:hAnsi="仿宋_GB2312" w:eastAsia="仿宋_GB2312" w:cs="仿宋_GB2312"/>
          <w:color w:val="000000" w:themeColor="text1"/>
          <w:kern w:val="0"/>
          <w:sz w:val="32"/>
          <w:szCs w:val="32"/>
          <w14:textFill>
            <w14:solidFill>
              <w14:schemeClr w14:val="tx1"/>
            </w14:solidFill>
          </w14:textFill>
        </w:rPr>
        <w:t>。推动将婚姻家庭辅导服务、家庭教育指导服务等纳入公共服务体系，提升面向家庭的基本公共服务均等化水平。</w:t>
      </w:r>
      <w:r>
        <w:rPr>
          <w:rFonts w:ascii="仿宋_GB2312" w:hAnsi="仿宋_GB2312" w:eastAsia="仿宋_GB2312" w:cs="仿宋_GB2312"/>
          <w:color w:val="000000" w:themeColor="text1"/>
          <w:kern w:val="0"/>
          <w:sz w:val="32"/>
          <w:szCs w:val="32"/>
          <w14:textFill>
            <w14:solidFill>
              <w14:schemeClr w14:val="tx1"/>
            </w14:solidFill>
          </w14:textFill>
        </w:rPr>
        <w:t>完善养老、家</w:t>
      </w:r>
      <w:r>
        <w:rPr>
          <w:rFonts w:hint="eastAsia" w:ascii="仿宋_GB2312" w:hAnsi="仿宋_GB2312" w:eastAsia="仿宋_GB2312" w:cs="仿宋_GB2312"/>
          <w:color w:val="000000" w:themeColor="text1"/>
          <w:kern w:val="0"/>
          <w:sz w:val="32"/>
          <w:szCs w:val="32"/>
          <w14:textFill>
            <w14:solidFill>
              <w14:schemeClr w14:val="tx1"/>
            </w14:solidFill>
          </w14:textFill>
        </w:rPr>
        <w:t>政等</w:t>
      </w:r>
      <w:r>
        <w:rPr>
          <w:rFonts w:ascii="仿宋_GB2312" w:hAnsi="仿宋_GB2312" w:eastAsia="仿宋_GB2312" w:cs="仿宋_GB2312"/>
          <w:color w:val="000000" w:themeColor="text1"/>
          <w:kern w:val="0"/>
          <w:sz w:val="32"/>
          <w:szCs w:val="32"/>
          <w14:textFill>
            <w14:solidFill>
              <w14:schemeClr w14:val="tx1"/>
            </w14:solidFill>
          </w14:textFill>
        </w:rPr>
        <w:t>服务</w:t>
      </w:r>
      <w:r>
        <w:rPr>
          <w:rFonts w:hint="eastAsia" w:ascii="仿宋_GB2312" w:hAnsi="仿宋_GB2312" w:eastAsia="仿宋_GB2312" w:cs="仿宋_GB2312"/>
          <w:color w:val="000000" w:themeColor="text1"/>
          <w:kern w:val="0"/>
          <w:sz w:val="32"/>
          <w:szCs w:val="32"/>
          <w14:textFill>
            <w14:solidFill>
              <w14:schemeClr w14:val="tx1"/>
            </w14:solidFill>
          </w14:textFill>
        </w:rPr>
        <w:t>标准</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通过政府购买服务等形式，引导社会力量开展家庭服务。支持巾帼家政等</w:t>
      </w:r>
      <w:r>
        <w:rPr>
          <w:rFonts w:ascii="仿宋_GB2312" w:hAnsi="仿宋_GB2312" w:eastAsia="仿宋_GB2312" w:cs="仿宋_GB2312"/>
          <w:color w:val="000000" w:themeColor="text1"/>
          <w:kern w:val="0"/>
          <w:sz w:val="32"/>
          <w:szCs w:val="32"/>
          <w14:textFill>
            <w14:solidFill>
              <w14:schemeClr w14:val="tx1"/>
            </w14:solidFill>
          </w14:textFill>
        </w:rPr>
        <w:t>家庭服务企业</w:t>
      </w:r>
      <w:r>
        <w:rPr>
          <w:rFonts w:hint="eastAsia" w:ascii="仿宋_GB2312" w:hAnsi="仿宋_GB2312" w:eastAsia="仿宋_GB2312" w:cs="仿宋_GB2312"/>
          <w:color w:val="000000" w:themeColor="text1"/>
          <w:kern w:val="0"/>
          <w:sz w:val="32"/>
          <w:szCs w:val="32"/>
          <w14:textFill>
            <w14:solidFill>
              <w14:schemeClr w14:val="tx1"/>
            </w14:solidFill>
          </w14:textFill>
        </w:rPr>
        <w:t>创新发展</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满足家庭日益增长的个性化、多样化需求。重点为经济困难、临时遭遇困难和计划生育特殊家庭、残疾人家庭等提供支持。探索在街道（镇）及有条件的城乡社区建立家庭综合服务中心。</w:t>
      </w:r>
    </w:p>
    <w:p>
      <w:pPr>
        <w:suppressAutoHyphens w:val="0"/>
        <w:overflowPunct w:val="0"/>
        <w:spacing w:line="620" w:lineRule="exact"/>
        <w:ind w:firstLine="64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（4）推动家庭家教家风在基层社会治理中发挥重要作用。构建党委领导、政府主导、部门合作、家庭尽责、社会参与的家庭建设工作格局。将建设好家庭</w:t>
      </w:r>
      <w:r>
        <w:rPr>
          <w:rFonts w:hint="eastAsia" w:ascii="仿宋_GB2312" w:hAnsi="仿宋_GB2312" w:eastAsia="仿宋_GB2312" w:cs="仿宋_GB2312"/>
          <w:color w:val="000000" w:themeColor="text1"/>
          <w:sz w:val="32"/>
          <w:szCs w:val="32"/>
          <w14:textFill>
            <w14:solidFill>
              <w14:schemeClr w14:val="tx1"/>
            </w14:solidFill>
          </w14:textFill>
        </w:rPr>
        <w:t>、涵养好家教、弘扬好家风纳入基层社会治理体系。鼓励</w:t>
      </w:r>
      <w:r>
        <w:rPr>
          <w:rFonts w:hint="eastAsia" w:ascii="仿宋_GB2312" w:hAnsi="仿宋_GB2312" w:eastAsia="仿宋_GB2312" w:cs="仿宋_GB2312"/>
          <w:color w:val="000000" w:themeColor="text1"/>
          <w:kern w:val="0"/>
          <w:sz w:val="32"/>
          <w:szCs w:val="32"/>
          <w14:textFill>
            <w14:solidFill>
              <w14:schemeClr w14:val="tx1"/>
            </w14:solidFill>
          </w14:textFill>
        </w:rPr>
        <w:t>家庭成员履行家庭和社会责任</w:t>
      </w:r>
      <w:r>
        <w:rPr>
          <w:rFonts w:hint="eastAsia" w:ascii="仿宋_GB2312" w:hAnsi="仿宋_GB2312" w:eastAsia="仿宋_GB2312" w:cs="仿宋_GB2312"/>
          <w:color w:val="000000" w:themeColor="text1"/>
          <w:sz w:val="32"/>
          <w:szCs w:val="32"/>
          <w14:textFill>
            <w14:solidFill>
              <w14:schemeClr w14:val="tx1"/>
            </w14:solidFill>
          </w14:textFill>
        </w:rPr>
        <w:t>。探索建立社区基金、义工积分制、公益银行、云公益大数据平台等，引导家庭积极参与城乡社区治理。增进政府治理和社会调节、居民自治良性互动，</w:t>
      </w:r>
      <w:r>
        <w:rPr>
          <w:rFonts w:hint="eastAsia" w:ascii="仿宋_GB2312" w:hAnsi="仿宋_GB2312" w:eastAsia="仿宋_GB2312" w:cs="仿宋_GB2312"/>
          <w:color w:val="000000" w:themeColor="text1"/>
          <w:kern w:val="0"/>
          <w:sz w:val="32"/>
          <w:szCs w:val="32"/>
          <w14:textFill>
            <w14:solidFill>
              <w14:schemeClr w14:val="tx1"/>
            </w14:solidFill>
          </w14:textFill>
        </w:rPr>
        <w:t>以良</w:t>
      </w:r>
      <w:r>
        <w:rPr>
          <w:rFonts w:hint="eastAsia" w:ascii="仿宋_GB2312" w:hAnsi="仿宋_GB2312" w:eastAsia="仿宋_GB2312" w:cs="仿宋_GB2312"/>
          <w:color w:val="000000" w:themeColor="text1"/>
          <w:sz w:val="32"/>
          <w:szCs w:val="32"/>
          <w14:textFill>
            <w14:solidFill>
              <w14:schemeClr w14:val="tx1"/>
            </w14:solidFill>
          </w14:textFill>
        </w:rPr>
        <w:t>好家风支撑起好的社会风气</w:t>
      </w:r>
      <w:r>
        <w:rPr>
          <w:rFonts w:hint="eastAsia" w:ascii="仿宋_GB2312" w:hAnsi="仿宋_GB2312" w:eastAsia="仿宋_GB2312" w:cs="仿宋_GB2312"/>
          <w:bCs/>
          <w:color w:val="000000" w:themeColor="text1"/>
          <w:sz w:val="32"/>
          <w:szCs w:val="32"/>
          <w14:textFill>
            <w14:solidFill>
              <w14:schemeClr w14:val="tx1"/>
            </w14:solidFill>
          </w14:textFill>
        </w:rPr>
        <w:t>。</w:t>
      </w:r>
    </w:p>
    <w:p>
      <w:pPr>
        <w:suppressAutoHyphens w:val="0"/>
        <w:overflowPunct w:val="0"/>
        <w:spacing w:line="62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（5）鼓励支持妇女在家庭建设中发挥独特作用。深化实施“家家幸福安康工程”，鼓励</w:t>
      </w:r>
      <w:r>
        <w:rPr>
          <w:rFonts w:ascii="仿宋_GB2312" w:hAnsi="仿宋_GB2312" w:eastAsia="仿宋_GB2312" w:cs="仿宋_GB2312"/>
          <w:color w:val="000000" w:themeColor="text1"/>
          <w:kern w:val="0"/>
          <w:sz w:val="32"/>
          <w:szCs w:val="32"/>
          <w14:textFill>
            <w14:solidFill>
              <w14:schemeClr w14:val="tx1"/>
            </w14:solidFill>
          </w14:textFill>
        </w:rPr>
        <w:t>妇女</w:t>
      </w:r>
      <w:r>
        <w:rPr>
          <w:rFonts w:hint="eastAsia" w:ascii="仿宋_GB2312" w:hAnsi="仿宋_GB2312" w:eastAsia="仿宋_GB2312" w:cs="仿宋_GB2312"/>
          <w:color w:val="000000" w:themeColor="text1"/>
          <w:kern w:val="0"/>
          <w:sz w:val="32"/>
          <w:szCs w:val="32"/>
          <w14:textFill>
            <w14:solidFill>
              <w14:schemeClr w14:val="tx1"/>
            </w14:solidFill>
          </w14:textFill>
        </w:rPr>
        <w:t>带领家庭成员积极</w:t>
      </w:r>
      <w:r>
        <w:rPr>
          <w:rFonts w:ascii="仿宋_GB2312" w:hAnsi="仿宋_GB2312" w:eastAsia="仿宋_GB2312" w:cs="仿宋_GB2312"/>
          <w:color w:val="000000" w:themeColor="text1"/>
          <w:kern w:val="0"/>
          <w:sz w:val="32"/>
          <w:szCs w:val="32"/>
          <w14:textFill>
            <w14:solidFill>
              <w14:schemeClr w14:val="tx1"/>
            </w14:solidFill>
          </w14:textFill>
        </w:rPr>
        <w:t>参与</w:t>
      </w:r>
      <w:r>
        <w:rPr>
          <w:rFonts w:hint="eastAsia" w:ascii="仿宋_GB2312" w:hAnsi="仿宋_GB2312" w:eastAsia="仿宋_GB2312" w:cs="仿宋_GB2312"/>
          <w:color w:val="000000" w:themeColor="text1"/>
          <w:sz w:val="32"/>
          <w:szCs w:val="32"/>
          <w14:textFill>
            <w14:solidFill>
              <w14:schemeClr w14:val="tx1"/>
            </w14:solidFill>
          </w14:textFill>
        </w:rPr>
        <w:t>文明家庭、五好家庭、最美家庭等群众性精神文明建设活动，参与</w:t>
      </w:r>
      <w:r>
        <w:rPr>
          <w:rFonts w:ascii="仿宋_GB2312" w:hAnsi="仿宋_GB2312" w:eastAsia="仿宋_GB2312" w:cs="仿宋_GB2312"/>
          <w:color w:val="000000" w:themeColor="text1"/>
          <w:sz w:val="32"/>
          <w:szCs w:val="32"/>
          <w14:textFill>
            <w14:solidFill>
              <w14:schemeClr w14:val="tx1"/>
            </w14:solidFill>
          </w14:textFill>
        </w:rPr>
        <w:t>绿色家庭</w:t>
      </w:r>
      <w:r>
        <w:rPr>
          <w:rFonts w:hint="eastAsia" w:ascii="仿宋_GB2312" w:hAnsi="仿宋_GB2312" w:eastAsia="仿宋_GB2312" w:cs="仿宋_GB2312"/>
          <w:color w:val="000000" w:themeColor="text1"/>
          <w:sz w:val="32"/>
          <w:szCs w:val="32"/>
          <w14:textFill>
            <w14:solidFill>
              <w14:schemeClr w14:val="tx1"/>
            </w14:solidFill>
          </w14:textFill>
        </w:rPr>
        <w:t>建设，</w:t>
      </w:r>
      <w:r>
        <w:rPr>
          <w:rFonts w:ascii="仿宋_GB2312" w:hAnsi="仿宋_GB2312" w:eastAsia="仿宋_GB2312" w:cs="仿宋_GB2312"/>
          <w:color w:val="000000" w:themeColor="text1"/>
          <w:sz w:val="32"/>
          <w:szCs w:val="32"/>
          <w14:textFill>
            <w14:solidFill>
              <w14:schemeClr w14:val="tx1"/>
            </w14:solidFill>
          </w14:textFill>
        </w:rPr>
        <w:t>提升健康素养、践行绿色、低碳、循环、可持续的生活</w:t>
      </w:r>
      <w:r>
        <w:rPr>
          <w:rFonts w:hint="eastAsia" w:ascii="仿宋_GB2312" w:hAnsi="仿宋_GB2312" w:eastAsia="仿宋_GB2312" w:cs="仿宋_GB2312"/>
          <w:color w:val="000000" w:themeColor="text1"/>
          <w:sz w:val="32"/>
          <w:szCs w:val="32"/>
          <w14:textFill>
            <w14:solidFill>
              <w14:schemeClr w14:val="tx1"/>
            </w14:solidFill>
          </w14:textFill>
        </w:rPr>
        <w:t>方式，</w:t>
      </w:r>
      <w:r>
        <w:rPr>
          <w:rFonts w:ascii="仿宋_GB2312" w:hAnsi="仿宋_GB2312" w:eastAsia="仿宋_GB2312" w:cs="仿宋_GB2312"/>
          <w:color w:val="000000" w:themeColor="text1"/>
          <w:sz w:val="32"/>
          <w:szCs w:val="32"/>
          <w14:textFill>
            <w14:solidFill>
              <w14:schemeClr w14:val="tx1"/>
            </w14:solidFill>
          </w14:textFill>
        </w:rPr>
        <w:t>养成</w:t>
      </w:r>
      <w:r>
        <w:rPr>
          <w:rFonts w:hint="eastAsia" w:ascii="仿宋_GB2312" w:hAnsi="仿宋_GB2312" w:eastAsia="仿宋_GB2312" w:cs="仿宋_GB2312"/>
          <w:color w:val="000000" w:themeColor="text1"/>
          <w:sz w:val="32"/>
          <w:szCs w:val="32"/>
          <w14:textFill>
            <w14:solidFill>
              <w14:schemeClr w14:val="tx1"/>
            </w14:solidFill>
          </w14:textFill>
        </w:rPr>
        <w:t>勤俭节约好习惯，杜绝浪费。推进平安家庭、无</w:t>
      </w:r>
      <w:r>
        <w:rPr>
          <w:rFonts w:ascii="仿宋_GB2312" w:hAnsi="仿宋_GB2312" w:eastAsia="仿宋_GB2312" w:cs="仿宋_GB2312"/>
          <w:color w:val="000000" w:themeColor="text1"/>
          <w:sz w:val="32"/>
          <w:szCs w:val="32"/>
          <w14:textFill>
            <w14:solidFill>
              <w14:schemeClr w14:val="tx1"/>
            </w14:solidFill>
          </w14:textFill>
        </w:rPr>
        <w:t>烟家庭</w:t>
      </w:r>
      <w:r>
        <w:rPr>
          <w:rFonts w:hint="eastAsia" w:ascii="仿宋_GB2312" w:hAnsi="仿宋_GB2312" w:eastAsia="仿宋_GB2312" w:cs="仿宋_GB2312"/>
          <w:color w:val="000000" w:themeColor="text1"/>
          <w:sz w:val="32"/>
          <w:szCs w:val="32"/>
          <w14:textFill>
            <w14:solidFill>
              <w14:schemeClr w14:val="tx1"/>
            </w14:solidFill>
          </w14:textFill>
        </w:rPr>
        <w:t>建设。</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促进婚姻家庭关系健康发展。面向家庭开展有关法律法规的宣传，促进男女平等观念在婚姻家庭关系建设中落实落地，倡导夫妻平等参与家庭事务决策，反对一切形式的家庭暴力。开展恋爱、婚姻家庭观念教育，推广</w:t>
      </w:r>
      <w:r>
        <w:rPr>
          <w:rFonts w:hint="eastAsia" w:ascii="仿宋_GB2312" w:hAnsi="仿宋_GB2312" w:eastAsia="仿宋_GB2312" w:cs="仿宋_GB2312"/>
          <w:color w:val="000000" w:themeColor="text1"/>
          <w:sz w:val="32"/>
          <w:szCs w:val="32"/>
          <w14:textFill>
            <w14:solidFill>
              <w14:schemeClr w14:val="tx1"/>
            </w14:solidFill>
          </w14:textFill>
        </w:rPr>
        <w:t>婚姻登记、婚育</w:t>
      </w:r>
      <w:r>
        <w:rPr>
          <w:rFonts w:ascii="仿宋_GB2312" w:hAnsi="仿宋_GB2312" w:eastAsia="仿宋_GB2312" w:cs="仿宋_GB2312"/>
          <w:color w:val="000000" w:themeColor="text1"/>
          <w:sz w:val="32"/>
          <w:szCs w:val="32"/>
          <w14:textFill>
            <w14:solidFill>
              <w14:schemeClr w14:val="tx1"/>
            </w14:solidFill>
          </w14:textFill>
        </w:rPr>
        <w:t>健康宣传教育、</w:t>
      </w:r>
      <w:r>
        <w:rPr>
          <w:rFonts w:hint="eastAsia" w:ascii="仿宋_GB2312" w:hAnsi="仿宋_GB2312" w:eastAsia="仿宋_GB2312" w:cs="仿宋_GB2312"/>
          <w:color w:val="000000" w:themeColor="text1"/>
          <w:sz w:val="32"/>
          <w:szCs w:val="32"/>
          <w14:textFill>
            <w14:solidFill>
              <w14:schemeClr w14:val="tx1"/>
            </w14:solidFill>
          </w14:textFill>
        </w:rPr>
        <w:t>婚姻家庭关系辅导等“一站式”服务</w:t>
      </w:r>
      <w:r>
        <w:rPr>
          <w:rFonts w:hint="eastAsia" w:ascii="仿宋_GB2312" w:hAnsi="仿宋_GB2312" w:eastAsia="仿宋_GB2312" w:cs="仿宋_GB2312"/>
          <w:color w:val="000000" w:themeColor="text1"/>
          <w:kern w:val="0"/>
          <w:sz w:val="32"/>
          <w:szCs w:val="32"/>
          <w14:textFill>
            <w14:solidFill>
              <w14:schemeClr w14:val="tx1"/>
            </w14:solidFill>
          </w14:textFill>
        </w:rPr>
        <w:t>。推进移风易俗，引导改变生男偏好，抵制早婚早育、高价彩礼等陋习，选树宣传移风易俗典型</w:t>
      </w:r>
      <w:r>
        <w:rPr>
          <w:rFonts w:ascii="仿宋_GB2312" w:hAnsi="仿宋_GB2312" w:eastAsia="仿宋_GB2312" w:cs="仿宋_GB2312"/>
          <w:color w:val="000000" w:themeColor="text1"/>
          <w:kern w:val="0"/>
          <w:sz w:val="32"/>
          <w:szCs w:val="32"/>
          <w14:textFill>
            <w14:solidFill>
              <w14:schemeClr w14:val="tx1"/>
            </w14:solidFill>
          </w14:textFill>
        </w:rPr>
        <w:t>，倡导健康文明新风尚。</w:t>
      </w:r>
      <w:r>
        <w:rPr>
          <w:rFonts w:hint="eastAsia" w:ascii="仿宋_GB2312" w:hAnsi="仿宋_GB2312" w:eastAsia="仿宋_GB2312" w:cs="仿宋_GB2312"/>
          <w:color w:val="000000" w:themeColor="text1"/>
          <w:kern w:val="0"/>
          <w:sz w:val="32"/>
          <w:szCs w:val="32"/>
          <w14:textFill>
            <w14:solidFill>
              <w14:schemeClr w14:val="tx1"/>
            </w14:solidFill>
          </w14:textFill>
        </w:rPr>
        <w:t>加强对广播电视、网络等婚恋活动和服务的规范管理。</w:t>
      </w:r>
    </w:p>
    <w:p>
      <w:pPr>
        <w:suppressAutoHyphens w:val="0"/>
        <w:overflowPunct w:val="0"/>
        <w:adjustRightInd w:val="0"/>
        <w:snapToGrid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7）加强婚姻家庭纠纷预防化解工作。健全婚姻家庭纠纷预防化解工作机制，发挥综治中心和网格化服务管理作用，强化衔接联动，加强婚姻家庭纠纷预测预防预警，健全纠纷排查调处制度。推进建立健全婚姻家庭纠纷人民调解委员会和婚姻家庭辅导中心，支持社会力量参与，建设人民调解员和婚姻家庭辅导员队伍，充分</w:t>
      </w:r>
      <w:r>
        <w:rPr>
          <w:rFonts w:ascii="仿宋_GB2312" w:hAnsi="仿宋_GB2312" w:eastAsia="仿宋_GB2312" w:cs="仿宋_GB2312"/>
          <w:color w:val="000000" w:themeColor="text1"/>
          <w:kern w:val="0"/>
          <w:sz w:val="32"/>
          <w:szCs w:val="32"/>
          <w14:textFill>
            <w14:solidFill>
              <w14:schemeClr w14:val="tx1"/>
            </w14:solidFill>
          </w14:textFill>
        </w:rPr>
        <w:t>利用信息化手段，推动纠纷预防化解工作。</w:t>
      </w:r>
      <w:r>
        <w:rPr>
          <w:rFonts w:hint="eastAsia" w:ascii="仿宋_GB2312" w:hAnsi="仿宋_GB2312" w:eastAsia="仿宋_GB2312" w:cs="仿宋_GB2312"/>
          <w:color w:val="000000" w:themeColor="text1"/>
          <w:kern w:val="0"/>
          <w:sz w:val="32"/>
          <w:szCs w:val="32"/>
          <w14:textFill>
            <w14:solidFill>
              <w14:schemeClr w14:val="tx1"/>
            </w14:solidFill>
          </w14:textFill>
        </w:rPr>
        <w:t>推进家事审判制度改革，加强诉调对接平台建设，构建新型家事纠纷综合协调解决模式。</w:t>
      </w:r>
    </w:p>
    <w:p>
      <w:pPr>
        <w:suppressAutoHyphens w:val="0"/>
        <w:overflowPunct w:val="0"/>
        <w:adjustRightInd w:val="0"/>
        <w:snapToGrid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8）促进男女平等分担家务。倡导夫妻在家务劳动中分工配合，共同分担料理家务责任，缩小两性家务劳动时间差距。促进照料、保洁、烹饪等家务劳动社会化，持续推动家政服务业提质扩容增效，研发家务劳动便利化产品。督促用人单位落实</w:t>
      </w:r>
      <w:r>
        <w:rPr>
          <w:rFonts w:ascii="仿宋_GB2312" w:hAnsi="仿宋_GB2312" w:eastAsia="仿宋_GB2312" w:cs="仿宋_GB2312"/>
          <w:color w:val="000000" w:themeColor="text1"/>
          <w:kern w:val="0"/>
          <w:sz w:val="32"/>
          <w:szCs w:val="32"/>
          <w14:textFill>
            <w14:solidFill>
              <w14:schemeClr w14:val="tx1"/>
            </w14:solidFill>
          </w14:textFill>
        </w:rPr>
        <w:t>探亲假</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职工</w:t>
      </w:r>
      <w:r>
        <w:rPr>
          <w:rFonts w:hint="eastAsia" w:ascii="仿宋_GB2312" w:hAnsi="仿宋_GB2312" w:eastAsia="仿宋_GB2312" w:cs="仿宋_GB2312"/>
          <w:color w:val="000000" w:themeColor="text1"/>
          <w:kern w:val="0"/>
          <w:sz w:val="32"/>
          <w:szCs w:val="32"/>
          <w14:textFill>
            <w14:solidFill>
              <w14:schemeClr w14:val="tx1"/>
            </w14:solidFill>
          </w14:textFill>
        </w:rPr>
        <w:t>带</w:t>
      </w:r>
      <w:r>
        <w:rPr>
          <w:rFonts w:ascii="仿宋_GB2312" w:hAnsi="仿宋_GB2312" w:eastAsia="仿宋_GB2312" w:cs="仿宋_GB2312"/>
          <w:color w:val="000000" w:themeColor="text1"/>
          <w:kern w:val="0"/>
          <w:sz w:val="32"/>
          <w:szCs w:val="32"/>
          <w14:textFill>
            <w14:solidFill>
              <w14:schemeClr w14:val="tx1"/>
            </w14:solidFill>
          </w14:textFill>
        </w:rPr>
        <w:t>薪休假</w:t>
      </w:r>
      <w:r>
        <w:rPr>
          <w:rFonts w:hint="eastAsia" w:ascii="仿宋_GB2312" w:hAnsi="仿宋_GB2312" w:eastAsia="仿宋_GB2312" w:cs="仿宋_GB2312"/>
          <w:color w:val="000000" w:themeColor="text1"/>
          <w:kern w:val="0"/>
          <w:sz w:val="32"/>
          <w:szCs w:val="32"/>
          <w14:textFill>
            <w14:solidFill>
              <w14:schemeClr w14:val="tx1"/>
            </w14:solidFill>
          </w14:textFill>
        </w:rPr>
        <w:t>、配</w:t>
      </w:r>
      <w:r>
        <w:rPr>
          <w:rFonts w:ascii="仿宋_GB2312" w:hAnsi="仿宋_GB2312" w:eastAsia="仿宋_GB2312" w:cs="仿宋_GB2312"/>
          <w:color w:val="000000" w:themeColor="text1"/>
          <w:kern w:val="0"/>
          <w:sz w:val="32"/>
          <w:szCs w:val="32"/>
          <w14:textFill>
            <w14:solidFill>
              <w14:schemeClr w14:val="tx1"/>
            </w14:solidFill>
          </w14:textFill>
        </w:rPr>
        <w:t>偶</w:t>
      </w:r>
      <w:r>
        <w:rPr>
          <w:rFonts w:hint="eastAsia" w:ascii="仿宋_GB2312" w:hAnsi="仿宋_GB2312" w:eastAsia="仿宋_GB2312" w:cs="仿宋_GB2312"/>
          <w:color w:val="000000" w:themeColor="text1"/>
          <w:kern w:val="0"/>
          <w:sz w:val="32"/>
          <w:szCs w:val="32"/>
          <w14:textFill>
            <w14:solidFill>
              <w14:schemeClr w14:val="tx1"/>
            </w14:solidFill>
          </w14:textFill>
        </w:rPr>
        <w:t>陪</w:t>
      </w:r>
      <w:r>
        <w:rPr>
          <w:rFonts w:ascii="仿宋_GB2312" w:hAnsi="仿宋_GB2312" w:eastAsia="仿宋_GB2312" w:cs="仿宋_GB2312"/>
          <w:color w:val="000000" w:themeColor="text1"/>
          <w:kern w:val="0"/>
          <w:sz w:val="32"/>
          <w:szCs w:val="32"/>
          <w14:textFill>
            <w14:solidFill>
              <w14:schemeClr w14:val="tx1"/>
            </w14:solidFill>
          </w14:textFill>
        </w:rPr>
        <w:t>产假等制度，鼓励用人</w:t>
      </w:r>
      <w:r>
        <w:rPr>
          <w:rFonts w:hint="eastAsia" w:ascii="仿宋_GB2312" w:hAnsi="仿宋_GB2312" w:eastAsia="仿宋_GB2312" w:cs="仿宋_GB2312"/>
          <w:color w:val="000000" w:themeColor="text1"/>
          <w:kern w:val="0"/>
          <w:sz w:val="32"/>
          <w:szCs w:val="32"/>
          <w14:textFill>
            <w14:solidFill>
              <w14:schemeClr w14:val="tx1"/>
            </w14:solidFill>
          </w14:textFill>
        </w:rPr>
        <w:t>单位</w:t>
      </w:r>
      <w:r>
        <w:rPr>
          <w:rFonts w:ascii="仿宋_GB2312" w:hAnsi="仿宋_GB2312" w:eastAsia="仿宋_GB2312" w:cs="仿宋_GB2312"/>
          <w:color w:val="000000" w:themeColor="text1"/>
          <w:kern w:val="0"/>
          <w:sz w:val="32"/>
          <w:szCs w:val="32"/>
          <w14:textFill>
            <w14:solidFill>
              <w14:schemeClr w14:val="tx1"/>
            </w14:solidFill>
          </w14:textFill>
        </w:rPr>
        <w:t>实施灵活休假</w:t>
      </w:r>
      <w:r>
        <w:rPr>
          <w:rFonts w:hint="eastAsia" w:ascii="仿宋_GB2312" w:hAnsi="仿宋_GB2312" w:eastAsia="仿宋_GB2312" w:cs="仿宋_GB2312"/>
          <w:color w:val="000000" w:themeColor="text1"/>
          <w:kern w:val="0"/>
          <w:sz w:val="32"/>
          <w:szCs w:val="32"/>
          <w14:textFill>
            <w14:solidFill>
              <w14:schemeClr w14:val="tx1"/>
            </w14:solidFill>
          </w14:textFill>
        </w:rPr>
        <w:t>和</w:t>
      </w:r>
      <w:r>
        <w:rPr>
          <w:rFonts w:ascii="仿宋_GB2312" w:hAnsi="仿宋_GB2312" w:eastAsia="仿宋_GB2312" w:cs="仿宋_GB2312"/>
          <w:color w:val="000000" w:themeColor="text1"/>
          <w:kern w:val="0"/>
          <w:sz w:val="32"/>
          <w:szCs w:val="32"/>
          <w14:textFill>
            <w14:solidFill>
              <w14:schemeClr w14:val="tx1"/>
            </w14:solidFill>
          </w14:textFill>
        </w:rPr>
        <w:t>弹性工作制度，创造生育友好的工作环境，支持男女职工共同履行家庭</w:t>
      </w:r>
      <w:r>
        <w:rPr>
          <w:rFonts w:hint="eastAsia" w:ascii="仿宋_GB2312" w:hAnsi="仿宋_GB2312" w:eastAsia="仿宋_GB2312" w:cs="仿宋_GB2312"/>
          <w:color w:val="000000" w:themeColor="text1"/>
          <w:kern w:val="0"/>
          <w:sz w:val="32"/>
          <w:szCs w:val="32"/>
          <w14:textFill>
            <w14:solidFill>
              <w14:schemeClr w14:val="tx1"/>
            </w14:solidFill>
          </w14:textFill>
        </w:rPr>
        <w:t>责任。</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（9）增强父母</w:t>
      </w:r>
      <w:r>
        <w:rPr>
          <w:rFonts w:hint="eastAsia" w:ascii="仿宋_GB2312" w:hAnsi="仿宋_GB2312" w:eastAsia="仿宋_GB2312" w:cs="仿宋_GB2312"/>
          <w:color w:val="000000" w:themeColor="text1"/>
          <w:sz w:val="32"/>
          <w:szCs w:val="32"/>
          <w:lang w:val="zh-TW"/>
          <w14:textFill>
            <w14:solidFill>
              <w14:schemeClr w14:val="tx1"/>
            </w14:solidFill>
          </w14:textFill>
        </w:rPr>
        <w:t>共同承担</w:t>
      </w:r>
      <w:r>
        <w:rPr>
          <w:rFonts w:hint="eastAsia" w:ascii="仿宋_GB2312" w:hAnsi="仿宋_GB2312" w:eastAsia="仿宋_GB2312" w:cs="仿宋_GB2312"/>
          <w:color w:val="000000" w:themeColor="text1"/>
          <w:sz w:val="32"/>
          <w:szCs w:val="32"/>
          <w14:textFill>
            <w14:solidFill>
              <w14:schemeClr w14:val="tx1"/>
            </w14:solidFill>
          </w14:textFill>
        </w:rPr>
        <w:t>家庭教育</w:t>
      </w:r>
      <w:r>
        <w:rPr>
          <w:rFonts w:hint="eastAsia" w:ascii="仿宋_GB2312" w:hAnsi="仿宋_GB2312" w:eastAsia="仿宋_GB2312" w:cs="仿宋_GB2312"/>
          <w:color w:val="000000" w:themeColor="text1"/>
          <w:sz w:val="32"/>
          <w:szCs w:val="32"/>
          <w:lang w:val="zh-TW"/>
          <w14:textFill>
            <w14:solidFill>
              <w14:schemeClr w14:val="tx1"/>
            </w14:solidFill>
          </w14:textFill>
        </w:rPr>
        <w:t>责任的意识和能力</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促进</w:t>
      </w:r>
      <w:r>
        <w:rPr>
          <w:rFonts w:hint="eastAsia" w:ascii="仿宋_GB2312" w:hAnsi="仿宋_GB2312" w:eastAsia="仿宋_GB2312" w:cs="仿宋_GB2312"/>
          <w:color w:val="000000" w:themeColor="text1"/>
          <w:kern w:val="0"/>
          <w:sz w:val="32"/>
          <w:szCs w:val="32"/>
          <w14:textFill>
            <w14:solidFill>
              <w14:schemeClr w14:val="tx1"/>
            </w14:solidFill>
          </w14:textFill>
        </w:rPr>
        <w:t>父母共同落实家庭教育主体责任，共同</w:t>
      </w:r>
      <w:r>
        <w:rPr>
          <w:rFonts w:hint="eastAsia" w:ascii="仿宋_GB2312" w:hAnsi="仿宋_GB2312" w:eastAsia="仿宋_GB2312" w:cs="仿宋_GB2312"/>
          <w:color w:val="000000" w:themeColor="text1"/>
          <w:sz w:val="32"/>
          <w:szCs w:val="32"/>
          <w14:textFill>
            <w14:solidFill>
              <w14:schemeClr w14:val="tx1"/>
            </w14:solidFill>
          </w14:textFill>
        </w:rPr>
        <w:t>创造有利于子女健康成长和发展的家庭环境。开展宣传培训，帮助父母树立科学家庭教育理念，掌握科学知识方法，增强家庭教育本领</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鼓励父母加强亲子交流，共同陪伴未成年子女成长。</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提高老年妇女的家庭生活质量。倡导养老、孝老、敬老的家庭美德，支持家庭履行赡养老人的主体责任。鼓励子女与老年人共同生活或就近居住，为长期照护老年人的家庭成员提供“喘息服务”。督促用人单位保障赡养义务人的探亲休假权利，推动建立子女护理假制度。建立完善社区老年人关爱服务机制，探索建设老年友好型社区，发展银发经济，推进智慧健康养老，满足老年妇女生活需要。依法保障老年妇女婚姻自由和家庭财产权利。</w:t>
      </w:r>
    </w:p>
    <w:p>
      <w:pPr>
        <w:suppressAutoHyphens w:val="0"/>
        <w:overflowPunct w:val="0"/>
        <w:spacing w:line="620" w:lineRule="exact"/>
        <w:ind w:firstLine="640" w:firstLineChars="200"/>
        <w:outlineLvl w:val="1"/>
        <w:rPr>
          <w:rFonts w:ascii="Times New Roman" w:hAnsi="Times New Roman" w:eastAsia="楷体_GB2312"/>
          <w:color w:val="000000" w:themeColor="text1"/>
          <w:sz w:val="32"/>
          <w:szCs w:val="32"/>
          <w14:textFill>
            <w14:solidFill>
              <w14:schemeClr w14:val="tx1"/>
            </w14:solidFill>
          </w14:textFill>
        </w:rPr>
      </w:pPr>
      <w:bookmarkStart w:id="22" w:name="_Toc1234973935"/>
      <w:r>
        <w:rPr>
          <w:rFonts w:ascii="Times New Roman" w:hAnsi="楷体" w:eastAsia="楷体_GB2312"/>
          <w:color w:val="000000" w:themeColor="text1"/>
          <w:sz w:val="32"/>
          <w:szCs w:val="32"/>
          <w14:textFill>
            <w14:solidFill>
              <w14:schemeClr w14:val="tx1"/>
            </w14:solidFill>
          </w14:textFill>
        </w:rPr>
        <w:t>（</w:t>
      </w:r>
      <w:r>
        <w:rPr>
          <w:rFonts w:hint="eastAsia" w:ascii="Times New Roman" w:hAnsi="楷体" w:eastAsia="楷体_GB2312"/>
          <w:color w:val="000000" w:themeColor="text1"/>
          <w:sz w:val="32"/>
          <w:szCs w:val="32"/>
          <w14:textFill>
            <w14:solidFill>
              <w14:schemeClr w14:val="tx1"/>
            </w14:solidFill>
          </w14:textFill>
        </w:rPr>
        <w:t>八</w:t>
      </w:r>
      <w:r>
        <w:rPr>
          <w:rFonts w:ascii="Times New Roman" w:hAnsi="楷体" w:eastAsia="楷体_GB2312"/>
          <w:color w:val="000000" w:themeColor="text1"/>
          <w:sz w:val="32"/>
          <w:szCs w:val="32"/>
          <w14:textFill>
            <w14:solidFill>
              <w14:schemeClr w14:val="tx1"/>
            </w14:solidFill>
          </w14:textFill>
        </w:rPr>
        <w:t>）妇女与环境</w:t>
      </w:r>
      <w:bookmarkEnd w:id="22"/>
      <w:r>
        <w:rPr>
          <w:rFonts w:hint="eastAsia" w:ascii="Times New Roman" w:hAnsi="楷体" w:eastAsia="楷体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1.主要目标。</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（1）提高妇女的思想政</w:t>
      </w:r>
      <w:r>
        <w:rPr>
          <w:rFonts w:hint="eastAsia" w:ascii="仿宋_GB2312" w:hAnsi="仿宋_GB2312" w:eastAsia="仿宋_GB2312" w:cs="仿宋_GB2312"/>
          <w:color w:val="000000" w:themeColor="text1"/>
          <w:kern w:val="0"/>
          <w:sz w:val="32"/>
          <w:szCs w:val="32"/>
          <w14:textFill>
            <w14:solidFill>
              <w14:schemeClr w14:val="tx1"/>
            </w14:solidFill>
          </w14:textFill>
        </w:rPr>
        <w:t>治意识</w:t>
      </w:r>
      <w:r>
        <w:rPr>
          <w:rFonts w:hint="eastAsia" w:ascii="仿宋_GB2312" w:hAnsi="仿宋_GB2312" w:eastAsia="仿宋_GB2312" w:cs="仿宋_GB2312"/>
          <w:color w:val="000000" w:themeColor="text1"/>
          <w:sz w:val="32"/>
          <w:szCs w:val="32"/>
          <w14:textFill>
            <w14:solidFill>
              <w14:schemeClr w14:val="tx1"/>
            </w14:solidFill>
          </w14:textFill>
        </w:rPr>
        <w:t>，促进</w:t>
      </w:r>
      <w:r>
        <w:rPr>
          <w:rFonts w:ascii="仿宋_GB2312" w:hAnsi="仿宋_GB2312" w:eastAsia="仿宋_GB2312" w:cs="仿宋_GB2312"/>
          <w:color w:val="000000" w:themeColor="text1"/>
          <w:sz w:val="32"/>
          <w:szCs w:val="32"/>
          <w14:textFill>
            <w14:solidFill>
              <w14:schemeClr w14:val="tx1"/>
            </w14:solidFill>
          </w14:textFill>
        </w:rPr>
        <w:t>妇女积极践行社会主义核心价值观</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kern w:val="0"/>
          <w:sz w:val="32"/>
          <w:szCs w:val="32"/>
          <w14:textFill>
            <w14:solidFill>
              <w14:schemeClr w14:val="tx1"/>
            </w14:solidFill>
          </w14:textFill>
        </w:rPr>
        <w:t>（牵头单位：区妇联，责任单位：</w:t>
      </w:r>
      <w:r>
        <w:rPr>
          <w:rFonts w:hint="eastAsia" w:ascii="楷体" w:hAnsi="楷体" w:eastAsia="楷体_GB2312" w:cs="仿宋_GB2312"/>
          <w:color w:val="000000" w:themeColor="text1"/>
          <w:sz w:val="32"/>
          <w:szCs w:val="32"/>
          <w14:textFill>
            <w14:solidFill>
              <w14:schemeClr w14:val="tx1"/>
            </w14:solidFill>
          </w14:textFill>
        </w:rPr>
        <w:t>区委宣传部）</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（2）妇女共建共享精神文明创建成果。</w:t>
      </w:r>
      <w:r>
        <w:rPr>
          <w:rFonts w:hint="eastAsia" w:ascii="楷体" w:hAnsi="楷体" w:eastAsia="楷体_GB2312" w:cs="仿宋_GB2312"/>
          <w:color w:val="000000" w:themeColor="text1"/>
          <w:kern w:val="0"/>
          <w:sz w:val="32"/>
          <w:szCs w:val="32"/>
          <w14:textFill>
            <w14:solidFill>
              <w14:schemeClr w14:val="tx1"/>
            </w14:solidFill>
          </w14:textFill>
        </w:rPr>
        <w:t>（牵头单位：</w:t>
      </w:r>
      <w:r>
        <w:rPr>
          <w:rFonts w:hint="eastAsia" w:ascii="楷体" w:hAnsi="楷体" w:eastAsia="楷体_GB2312" w:cs="仿宋_GB2312"/>
          <w:color w:val="000000" w:themeColor="text1"/>
          <w:sz w:val="32"/>
          <w:szCs w:val="32"/>
          <w14:textFill>
            <w14:solidFill>
              <w14:schemeClr w14:val="tx1"/>
            </w14:solidFill>
          </w14:textFill>
        </w:rPr>
        <w:t>区委宣传部</w:t>
      </w:r>
      <w:r>
        <w:rPr>
          <w:rFonts w:hint="eastAsia" w:ascii="楷体" w:hAnsi="楷体" w:eastAsia="楷体_GB2312" w:cs="仿宋_GB2312"/>
          <w:color w:val="000000" w:themeColor="text1"/>
          <w:kern w:val="0"/>
          <w:sz w:val="32"/>
          <w:szCs w:val="32"/>
          <w14:textFill>
            <w14:solidFill>
              <w14:schemeClr w14:val="tx1"/>
            </w14:solidFill>
          </w14:textFill>
        </w:rPr>
        <w:t>，责任单位：</w:t>
      </w:r>
      <w:r>
        <w:rPr>
          <w:rFonts w:hint="eastAsia" w:ascii="楷体" w:hAnsi="楷体" w:eastAsia="楷体_GB2312" w:cs="仿宋_GB2312"/>
          <w:color w:val="000000" w:themeColor="text1"/>
          <w:sz w:val="32"/>
          <w:szCs w:val="32"/>
          <w14:textFill>
            <w14:solidFill>
              <w14:schemeClr w14:val="tx1"/>
            </w14:solidFill>
          </w14:textFill>
        </w:rPr>
        <w:t>区发展和改革局、区财政局、区住房和城乡建设局、区自然资源局、区城市规划建设服务中心、区生态环境分局、区农业农村局、区教育和体育局、区卫生健康局、区民政局、区城乡交通运输局、区市场监管局、区残联、区总工会、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（3）男女平等基本国策教育进机关、进学校、进企业、进社区、进家庭，全社会的性别平等意识提升。</w:t>
      </w:r>
      <w:r>
        <w:rPr>
          <w:rFonts w:hint="eastAsia" w:ascii="楷体" w:hAnsi="楷体" w:eastAsia="楷体_GB2312" w:cs="仿宋_GB2312"/>
          <w:color w:val="000000" w:themeColor="text1"/>
          <w:kern w:val="0"/>
          <w:sz w:val="32"/>
          <w:szCs w:val="32"/>
          <w14:textFill>
            <w14:solidFill>
              <w14:schemeClr w14:val="tx1"/>
            </w14:solidFill>
          </w14:textFill>
        </w:rPr>
        <w:t>（牵头单位：区妇儿工委办公室，责任单位：区委宣传部、区委区直机关工委、区教育和体育局、区司法局、区财政局、区总工会、区民政局、区妇联）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（4）健全文化与传媒领域的性别平等评估和监管机制。</w:t>
      </w:r>
      <w:r>
        <w:rPr>
          <w:rFonts w:hint="eastAsia" w:ascii="楷体" w:hAnsi="楷体" w:eastAsia="楷体_GB2312" w:cs="仿宋_GB2312"/>
          <w:color w:val="000000" w:themeColor="text1"/>
          <w:kern w:val="0"/>
          <w:sz w:val="32"/>
          <w:szCs w:val="32"/>
          <w14:textFill>
            <w14:solidFill>
              <w14:schemeClr w14:val="tx1"/>
            </w14:solidFill>
          </w14:textFill>
        </w:rPr>
        <w:t>（牵头单位：区委宣传部，责任单位：区妇儿工委办公室、区融媒中心、区教育和体育局、区文化和旅游局、区妇联）</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（5）妇女的媒介素养全面提升，妇女利用信息技术参与新时代经济社会高质量建设发展的能力提高。</w:t>
      </w:r>
      <w:r>
        <w:rPr>
          <w:rFonts w:hint="eastAsia" w:ascii="楷体" w:hAnsi="楷体" w:eastAsia="楷体_GB2312" w:cs="仿宋_GB2312"/>
          <w:color w:val="000000" w:themeColor="text1"/>
          <w:kern w:val="0"/>
          <w:sz w:val="32"/>
          <w:szCs w:val="32"/>
          <w14:textFill>
            <w14:solidFill>
              <w14:schemeClr w14:val="tx1"/>
            </w14:solidFill>
          </w14:textFill>
        </w:rPr>
        <w:t>（牵头单位：区工业和信息化局，责任单位：区委宣传部、区教育和体育局、区农业农村局、区妇联、区残联）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（6）妇女的生态文明意识提高，践行绿色发展理念，做生态文明建设的推动者和践行者。</w:t>
      </w:r>
      <w:r>
        <w:rPr>
          <w:rFonts w:hint="eastAsia" w:ascii="楷体" w:hAnsi="楷体" w:eastAsia="楷体_GB2312" w:cs="仿宋_GB2312"/>
          <w:color w:val="000000" w:themeColor="text1"/>
          <w:kern w:val="0"/>
          <w:sz w:val="32"/>
          <w:szCs w:val="32"/>
          <w14:textFill>
            <w14:solidFill>
              <w14:schemeClr w14:val="tx1"/>
            </w14:solidFill>
          </w14:textFill>
        </w:rPr>
        <w:t>（牵头单位：区生态环境分局，责任单位：区妇联、区委宣传部、区农业农村局、区融媒中心、区文化和旅游局）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（7）减少环境</w:t>
      </w:r>
      <w:r>
        <w:rPr>
          <w:rFonts w:ascii="仿宋_GB2312" w:hAnsi="仿宋_GB2312" w:eastAsia="仿宋_GB2312" w:cs="仿宋_GB2312"/>
          <w:color w:val="000000" w:themeColor="text1"/>
          <w:sz w:val="32"/>
          <w:szCs w:val="32"/>
          <w14:textFill>
            <w14:solidFill>
              <w14:schemeClr w14:val="tx1"/>
            </w14:solidFill>
          </w14:textFill>
        </w:rPr>
        <w:t>污染对妇女健康的危害。</w:t>
      </w:r>
      <w:r>
        <w:rPr>
          <w:rFonts w:hint="eastAsia" w:ascii="仿宋_GB2312" w:hAnsi="仿宋_GB2312" w:eastAsia="仿宋_GB2312" w:cs="仿宋_GB2312"/>
          <w:color w:val="000000" w:themeColor="text1"/>
          <w:sz w:val="32"/>
          <w:szCs w:val="32"/>
          <w14:textFill>
            <w14:solidFill>
              <w14:schemeClr w14:val="tx1"/>
            </w14:solidFill>
          </w14:textFill>
        </w:rPr>
        <w:t>农村自来水普及率稳定在9</w:t>
      </w:r>
      <w:r>
        <w:rPr>
          <w:rFonts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%以上，城市集中式饮用水水源水质达到或优于Ⅲ类标准的比例总体为95%，降低水污染对妇女健康的危害。</w:t>
      </w:r>
      <w:r>
        <w:rPr>
          <w:rFonts w:hint="eastAsia" w:ascii="楷体" w:hAnsi="楷体" w:eastAsia="楷体_GB2312" w:cs="仿宋_GB2312"/>
          <w:color w:val="000000" w:themeColor="text1"/>
          <w:kern w:val="0"/>
          <w:sz w:val="32"/>
          <w:szCs w:val="32"/>
          <w14:textFill>
            <w14:solidFill>
              <w14:schemeClr w14:val="tx1"/>
            </w14:solidFill>
          </w14:textFill>
        </w:rPr>
        <w:t>（牵头单位：区城乡水务局、区生态环境分局，责任单位：区农业农村局、区卫生健康局）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（8）农村卫生厕所改造基本</w:t>
      </w:r>
      <w:r>
        <w:rPr>
          <w:rFonts w:ascii="仿宋_GB2312" w:hAnsi="仿宋_GB2312" w:eastAsia="仿宋_GB2312" w:cs="仿宋_GB2312"/>
          <w:color w:val="000000" w:themeColor="text1"/>
          <w:sz w:val="32"/>
          <w:szCs w:val="32"/>
          <w14:textFill>
            <w14:solidFill>
              <w14:schemeClr w14:val="tx1"/>
            </w14:solidFill>
          </w14:textFill>
        </w:rPr>
        <w:t>完成</w:t>
      </w:r>
      <w:r>
        <w:rPr>
          <w:rFonts w:hint="eastAsia" w:ascii="仿宋_GB2312" w:hAnsi="仿宋_GB2312" w:eastAsia="仿宋_GB2312" w:cs="仿宋_GB2312"/>
          <w:color w:val="000000" w:themeColor="text1"/>
          <w:sz w:val="32"/>
          <w:szCs w:val="32"/>
          <w14:textFill>
            <w14:solidFill>
              <w14:schemeClr w14:val="tx1"/>
            </w14:solidFill>
          </w14:textFill>
        </w:rPr>
        <w:t>，城镇公共厕所男女厕位比例标准化建设与实际需求相适应。</w:t>
      </w:r>
      <w:r>
        <w:rPr>
          <w:rFonts w:hint="eastAsia" w:ascii="楷体" w:hAnsi="楷体" w:eastAsia="楷体_GB2312" w:cs="仿宋_GB2312"/>
          <w:color w:val="000000" w:themeColor="text1"/>
          <w:kern w:val="0"/>
          <w:sz w:val="32"/>
          <w:szCs w:val="32"/>
          <w14:textFill>
            <w14:solidFill>
              <w14:schemeClr w14:val="tx1"/>
            </w14:solidFill>
          </w14:textFill>
        </w:rPr>
        <w:t>（牵头单位：区</w:t>
      </w:r>
      <w:r>
        <w:rPr>
          <w:rFonts w:ascii="楷体" w:hAnsi="楷体" w:eastAsia="楷体_GB2312" w:cs="仿宋_GB2312"/>
          <w:color w:val="000000" w:themeColor="text1"/>
          <w:kern w:val="0"/>
          <w:sz w:val="32"/>
          <w:szCs w:val="32"/>
          <w14:textFill>
            <w14:solidFill>
              <w14:schemeClr w14:val="tx1"/>
            </w14:solidFill>
          </w14:textFill>
        </w:rPr>
        <w:t>农业农村局、</w:t>
      </w:r>
      <w:r>
        <w:rPr>
          <w:rFonts w:hint="eastAsia" w:ascii="楷体" w:hAnsi="楷体" w:eastAsia="楷体_GB2312" w:cs="仿宋_GB2312"/>
          <w:color w:val="000000" w:themeColor="text1"/>
          <w:kern w:val="0"/>
          <w:sz w:val="32"/>
          <w:szCs w:val="32"/>
          <w14:textFill>
            <w14:solidFill>
              <w14:schemeClr w14:val="tx1"/>
            </w14:solidFill>
          </w14:textFill>
        </w:rPr>
        <w:t>区城市管理局，责任单位：区住房和城乡建设局</w:t>
      </w:r>
      <w:r>
        <w:rPr>
          <w:rFonts w:ascii="楷体" w:hAnsi="楷体" w:eastAsia="楷体_GB2312" w:cs="仿宋_GB2312"/>
          <w:color w:val="000000" w:themeColor="text1"/>
          <w:kern w:val="0"/>
          <w:sz w:val="32"/>
          <w:szCs w:val="32"/>
          <w14:textFill>
            <w14:solidFill>
              <w14:schemeClr w14:val="tx1"/>
            </w14:solidFill>
          </w14:textFill>
        </w:rPr>
        <w:t>、</w:t>
      </w:r>
      <w:r>
        <w:rPr>
          <w:rFonts w:hint="eastAsia" w:ascii="楷体" w:hAnsi="楷体" w:eastAsia="楷体_GB2312" w:cs="仿宋_GB2312"/>
          <w:color w:val="000000" w:themeColor="text1"/>
          <w:kern w:val="0"/>
          <w:sz w:val="32"/>
          <w:szCs w:val="32"/>
          <w14:textFill>
            <w14:solidFill>
              <w14:schemeClr w14:val="tx1"/>
            </w14:solidFill>
          </w14:textFill>
        </w:rPr>
        <w:t>区卫生健康局、区委宣传部、区</w:t>
      </w:r>
      <w:r>
        <w:rPr>
          <w:rFonts w:ascii="楷体" w:hAnsi="楷体" w:eastAsia="楷体_GB2312" w:cs="仿宋_GB2312"/>
          <w:color w:val="000000" w:themeColor="text1"/>
          <w:kern w:val="0"/>
          <w:sz w:val="32"/>
          <w:szCs w:val="32"/>
          <w14:textFill>
            <w14:solidFill>
              <w14:schemeClr w14:val="tx1"/>
            </w14:solidFill>
          </w14:textFill>
        </w:rPr>
        <w:t>文化和旅游局、</w:t>
      </w:r>
      <w:r>
        <w:rPr>
          <w:rFonts w:hint="eastAsia" w:ascii="楷体" w:hAnsi="楷体" w:eastAsia="楷体_GB2312" w:cs="仿宋_GB2312"/>
          <w:color w:val="000000" w:themeColor="text1"/>
          <w:kern w:val="0"/>
          <w:sz w:val="32"/>
          <w:szCs w:val="32"/>
          <w14:textFill>
            <w14:solidFill>
              <w14:schemeClr w14:val="tx1"/>
            </w14:solidFill>
          </w14:textFill>
        </w:rPr>
        <w:t>区教育和</w:t>
      </w:r>
      <w:r>
        <w:rPr>
          <w:rFonts w:ascii="楷体" w:hAnsi="楷体" w:eastAsia="楷体_GB2312" w:cs="仿宋_GB2312"/>
          <w:color w:val="000000" w:themeColor="text1"/>
          <w:kern w:val="0"/>
          <w:sz w:val="32"/>
          <w:szCs w:val="32"/>
          <w14:textFill>
            <w14:solidFill>
              <w14:schemeClr w14:val="tx1"/>
            </w14:solidFill>
          </w14:textFill>
        </w:rPr>
        <w:t>体育局</w:t>
      </w:r>
      <w:r>
        <w:rPr>
          <w:rFonts w:hint="eastAsia" w:ascii="楷体" w:hAnsi="楷体" w:eastAsia="楷体_GB2312" w:cs="仿宋_GB2312"/>
          <w:color w:val="000000" w:themeColor="text1"/>
          <w:kern w:val="0"/>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（9）妇女应对突发事件的能力不断提高，特殊需求得到满足。</w:t>
      </w:r>
      <w:r>
        <w:rPr>
          <w:rFonts w:hint="eastAsia" w:ascii="楷体" w:hAnsi="楷体" w:eastAsia="楷体_GB2312" w:cs="仿宋_GB2312"/>
          <w:color w:val="000000" w:themeColor="text1"/>
          <w:kern w:val="0"/>
          <w:sz w:val="32"/>
          <w:szCs w:val="32"/>
          <w14:textFill>
            <w14:solidFill>
              <w14:schemeClr w14:val="tx1"/>
            </w14:solidFill>
          </w14:textFill>
        </w:rPr>
        <w:t>（牵头单位：区应急管理局，责任单位：区发展和改革局、区民政局、区卫生健康局）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 策略措施。</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（1）加强对妇女的思想</w:t>
      </w:r>
      <w:r>
        <w:rPr>
          <w:rFonts w:hint="eastAsia" w:ascii="仿宋_GB2312" w:hAnsi="仿宋_GB2312" w:eastAsia="仿宋_GB2312" w:cs="仿宋_GB2312"/>
          <w:color w:val="000000" w:themeColor="text1"/>
          <w:kern w:val="0"/>
          <w:sz w:val="32"/>
          <w:szCs w:val="32"/>
          <w14:textFill>
            <w14:solidFill>
              <w14:schemeClr w14:val="tx1"/>
            </w14:solidFill>
          </w14:textFill>
        </w:rPr>
        <w:t>政治引领。坚持用习近平新时代中国特色社会主义思想引领</w:t>
      </w:r>
      <w:r>
        <w:rPr>
          <w:rFonts w:ascii="仿宋_GB2312" w:hAnsi="仿宋_GB2312" w:eastAsia="仿宋_GB2312" w:cs="仿宋_GB2312"/>
          <w:color w:val="000000" w:themeColor="text1"/>
          <w:kern w:val="0"/>
          <w:sz w:val="32"/>
          <w:szCs w:val="32"/>
          <w14:textFill>
            <w14:solidFill>
              <w14:schemeClr w14:val="tx1"/>
            </w14:solidFill>
          </w14:textFill>
        </w:rPr>
        <w:t>妇女，持续开展中国特色社会主义</w:t>
      </w:r>
      <w:r>
        <w:rPr>
          <w:rFonts w:hint="eastAsia" w:ascii="仿宋_GB2312" w:hAnsi="仿宋_GB2312" w:eastAsia="仿宋_GB2312" w:cs="仿宋_GB2312"/>
          <w:color w:val="000000" w:themeColor="text1"/>
          <w:kern w:val="0"/>
          <w:sz w:val="32"/>
          <w:szCs w:val="32"/>
          <w14:textFill>
            <w14:solidFill>
              <w14:schemeClr w14:val="tx1"/>
            </w14:solidFill>
          </w14:textFill>
        </w:rPr>
        <w:t>和</w:t>
      </w:r>
      <w:r>
        <w:rPr>
          <w:rFonts w:ascii="仿宋_GB2312" w:hAnsi="仿宋_GB2312" w:eastAsia="仿宋_GB2312" w:cs="仿宋_GB2312"/>
          <w:color w:val="000000" w:themeColor="text1"/>
          <w:kern w:val="0"/>
          <w:sz w:val="32"/>
          <w:szCs w:val="32"/>
          <w14:textFill>
            <w14:solidFill>
              <w14:schemeClr w14:val="tx1"/>
            </w14:solidFill>
          </w14:textFill>
        </w:rPr>
        <w:t>中国梦宣传教育</w:t>
      </w:r>
      <w:r>
        <w:rPr>
          <w:rFonts w:hint="eastAsia" w:ascii="仿宋_GB2312" w:hAnsi="仿宋_GB2312" w:eastAsia="仿宋_GB2312" w:cs="仿宋_GB2312"/>
          <w:color w:val="000000" w:themeColor="text1"/>
          <w:kern w:val="0"/>
          <w:sz w:val="32"/>
          <w:szCs w:val="32"/>
          <w14:textFill>
            <w14:solidFill>
              <w14:schemeClr w14:val="tx1"/>
            </w14:solidFill>
          </w14:textFill>
        </w:rPr>
        <w:t>，发挥新时代文明实践中心（站点）、主流媒体、妇联</w:t>
      </w:r>
      <w:r>
        <w:rPr>
          <w:rFonts w:ascii="仿宋_GB2312" w:hAnsi="仿宋_GB2312" w:eastAsia="仿宋_GB2312" w:cs="仿宋_GB2312"/>
          <w:color w:val="000000" w:themeColor="text1"/>
          <w:kern w:val="0"/>
          <w:sz w:val="32"/>
          <w:szCs w:val="32"/>
          <w14:textFill>
            <w14:solidFill>
              <w14:schemeClr w14:val="tx1"/>
            </w14:solidFill>
          </w14:textFill>
        </w:rPr>
        <w:t>主流新媒体平台</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巾帼红色教育基地</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妇</w:t>
      </w:r>
      <w:r>
        <w:rPr>
          <w:rFonts w:hint="eastAsia" w:ascii="仿宋_GB2312" w:hAnsi="仿宋_GB2312" w:eastAsia="仿宋_GB2312" w:cs="仿宋_GB2312"/>
          <w:color w:val="000000" w:themeColor="text1"/>
          <w:kern w:val="0"/>
          <w:sz w:val="32"/>
          <w:szCs w:val="32"/>
          <w14:textFill>
            <w14:solidFill>
              <w14:schemeClr w14:val="tx1"/>
            </w14:solidFill>
          </w14:textFill>
        </w:rPr>
        <w:t>女之家等阵地作用，推动理想信念教育常态化制度化，弘扬党</w:t>
      </w:r>
      <w:r>
        <w:rPr>
          <w:rFonts w:ascii="仿宋_GB2312" w:hAnsi="仿宋_GB2312" w:eastAsia="仿宋_GB2312" w:cs="仿宋_GB2312"/>
          <w:color w:val="000000" w:themeColor="text1"/>
          <w:kern w:val="0"/>
          <w:sz w:val="32"/>
          <w:szCs w:val="32"/>
          <w14:textFill>
            <w14:solidFill>
              <w14:schemeClr w14:val="tx1"/>
            </w14:solidFill>
          </w14:textFill>
        </w:rPr>
        <w:t>和人民在各个历史时期奋斗中形成的伟大精神，</w:t>
      </w:r>
      <w:r>
        <w:rPr>
          <w:rFonts w:hint="eastAsia" w:ascii="仿宋_GB2312" w:hAnsi="仿宋_GB2312" w:eastAsia="仿宋_GB2312" w:cs="仿宋_GB2312"/>
          <w:color w:val="000000" w:themeColor="text1"/>
          <w:kern w:val="0"/>
          <w:sz w:val="32"/>
          <w:szCs w:val="32"/>
          <w14:textFill>
            <w14:solidFill>
              <w14:schemeClr w14:val="tx1"/>
            </w14:solidFill>
          </w14:textFill>
        </w:rPr>
        <w:t>激发</w:t>
      </w:r>
      <w:r>
        <w:rPr>
          <w:rFonts w:ascii="仿宋_GB2312" w:hAnsi="仿宋_GB2312" w:eastAsia="仿宋_GB2312" w:cs="仿宋_GB2312"/>
          <w:color w:val="000000" w:themeColor="text1"/>
          <w:kern w:val="0"/>
          <w:sz w:val="32"/>
          <w:szCs w:val="32"/>
          <w14:textFill>
            <w14:solidFill>
              <w14:schemeClr w14:val="tx1"/>
            </w14:solidFill>
          </w14:textFill>
        </w:rPr>
        <w:t>妇女的历史责任感和主人翁精神，引导</w:t>
      </w:r>
      <w:r>
        <w:rPr>
          <w:rFonts w:hint="eastAsia" w:ascii="仿宋_GB2312" w:hAnsi="仿宋_GB2312" w:eastAsia="仿宋_GB2312" w:cs="仿宋_GB2312"/>
          <w:color w:val="000000" w:themeColor="text1"/>
          <w:kern w:val="0"/>
          <w:sz w:val="32"/>
          <w:szCs w:val="32"/>
          <w14:textFill>
            <w14:solidFill>
              <w14:schemeClr w14:val="tx1"/>
            </w14:solidFill>
          </w14:textFill>
        </w:rPr>
        <w:t>妇女听党话、跟党走，深刻认识“两个确立”的决定性意义，</w:t>
      </w:r>
      <w:bookmarkStart w:id="54" w:name="_GoBack"/>
      <w:bookmarkEnd w:id="54"/>
      <w:r>
        <w:rPr>
          <w:rFonts w:hint="eastAsia" w:ascii="仿宋_GB2312" w:hAnsi="仿宋_GB2312" w:eastAsia="仿宋_GB2312" w:cs="仿宋_GB2312"/>
          <w:color w:val="000000" w:themeColor="text1"/>
          <w:kern w:val="0"/>
          <w:sz w:val="32"/>
          <w:szCs w:val="32"/>
          <w14:textFill>
            <w14:solidFill>
              <w14:schemeClr w14:val="tx1"/>
            </w14:solidFill>
          </w14:textFill>
        </w:rPr>
        <w:t>增强“四个意识”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坚定“四个自信”</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做到“两个维护”。通过教育联系服务，凝聚青年女性、知识女性和新兴产业从业女性以及活跃在网络空间中的女性群体。通过培养、评选、宣传妇女先进集体和个人，激励妇女崇尚先进、学习先进、争当先进。</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（2）促进妇女共建共享精神文明创建成果和城乡人居环境改善成果。优化公共文化资源配置，创新文化产业发展模式，提升文化产品和服务供给能力，不断满足妇女精神文化需求。鼓励妇女积极参与全</w:t>
      </w:r>
      <w:r>
        <w:rPr>
          <w:rFonts w:ascii="仿宋_GB2312" w:hAnsi="仿宋_GB2312" w:eastAsia="仿宋_GB2312" w:cs="仿宋_GB2312"/>
          <w:color w:val="000000" w:themeColor="text1"/>
          <w:kern w:val="0"/>
          <w:sz w:val="32"/>
          <w:szCs w:val="32"/>
          <w14:textFill>
            <w14:solidFill>
              <w14:schemeClr w14:val="tx1"/>
            </w14:solidFill>
          </w14:textFill>
        </w:rPr>
        <w:t>国文明典范</w:t>
      </w:r>
      <w:r>
        <w:rPr>
          <w:rFonts w:hint="eastAsia" w:ascii="仿宋_GB2312" w:hAnsi="仿宋_GB2312" w:eastAsia="仿宋_GB2312" w:cs="仿宋_GB2312"/>
          <w:color w:val="000000" w:themeColor="text1"/>
          <w:kern w:val="0"/>
          <w:sz w:val="32"/>
          <w:szCs w:val="32"/>
          <w14:textFill>
            <w14:solidFill>
              <w14:schemeClr w14:val="tx1"/>
            </w14:solidFill>
          </w14:textFill>
        </w:rPr>
        <w:t>城市建设，将妇女参与程度和满意度纳入文明城市评选内容。引导妇女在文明单位创建中爱岗敬业，促进妇女参与文明村（居）创建，主动参与农村人居环境整治提升、农村文化发展、文明乡风培育和乡村社会治理。推进城乡公共文化服务体系一体建设，创新实施文化惠民工程，惠及城乡妇女。推动建设理念友好、政策友好、环境友好、人文友好、服务友好的女性友好型城市、社区、乡村。</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开展以男女平等为核心的先进性别文化宣传教育。将构建先进性别文化纳入繁荣社会主义先进文化制度体系。大力宣传新时代妇女在社会生活和家庭生活中的独特作用，宣传优秀妇女典型和性别平等优秀案例。将习近平总书记关于妇女和妇女工作重要论述、马克思主义妇女观、男女平等基本国策纳入各级党校（行政学院）干部教育培训主体班次教学内容。在机关、学校、企业、村（居）、家庭以多种形式开展男女平等基本国策宣传教育，让性别平等成为全社会共同遵循的行为规范和价值标准。</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（4）加强文化与传媒领域性别平等监管、评估和培训。探索</w:t>
      </w:r>
      <w:r>
        <w:rPr>
          <w:rFonts w:ascii="仿宋_GB2312" w:hAnsi="仿宋_GB2312" w:eastAsia="仿宋_GB2312" w:cs="仿宋_GB2312"/>
          <w:color w:val="000000" w:themeColor="text1"/>
          <w:kern w:val="0"/>
          <w:sz w:val="32"/>
          <w:szCs w:val="32"/>
          <w14:textFill>
            <w14:solidFill>
              <w14:schemeClr w14:val="tx1"/>
            </w14:solidFill>
          </w14:textFill>
        </w:rPr>
        <w:t>建立文化与传媒领域的性别</w:t>
      </w:r>
      <w:r>
        <w:rPr>
          <w:rFonts w:hint="eastAsia" w:ascii="仿宋_GB2312" w:hAnsi="仿宋_GB2312" w:eastAsia="仿宋_GB2312" w:cs="仿宋_GB2312"/>
          <w:color w:val="000000" w:themeColor="text1"/>
          <w:kern w:val="0"/>
          <w:sz w:val="32"/>
          <w:szCs w:val="32"/>
          <w14:textFill>
            <w14:solidFill>
              <w14:schemeClr w14:val="tx1"/>
            </w14:solidFill>
          </w14:textFill>
        </w:rPr>
        <w:t>平等</w:t>
      </w:r>
      <w:r>
        <w:rPr>
          <w:rFonts w:ascii="仿宋_GB2312" w:hAnsi="仿宋_GB2312" w:eastAsia="仿宋_GB2312" w:cs="仿宋_GB2312"/>
          <w:color w:val="000000" w:themeColor="text1"/>
          <w:kern w:val="0"/>
          <w:sz w:val="32"/>
          <w:szCs w:val="32"/>
          <w14:textFill>
            <w14:solidFill>
              <w14:schemeClr w14:val="tx1"/>
            </w14:solidFill>
          </w14:textFill>
        </w:rPr>
        <w:t>评估和监管机制</w:t>
      </w:r>
      <w:r>
        <w:rPr>
          <w:rFonts w:hint="eastAsia" w:ascii="仿宋_GB2312" w:hAnsi="仿宋_GB2312" w:eastAsia="仿宋_GB2312" w:cs="仿宋_GB2312"/>
          <w:color w:val="000000" w:themeColor="text1"/>
          <w:kern w:val="0"/>
          <w:sz w:val="32"/>
          <w:szCs w:val="32"/>
          <w14:textFill>
            <w14:solidFill>
              <w14:schemeClr w14:val="tx1"/>
            </w14:solidFill>
          </w14:textFill>
        </w:rPr>
        <w:t>，加强公共文化产品和传媒涉及性别平等内容的监测和监管，吸纳性别平等专家参与相关评估，消除网络媒体、影视产品、公共出版物中出现的歧视贬抑妇女、侮辱妇女人格尊严、物化妇女形象等不良现象，规范网络名人和公众账号传播行为。完善违规行为警示记录系统，优化线上舆情预警和线下评估处置机制。开展文化传媒工作者和传媒相关专业学生的性别平等培训，提升文化与传媒领域性别平等传播能力。</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（5）引导妇女提高媒介素养。利用妇女之家、图书馆、网络课堂等开展面向妇女的媒介素养培训和指导，重点帮助老年妇女、困难妇女和残疾妇女群体</w:t>
      </w:r>
      <w:r>
        <w:rPr>
          <w:rFonts w:hint="eastAsia" w:ascii="仿宋_GB2312" w:hAnsi="仿宋_GB2312" w:eastAsia="仿宋_GB2312" w:cs="仿宋_GB2312"/>
          <w:color w:val="000000" w:themeColor="text1"/>
          <w:sz w:val="32"/>
          <w:szCs w:val="32"/>
          <w14:textFill>
            <w14:solidFill>
              <w14:schemeClr w14:val="tx1"/>
            </w14:solidFill>
          </w14:textFill>
        </w:rPr>
        <w:t>掌握网络基本知识技能。</w:t>
      </w:r>
      <w:r>
        <w:rPr>
          <w:rFonts w:hint="eastAsia" w:ascii="仿宋_GB2312" w:hAnsi="仿宋_GB2312" w:eastAsia="仿宋_GB2312" w:cs="仿宋_GB2312"/>
          <w:color w:val="000000" w:themeColor="text1"/>
          <w:kern w:val="0"/>
          <w:sz w:val="32"/>
          <w:szCs w:val="32"/>
          <w14:textFill>
            <w14:solidFill>
              <w14:schemeClr w14:val="tx1"/>
            </w14:solidFill>
          </w14:textFill>
        </w:rPr>
        <w:t>加强妇女网络素养教育，提升妇女对媒介信息选择、判断和有效利用的能力，提升妇女网络安全意识和能力。加强学生网络素养教育，引导女学生合理安全使用网络，提升</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自我保护</w:t>
      </w:r>
      <w:r>
        <w:rPr>
          <w:rFonts w:hint="eastAsia" w:ascii="仿宋_GB2312" w:hAnsi="仿宋_GB2312" w:eastAsia="仿宋_GB2312" w:cs="仿宋_GB2312"/>
          <w:color w:val="000000" w:themeColor="text1"/>
          <w:sz w:val="32"/>
          <w:szCs w:val="32"/>
          <w14:textFill>
            <w14:solidFill>
              <w14:schemeClr w14:val="tx1"/>
            </w14:solidFill>
          </w14:textFill>
        </w:rPr>
        <w:t>能力，防止网络沉迷</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开展争做“巾帼好网民”活动，引导妇女弘扬网上正能量。</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充分发挥妇女在生态文明建设中的重要作用。广泛开展生态文化宣传教育和实践活动，引导妇女树立生态文明意识，提高环境科学素养，掌握环境科学知识，提升妇女生态环境保护意识和能力。引领绿色生产生活，养成节约适度、绿色低碳、文明健康的生活方式和消费模式，杜绝餐饮浪费。支持妇女参与生态环境治理，激励</w:t>
      </w:r>
      <w:r>
        <w:rPr>
          <w:rFonts w:ascii="仿宋_GB2312" w:hAnsi="仿宋_GB2312" w:eastAsia="仿宋_GB2312" w:cs="仿宋_GB2312"/>
          <w:color w:val="000000" w:themeColor="text1"/>
          <w:kern w:val="0"/>
          <w:sz w:val="32"/>
          <w:szCs w:val="32"/>
          <w14:textFill>
            <w14:solidFill>
              <w14:schemeClr w14:val="tx1"/>
            </w14:solidFill>
          </w14:textFill>
        </w:rPr>
        <w:t>妇女</w:t>
      </w:r>
      <w:r>
        <w:rPr>
          <w:rFonts w:hint="eastAsia" w:ascii="仿宋_GB2312" w:hAnsi="仿宋_GB2312" w:eastAsia="仿宋_GB2312" w:cs="仿宋_GB2312"/>
          <w:color w:val="000000" w:themeColor="text1"/>
          <w:kern w:val="0"/>
          <w:sz w:val="32"/>
          <w:szCs w:val="32"/>
          <w14:textFill>
            <w14:solidFill>
              <w14:schemeClr w14:val="tx1"/>
            </w14:solidFill>
          </w14:textFill>
        </w:rPr>
        <w:t>在</w:t>
      </w:r>
      <w:r>
        <w:rPr>
          <w:rFonts w:ascii="仿宋_GB2312" w:hAnsi="仿宋_GB2312" w:eastAsia="仿宋_GB2312" w:cs="仿宋_GB2312"/>
          <w:color w:val="000000" w:themeColor="text1"/>
          <w:kern w:val="0"/>
          <w:sz w:val="32"/>
          <w:szCs w:val="32"/>
          <w14:textFill>
            <w14:solidFill>
              <w14:schemeClr w14:val="tx1"/>
            </w14:solidFill>
          </w14:textFill>
        </w:rPr>
        <w:t>打造</w:t>
      </w:r>
      <w:r>
        <w:rPr>
          <w:rFonts w:hint="eastAsia" w:ascii="仿宋_GB2312" w:hAnsi="仿宋_GB2312" w:eastAsia="仿宋_GB2312" w:cs="仿宋_GB2312"/>
          <w:color w:val="000000" w:themeColor="text1"/>
          <w:kern w:val="0"/>
          <w:sz w:val="32"/>
          <w:szCs w:val="32"/>
          <w14:textFill>
            <w14:solidFill>
              <w14:schemeClr w14:val="tx1"/>
            </w14:solidFill>
          </w14:textFill>
        </w:rPr>
        <w:t>生态绿城</w:t>
      </w:r>
      <w:r>
        <w:rPr>
          <w:rFonts w:ascii="仿宋_GB2312" w:hAnsi="仿宋_GB2312" w:eastAsia="仿宋_GB2312" w:cs="仿宋_GB2312"/>
          <w:color w:val="000000" w:themeColor="text1"/>
          <w:kern w:val="0"/>
          <w:sz w:val="32"/>
          <w:szCs w:val="32"/>
          <w14:textFill>
            <w14:solidFill>
              <w14:schemeClr w14:val="tx1"/>
            </w14:solidFill>
          </w14:textFill>
        </w:rPr>
        <w:t>，打好蓝天、碧水、净土三大保卫战中发挥作用</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（7）减少环境污染对妇女的危害。围绕黄河流域</w:t>
      </w:r>
      <w:r>
        <w:rPr>
          <w:rFonts w:ascii="仿宋_GB2312" w:hAnsi="仿宋_GB2312" w:eastAsia="仿宋_GB2312" w:cs="仿宋_GB2312"/>
          <w:color w:val="000000" w:themeColor="text1"/>
          <w:kern w:val="0"/>
          <w:sz w:val="32"/>
          <w:szCs w:val="32"/>
          <w14:textFill>
            <w14:solidFill>
              <w14:schemeClr w14:val="tx1"/>
            </w14:solidFill>
          </w14:textFill>
        </w:rPr>
        <w:t>生态保护和高质量发展战略目标，持续改善生态环境质量，建</w:t>
      </w:r>
      <w:r>
        <w:rPr>
          <w:rFonts w:hint="eastAsia" w:ascii="仿宋_GB2312" w:hAnsi="仿宋_GB2312" w:eastAsia="仿宋_GB2312" w:cs="仿宋_GB2312"/>
          <w:color w:val="000000" w:themeColor="text1"/>
          <w:kern w:val="0"/>
          <w:sz w:val="32"/>
          <w:szCs w:val="32"/>
          <w14:textFill>
            <w14:solidFill>
              <w14:schemeClr w14:val="tx1"/>
            </w14:solidFill>
          </w14:textFill>
        </w:rPr>
        <w:t>设绿色</w:t>
      </w:r>
      <w:r>
        <w:rPr>
          <w:rFonts w:ascii="仿宋_GB2312" w:hAnsi="仿宋_GB2312" w:eastAsia="仿宋_GB2312" w:cs="仿宋_GB2312"/>
          <w:color w:val="000000" w:themeColor="text1"/>
          <w:kern w:val="0"/>
          <w:sz w:val="32"/>
          <w:szCs w:val="32"/>
          <w14:textFill>
            <w14:solidFill>
              <w14:schemeClr w14:val="tx1"/>
            </w14:solidFill>
          </w14:textFill>
        </w:rPr>
        <w:t>生态</w:t>
      </w:r>
      <w:r>
        <w:rPr>
          <w:rFonts w:hint="eastAsia" w:ascii="仿宋_GB2312" w:hAnsi="仿宋_GB2312" w:eastAsia="仿宋_GB2312" w:cs="仿宋_GB2312"/>
          <w:color w:val="000000" w:themeColor="text1"/>
          <w:kern w:val="0"/>
          <w:sz w:val="32"/>
          <w:szCs w:val="32"/>
          <w14:textFill>
            <w14:solidFill>
              <w14:schemeClr w14:val="tx1"/>
            </w14:solidFill>
          </w14:textFill>
        </w:rPr>
        <w:t>章丘。加强生态环境监测和健康监测，分析评估环境政策、基础设施项目、生产生活学习环境对妇女健康的影响。推进城乡生活环境治理，开发利用清洁能源，建成生活垃圾分类处理系统，实行以法治为基础，政府推动、全民参与、城乡统筹、因地制宜的生活垃圾分类和资源化利用制度，全面开展生活垃圾分类试点，推进生活垃圾的减量化、资源化、无害化。推广使用家用节能环保产品。</w:t>
      </w:r>
    </w:p>
    <w:p>
      <w:pPr>
        <w:tabs>
          <w:tab w:val="left" w:pos="6216"/>
        </w:tabs>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（8）为城乡妇女享有安全饮水提供保障。加强</w:t>
      </w:r>
      <w:r>
        <w:rPr>
          <w:rFonts w:ascii="仿宋_GB2312" w:hAnsi="仿宋_GB2312" w:eastAsia="仿宋_GB2312" w:cs="仿宋_GB2312"/>
          <w:color w:val="000000" w:themeColor="text1"/>
          <w:kern w:val="0"/>
          <w:sz w:val="32"/>
          <w:szCs w:val="32"/>
          <w14:textFill>
            <w14:solidFill>
              <w14:schemeClr w14:val="tx1"/>
            </w14:solidFill>
          </w14:textFill>
        </w:rPr>
        <w:t>城乡污水处理设施建设，</w:t>
      </w:r>
      <w:r>
        <w:rPr>
          <w:rFonts w:hint="eastAsia" w:ascii="仿宋_GB2312" w:hAnsi="仿宋_GB2312" w:eastAsia="仿宋_GB2312" w:cs="仿宋_GB2312"/>
          <w:color w:val="000000" w:themeColor="text1"/>
          <w:kern w:val="0"/>
          <w:sz w:val="32"/>
          <w:szCs w:val="32"/>
          <w14:textFill>
            <w14:solidFill>
              <w14:schemeClr w14:val="tx1"/>
            </w14:solidFill>
          </w14:textFill>
        </w:rPr>
        <w:t>新</w:t>
      </w:r>
      <w:r>
        <w:rPr>
          <w:rFonts w:ascii="仿宋_GB2312" w:hAnsi="仿宋_GB2312" w:eastAsia="仿宋_GB2312" w:cs="仿宋_GB2312"/>
          <w:color w:val="000000" w:themeColor="text1"/>
          <w:kern w:val="0"/>
          <w:sz w:val="32"/>
          <w:szCs w:val="32"/>
          <w14:textFill>
            <w14:solidFill>
              <w14:schemeClr w14:val="tx1"/>
            </w14:solidFill>
          </w14:textFill>
        </w:rPr>
        <w:t>增城镇</w:t>
      </w:r>
      <w:r>
        <w:rPr>
          <w:rFonts w:hint="eastAsia" w:ascii="仿宋_GB2312" w:hAnsi="仿宋_GB2312" w:eastAsia="仿宋_GB2312" w:cs="仿宋_GB2312"/>
          <w:color w:val="000000" w:themeColor="text1"/>
          <w:kern w:val="0"/>
          <w:sz w:val="32"/>
          <w:szCs w:val="32"/>
          <w14:textFill>
            <w14:solidFill>
              <w14:schemeClr w14:val="tx1"/>
            </w14:solidFill>
          </w14:textFill>
        </w:rPr>
        <w:t>污水</w:t>
      </w:r>
      <w:r>
        <w:rPr>
          <w:rFonts w:ascii="仿宋_GB2312" w:hAnsi="仿宋_GB2312" w:eastAsia="仿宋_GB2312" w:cs="仿宋_GB2312"/>
          <w:color w:val="000000" w:themeColor="text1"/>
          <w:kern w:val="0"/>
          <w:sz w:val="32"/>
          <w:szCs w:val="32"/>
          <w14:textFill>
            <w14:solidFill>
              <w14:schemeClr w14:val="tx1"/>
            </w14:solidFill>
          </w14:textFill>
        </w:rPr>
        <w:t>处理能力</w:t>
      </w:r>
      <w:r>
        <w:rPr>
          <w:rFonts w:hint="eastAsia" w:ascii="仿宋_GB2312" w:hAnsi="仿宋_GB2312" w:eastAsia="仿宋_GB2312" w:cs="仿宋_GB2312"/>
          <w:color w:val="000000" w:themeColor="text1"/>
          <w:kern w:val="0"/>
          <w:sz w:val="32"/>
          <w:szCs w:val="32"/>
          <w14:textFill>
            <w14:solidFill>
              <w14:schemeClr w14:val="tx1"/>
            </w14:solidFill>
          </w14:textFill>
        </w:rPr>
        <w:t>17万</w:t>
      </w:r>
      <w:r>
        <w:rPr>
          <w:rFonts w:ascii="仿宋_GB2312" w:hAnsi="仿宋_GB2312" w:eastAsia="仿宋_GB2312" w:cs="仿宋_GB2312"/>
          <w:color w:val="000000" w:themeColor="text1"/>
          <w:kern w:val="0"/>
          <w:sz w:val="32"/>
          <w:szCs w:val="32"/>
          <w14:textFill>
            <w14:solidFill>
              <w14:schemeClr w14:val="tx1"/>
            </w14:solidFill>
          </w14:textFill>
        </w:rPr>
        <w:t>吨</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日</w:t>
      </w:r>
      <w:r>
        <w:rPr>
          <w:rFonts w:hint="eastAsia" w:ascii="仿宋_GB2312" w:hAnsi="仿宋_GB2312" w:eastAsia="仿宋_GB2312" w:cs="仿宋_GB2312"/>
          <w:color w:val="000000" w:themeColor="text1"/>
          <w:kern w:val="0"/>
          <w:sz w:val="32"/>
          <w:szCs w:val="32"/>
          <w14:textFill>
            <w14:solidFill>
              <w14:schemeClr w14:val="tx1"/>
            </w14:solidFill>
          </w14:textFill>
        </w:rPr>
        <w:t>,实现城乡污水管网全覆盖和</w:t>
      </w:r>
      <w:r>
        <w:rPr>
          <w:rFonts w:ascii="仿宋_GB2312" w:hAnsi="仿宋_GB2312" w:eastAsia="仿宋_GB2312" w:cs="仿宋_GB2312"/>
          <w:color w:val="000000" w:themeColor="text1"/>
          <w:kern w:val="0"/>
          <w:sz w:val="32"/>
          <w:szCs w:val="32"/>
          <w14:textFill>
            <w14:solidFill>
              <w14:schemeClr w14:val="tx1"/>
            </w14:solidFill>
          </w14:textFill>
        </w:rPr>
        <w:t>污水应治尽治</w:t>
      </w:r>
      <w:r>
        <w:rPr>
          <w:rFonts w:hint="eastAsia" w:ascii="仿宋_GB2312" w:hAnsi="仿宋_GB2312" w:eastAsia="仿宋_GB2312" w:cs="仿宋_GB2312"/>
          <w:color w:val="000000" w:themeColor="text1"/>
          <w:kern w:val="0"/>
          <w:sz w:val="32"/>
          <w:szCs w:val="32"/>
          <w14:textFill>
            <w14:solidFill>
              <w14:schemeClr w14:val="tx1"/>
            </w14:solidFill>
          </w14:textFill>
        </w:rPr>
        <w:t>，行</w:t>
      </w:r>
      <w:r>
        <w:rPr>
          <w:rFonts w:ascii="仿宋_GB2312" w:hAnsi="仿宋_GB2312" w:eastAsia="仿宋_GB2312" w:cs="仿宋_GB2312"/>
          <w:color w:val="000000" w:themeColor="text1"/>
          <w:kern w:val="0"/>
          <w:sz w:val="32"/>
          <w:szCs w:val="32"/>
          <w14:textFill>
            <w14:solidFill>
              <w14:schemeClr w14:val="tx1"/>
            </w14:solidFill>
          </w14:textFill>
        </w:rPr>
        <w:t>政村生活污水处理率达到全省领先水平</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减少水污染对妇女健康的危害。</w:t>
      </w:r>
      <w:r>
        <w:rPr>
          <w:rFonts w:hint="eastAsia" w:ascii="仿宋_GB2312" w:hAnsi="仿宋_GB2312" w:eastAsia="仿宋_GB2312" w:cs="仿宋_GB2312"/>
          <w:color w:val="000000" w:themeColor="text1"/>
          <w:kern w:val="0"/>
          <w:sz w:val="32"/>
          <w:szCs w:val="32"/>
          <w14:textFill>
            <w14:solidFill>
              <w14:schemeClr w14:val="tx1"/>
            </w14:solidFill>
          </w14:textFill>
        </w:rPr>
        <w:t>落实国家《生活饮用水卫生标准》，推进城市集中式饮用水水源规范化建设，提高城市供水系统硬件设施和运行管理水平，加强水源保护和水质监测。加强水利基础设施建设和农村供水工程提升改造，提升水资源优化配置能力，到2025年</w:t>
      </w:r>
      <w:r>
        <w:rPr>
          <w:rFonts w:ascii="仿宋_GB2312" w:hAnsi="仿宋_GB2312" w:eastAsia="仿宋_GB2312" w:cs="仿宋_GB2312"/>
          <w:color w:val="000000" w:themeColor="text1"/>
          <w:kern w:val="0"/>
          <w:sz w:val="32"/>
          <w:szCs w:val="32"/>
          <w14:textFill>
            <w14:solidFill>
              <w14:schemeClr w14:val="tx1"/>
            </w14:solidFill>
          </w14:textFill>
        </w:rPr>
        <w:t>，基本</w:t>
      </w:r>
      <w:r>
        <w:rPr>
          <w:rFonts w:hint="eastAsia" w:ascii="仿宋_GB2312" w:hAnsi="仿宋_GB2312" w:eastAsia="仿宋_GB2312" w:cs="仿宋_GB2312"/>
          <w:color w:val="000000" w:themeColor="text1"/>
          <w:kern w:val="0"/>
          <w:sz w:val="32"/>
          <w:szCs w:val="32"/>
          <w14:textFill>
            <w14:solidFill>
              <w14:schemeClr w14:val="tx1"/>
            </w14:solidFill>
          </w14:textFill>
        </w:rPr>
        <w:t>实现</w:t>
      </w:r>
      <w:r>
        <w:rPr>
          <w:rFonts w:ascii="仿宋_GB2312" w:hAnsi="仿宋_GB2312" w:eastAsia="仿宋_GB2312" w:cs="仿宋_GB2312"/>
          <w:color w:val="000000" w:themeColor="text1"/>
          <w:kern w:val="0"/>
          <w:sz w:val="32"/>
          <w:szCs w:val="32"/>
          <w14:textFill>
            <w14:solidFill>
              <w14:schemeClr w14:val="tx1"/>
            </w14:solidFill>
          </w14:textFill>
        </w:rPr>
        <w:t>农村</w:t>
      </w:r>
      <w:r>
        <w:rPr>
          <w:rFonts w:hint="eastAsia" w:ascii="仿宋_GB2312" w:hAnsi="仿宋_GB2312" w:eastAsia="仿宋_GB2312" w:cs="仿宋_GB2312"/>
          <w:color w:val="000000" w:themeColor="text1"/>
          <w:kern w:val="0"/>
          <w:sz w:val="32"/>
          <w:szCs w:val="32"/>
          <w14:textFill>
            <w14:solidFill>
              <w14:schemeClr w14:val="tx1"/>
            </w14:solidFill>
          </w14:textFill>
        </w:rPr>
        <w:t>自来水</w:t>
      </w:r>
      <w:r>
        <w:rPr>
          <w:rFonts w:ascii="仿宋_GB2312" w:hAnsi="仿宋_GB2312" w:eastAsia="仿宋_GB2312" w:cs="仿宋_GB2312"/>
          <w:color w:val="000000" w:themeColor="text1"/>
          <w:kern w:val="0"/>
          <w:sz w:val="32"/>
          <w:szCs w:val="32"/>
          <w14:textFill>
            <w14:solidFill>
              <w14:schemeClr w14:val="tx1"/>
            </w14:solidFill>
          </w14:textFill>
        </w:rPr>
        <w:t>供应全覆盖，全</w:t>
      </w:r>
      <w:r>
        <w:rPr>
          <w:rFonts w:hint="eastAsia" w:ascii="仿宋_GB2312" w:hAnsi="仿宋_GB2312" w:eastAsia="仿宋_GB2312" w:cs="仿宋_GB2312"/>
          <w:color w:val="000000" w:themeColor="text1"/>
          <w:kern w:val="0"/>
          <w:sz w:val="32"/>
          <w:szCs w:val="32"/>
          <w14:textFill>
            <w14:solidFill>
              <w14:schemeClr w14:val="tx1"/>
            </w14:solidFill>
          </w14:textFill>
        </w:rPr>
        <w:t>面</w:t>
      </w:r>
      <w:r>
        <w:rPr>
          <w:rFonts w:ascii="仿宋_GB2312" w:hAnsi="仿宋_GB2312" w:eastAsia="仿宋_GB2312" w:cs="仿宋_GB2312"/>
          <w:color w:val="000000" w:themeColor="text1"/>
          <w:kern w:val="0"/>
          <w:sz w:val="32"/>
          <w:szCs w:val="32"/>
          <w14:textFill>
            <w14:solidFill>
              <w14:schemeClr w14:val="tx1"/>
            </w14:solidFill>
          </w14:textFill>
        </w:rPr>
        <w:t>解决农村</w:t>
      </w:r>
      <w:r>
        <w:rPr>
          <w:rFonts w:hint="eastAsia" w:ascii="仿宋_GB2312" w:hAnsi="仿宋_GB2312" w:eastAsia="仿宋_GB2312" w:cs="仿宋_GB2312"/>
          <w:color w:val="000000" w:themeColor="text1"/>
          <w:kern w:val="0"/>
          <w:sz w:val="32"/>
          <w:szCs w:val="32"/>
          <w14:textFill>
            <w14:solidFill>
              <w14:schemeClr w14:val="tx1"/>
            </w14:solidFill>
          </w14:textFill>
        </w:rPr>
        <w:t>妇女饮水</w:t>
      </w:r>
      <w:r>
        <w:rPr>
          <w:rFonts w:ascii="仿宋_GB2312" w:hAnsi="仿宋_GB2312" w:eastAsia="仿宋_GB2312" w:cs="仿宋_GB2312"/>
          <w:color w:val="000000" w:themeColor="text1"/>
          <w:kern w:val="0"/>
          <w:sz w:val="32"/>
          <w:szCs w:val="32"/>
          <w14:textFill>
            <w14:solidFill>
              <w14:schemeClr w14:val="tx1"/>
            </w14:solidFill>
          </w14:textFill>
        </w:rPr>
        <w:t>安全问题</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（9）加强符合妇女需求的卫生厕所建设。分类有</w:t>
      </w:r>
      <w:r>
        <w:rPr>
          <w:rFonts w:ascii="仿宋_GB2312" w:hAnsi="仿宋_GB2312" w:eastAsia="仿宋_GB2312" w:cs="仿宋_GB2312"/>
          <w:color w:val="000000" w:themeColor="text1"/>
          <w:kern w:val="0"/>
          <w:sz w:val="32"/>
          <w:szCs w:val="32"/>
          <w14:textFill>
            <w14:solidFill>
              <w14:schemeClr w14:val="tx1"/>
            </w14:solidFill>
          </w14:textFill>
        </w:rPr>
        <w:t>序</w:t>
      </w:r>
      <w:r>
        <w:rPr>
          <w:rFonts w:hint="eastAsia" w:ascii="仿宋_GB2312" w:hAnsi="仿宋_GB2312" w:eastAsia="仿宋_GB2312" w:cs="仿宋_GB2312"/>
          <w:color w:val="000000" w:themeColor="text1"/>
          <w:kern w:val="0"/>
          <w:sz w:val="32"/>
          <w:szCs w:val="32"/>
          <w14:textFill>
            <w14:solidFill>
              <w14:schemeClr w14:val="tx1"/>
            </w14:solidFill>
          </w14:textFill>
        </w:rPr>
        <w:t>推进农村厕所革命，提高</w:t>
      </w:r>
      <w:r>
        <w:rPr>
          <w:rFonts w:ascii="仿宋_GB2312" w:hAnsi="仿宋_GB2312" w:eastAsia="仿宋_GB2312" w:cs="仿宋_GB2312"/>
          <w:color w:val="000000" w:themeColor="text1"/>
          <w:kern w:val="0"/>
          <w:sz w:val="32"/>
          <w:szCs w:val="32"/>
          <w14:textFill>
            <w14:solidFill>
              <w14:schemeClr w14:val="tx1"/>
            </w14:solidFill>
          </w14:textFill>
        </w:rPr>
        <w:t>卫生厕所</w:t>
      </w:r>
      <w:r>
        <w:rPr>
          <w:rFonts w:hint="eastAsia" w:ascii="仿宋_GB2312" w:hAnsi="仿宋_GB2312" w:eastAsia="仿宋_GB2312" w:cs="仿宋_GB2312"/>
          <w:color w:val="000000" w:themeColor="text1"/>
          <w:kern w:val="0"/>
          <w:sz w:val="32"/>
          <w:szCs w:val="32"/>
          <w14:textFill>
            <w14:solidFill>
              <w14:schemeClr w14:val="tx1"/>
            </w14:solidFill>
          </w14:textFill>
        </w:rPr>
        <w:t>普及</w:t>
      </w:r>
      <w:r>
        <w:rPr>
          <w:rFonts w:ascii="仿宋_GB2312" w:hAnsi="仿宋_GB2312" w:eastAsia="仿宋_GB2312" w:cs="仿宋_GB2312"/>
          <w:color w:val="000000" w:themeColor="text1"/>
          <w:kern w:val="0"/>
          <w:sz w:val="32"/>
          <w:szCs w:val="32"/>
          <w14:textFill>
            <w14:solidFill>
              <w14:schemeClr w14:val="tx1"/>
            </w14:solidFill>
          </w14:textFill>
        </w:rPr>
        <w:t>率，加强粪污无害化处理与资源化利用。</w:t>
      </w:r>
      <w:r>
        <w:rPr>
          <w:rFonts w:hint="eastAsia" w:ascii="仿宋_GB2312" w:hAnsi="仿宋_GB2312" w:eastAsia="仿宋_GB2312" w:cs="仿宋_GB2312"/>
          <w:color w:val="000000" w:themeColor="text1"/>
          <w:kern w:val="0"/>
          <w:sz w:val="32"/>
          <w:szCs w:val="32"/>
          <w14:textFill>
            <w14:solidFill>
              <w14:schemeClr w14:val="tx1"/>
            </w14:solidFill>
          </w14:textFill>
        </w:rPr>
        <w:t>推进</w:t>
      </w:r>
      <w:r>
        <w:rPr>
          <w:rFonts w:ascii="仿宋_GB2312" w:hAnsi="仿宋_GB2312" w:eastAsia="仿宋_GB2312" w:cs="仿宋_GB2312"/>
          <w:color w:val="000000" w:themeColor="text1"/>
          <w:kern w:val="0"/>
          <w:sz w:val="32"/>
          <w:szCs w:val="32"/>
          <w14:textFill>
            <w14:solidFill>
              <w14:schemeClr w14:val="tx1"/>
            </w14:solidFill>
          </w14:textFill>
        </w:rPr>
        <w:t>城镇公共厕所改造，</w:t>
      </w:r>
      <w:r>
        <w:rPr>
          <w:rFonts w:hint="eastAsia" w:ascii="仿宋_GB2312" w:hAnsi="仿宋_GB2312" w:eastAsia="仿宋_GB2312" w:cs="仿宋_GB2312"/>
          <w:color w:val="000000" w:themeColor="text1"/>
          <w:kern w:val="0"/>
          <w:sz w:val="32"/>
          <w:szCs w:val="32"/>
          <w14:textFill>
            <w14:solidFill>
              <w14:schemeClr w14:val="tx1"/>
            </w14:solidFill>
          </w14:textFill>
        </w:rPr>
        <w:t>完善落实城镇公共厕所设计标准，将男女厕位比例的规范化建设和达标率纳入文明城市、文明社区、文明村镇、文明单位、文明校园建设的评选标准。充分考虑妇女生理特点，超市、场馆、商场等公共场所的建设规划，女性厕位与男性厕位的比例至少为3：2，人流量较大地区提高到2：1。推动旅游</w:t>
      </w:r>
      <w:r>
        <w:rPr>
          <w:rFonts w:ascii="仿宋_GB2312" w:hAnsi="仿宋_GB2312" w:eastAsia="仿宋_GB2312" w:cs="仿宋_GB2312"/>
          <w:color w:val="000000" w:themeColor="text1"/>
          <w:kern w:val="0"/>
          <w:sz w:val="32"/>
          <w:szCs w:val="32"/>
          <w14:textFill>
            <w14:solidFill>
              <w14:schemeClr w14:val="tx1"/>
            </w14:solidFill>
          </w14:textFill>
        </w:rPr>
        <w:t>景区、商场、客运</w:t>
      </w:r>
      <w:r>
        <w:rPr>
          <w:rFonts w:hint="eastAsia" w:ascii="仿宋_GB2312" w:hAnsi="仿宋_GB2312" w:eastAsia="仿宋_GB2312" w:cs="仿宋_GB2312"/>
          <w:color w:val="000000" w:themeColor="text1"/>
          <w:kern w:val="0"/>
          <w:sz w:val="32"/>
          <w:szCs w:val="32"/>
          <w14:textFill>
            <w14:solidFill>
              <w14:schemeClr w14:val="tx1"/>
            </w14:solidFill>
          </w14:textFill>
        </w:rPr>
        <w:t>枢纽</w:t>
      </w:r>
      <w:r>
        <w:rPr>
          <w:rFonts w:ascii="仿宋_GB2312" w:hAnsi="仿宋_GB2312" w:eastAsia="仿宋_GB2312" w:cs="仿宋_GB2312"/>
          <w:color w:val="000000" w:themeColor="text1"/>
          <w:kern w:val="0"/>
          <w:sz w:val="32"/>
          <w:szCs w:val="32"/>
          <w14:textFill>
            <w14:solidFill>
              <w14:schemeClr w14:val="tx1"/>
            </w14:solidFill>
          </w14:textFill>
        </w:rPr>
        <w:t>和服务区等公共场所</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建设</w:t>
      </w:r>
      <w:r>
        <w:rPr>
          <w:rFonts w:hint="eastAsia" w:ascii="仿宋_GB2312" w:hAnsi="仿宋_GB2312" w:eastAsia="仿宋_GB2312" w:cs="仿宋_GB2312"/>
          <w:color w:val="000000" w:themeColor="text1"/>
          <w:kern w:val="0"/>
          <w:sz w:val="32"/>
          <w:szCs w:val="32"/>
          <w14:textFill>
            <w14:solidFill>
              <w14:schemeClr w14:val="tx1"/>
            </w14:solidFill>
          </w14:textFill>
        </w:rPr>
        <w:t>第</w:t>
      </w:r>
      <w:r>
        <w:rPr>
          <w:rFonts w:ascii="仿宋_GB2312" w:hAnsi="仿宋_GB2312" w:eastAsia="仿宋_GB2312" w:cs="仿宋_GB2312"/>
          <w:color w:val="000000" w:themeColor="text1"/>
          <w:kern w:val="0"/>
          <w:sz w:val="32"/>
          <w:szCs w:val="32"/>
          <w14:textFill>
            <w14:solidFill>
              <w14:schemeClr w14:val="tx1"/>
            </w14:solidFill>
          </w14:textFill>
        </w:rPr>
        <w:t>三卫生间，增设婴儿护理折叠台位。</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10）在突发事件应对中关切妇女特别是困难妇女群体的特殊需求。在突发事件应急体系、预防和应急处置机制、相关应急预案和规划中充分考虑妇女特殊需求，优先保证女性卫生用品、孕产妇用品、女性内衣等基本生活用品和重要医用物资供给。面向妇女开展突发事件预防应对知识和自救互救技能的指导培训，提高妇女的防灾减灾意识和自救互救能力。在应对突发事件中加强对有需求的妇女群体的救助服务和心理疏导。引导妇女积极参与防灾减灾工作。</w:t>
      </w:r>
    </w:p>
    <w:p>
      <w:pPr>
        <w:suppressAutoHyphens w:val="0"/>
        <w:overflowPunct w:val="0"/>
        <w:spacing w:line="620" w:lineRule="exact"/>
        <w:ind w:firstLine="640" w:firstLineChars="200"/>
        <w:outlineLvl w:val="0"/>
        <w:rPr>
          <w:rFonts w:ascii="Times New Roman" w:hAnsi="黑体" w:eastAsia="黑体"/>
          <w:color w:val="000000" w:themeColor="text1"/>
          <w:sz w:val="32"/>
          <w:szCs w:val="32"/>
          <w14:textFill>
            <w14:solidFill>
              <w14:schemeClr w14:val="tx1"/>
            </w14:solidFill>
          </w14:textFill>
        </w:rPr>
      </w:pPr>
      <w:bookmarkStart w:id="23" w:name="_Toc517144720"/>
      <w:r>
        <w:rPr>
          <w:rFonts w:hint="eastAsia" w:ascii="Times New Roman" w:hAnsi="黑体" w:eastAsia="黑体"/>
          <w:color w:val="000000" w:themeColor="text1"/>
          <w:sz w:val="32"/>
          <w:szCs w:val="32"/>
          <w14:textFill>
            <w14:solidFill>
              <w14:schemeClr w14:val="tx1"/>
            </w14:solidFill>
          </w14:textFill>
        </w:rPr>
        <w:t>四、保障</w:t>
      </w:r>
      <w:r>
        <w:rPr>
          <w:rFonts w:ascii="Times New Roman" w:hAnsi="黑体" w:eastAsia="黑体"/>
          <w:color w:val="000000" w:themeColor="text1"/>
          <w:sz w:val="32"/>
          <w:szCs w:val="32"/>
          <w14:textFill>
            <w14:solidFill>
              <w14:schemeClr w14:val="tx1"/>
            </w14:solidFill>
          </w14:textFill>
        </w:rPr>
        <w:t>措施</w:t>
      </w:r>
      <w:bookmarkEnd w:id="23"/>
    </w:p>
    <w:p>
      <w:pPr>
        <w:suppressAutoHyphens w:val="0"/>
        <w:overflowPunct w:val="0"/>
        <w:spacing w:line="620" w:lineRule="exact"/>
        <w:ind w:firstLine="640" w:firstLineChars="200"/>
        <w:outlineLvl w:val="1"/>
        <w:rPr>
          <w:rFonts w:ascii="楷体" w:hAnsi="楷体" w:eastAsia="楷体_GB2312"/>
          <w:color w:val="000000" w:themeColor="text1"/>
          <w:sz w:val="32"/>
          <w:szCs w:val="32"/>
          <w14:textFill>
            <w14:solidFill>
              <w14:schemeClr w14:val="tx1"/>
            </w14:solidFill>
          </w14:textFill>
        </w:rPr>
      </w:pPr>
      <w:bookmarkStart w:id="24" w:name="_Toc1362743618"/>
      <w:r>
        <w:rPr>
          <w:rFonts w:hint="eastAsia" w:ascii="楷体" w:hAnsi="楷体" w:eastAsia="楷体_GB2312" w:cs="楷体"/>
          <w:color w:val="000000" w:themeColor="text1"/>
          <w:sz w:val="32"/>
          <w:szCs w:val="32"/>
          <w14:textFill>
            <w14:solidFill>
              <w14:schemeClr w14:val="tx1"/>
            </w14:solidFill>
          </w14:textFill>
        </w:rPr>
        <w:t>（一）</w:t>
      </w:r>
      <w:r>
        <w:rPr>
          <w:rFonts w:hint="eastAsia" w:ascii="楷体" w:hAnsi="楷体" w:eastAsia="楷体_GB2312"/>
          <w:color w:val="000000" w:themeColor="text1"/>
          <w:sz w:val="32"/>
          <w:szCs w:val="32"/>
          <w14:textFill>
            <w14:solidFill>
              <w14:schemeClr w14:val="tx1"/>
            </w14:solidFill>
          </w14:textFill>
        </w:rPr>
        <w:t>组织实施</w:t>
      </w:r>
      <w:bookmarkEnd w:id="24"/>
      <w:r>
        <w:rPr>
          <w:rFonts w:hint="eastAsia" w:ascii="楷体" w:hAnsi="楷体" w:eastAsia="楷体_GB2312"/>
          <w:color w:val="000000" w:themeColor="text1"/>
          <w:sz w:val="32"/>
          <w:szCs w:val="32"/>
          <w14:textFill>
            <w14:solidFill>
              <w14:schemeClr w14:val="tx1"/>
            </w14:solidFill>
          </w14:textFill>
        </w:rPr>
        <w:t>。</w:t>
      </w:r>
    </w:p>
    <w:p>
      <w:pPr>
        <w:suppressAutoHyphens w:val="0"/>
        <w:overflowPunct w:val="0"/>
        <w:autoSpaceDN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 坚持党的全面领导。坚持以习近平新时代中国特色社会主义思想为指导，坚持以人民为中心的发展思想，坚持走中国特色社会主义妇女发展道路，贯彻党中央关于妇女事业发展的决策部署，严明政治纪律、政治规矩，切实</w:t>
      </w:r>
      <w:r>
        <w:rPr>
          <w:rFonts w:hint="eastAsia" w:ascii="仿宋_GB2312" w:hAnsi="仿宋_GB2312" w:eastAsia="仿宋_GB2312" w:cs="仿宋_GB2312"/>
          <w:color w:val="000000" w:themeColor="text1"/>
          <w:sz w:val="32"/>
          <w:szCs w:val="32"/>
          <w14:textFill>
            <w14:solidFill>
              <w14:schemeClr w14:val="tx1"/>
            </w14:solidFill>
          </w14:textFill>
        </w:rPr>
        <w:t>把党的领导贯穿于妇女事业发展的全过程和各方面</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uppressAutoHyphens w:val="0"/>
        <w:overflowPunct w:val="0"/>
        <w:autoSpaceDN w:val="0"/>
        <w:adjustRightInd w:val="0"/>
        <w:snapToGrid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 明确目标责任。各级政府统筹推进规划实施，纳入议事日程和考核内容，区妇儿工委负责具体推进规划实施，牵头做好组织、协调、指导、督促工作，有关部门、相关机构和人民团体负责目标任务落实。</w:t>
      </w:r>
    </w:p>
    <w:p>
      <w:pPr>
        <w:suppressAutoHyphens w:val="0"/>
        <w:overflowPunct w:val="0"/>
        <w:autoSpaceDN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 强化工作规范。定期召开区妇女儿童工作会议，主动接受人大、政协监督和视察调研，健全定期报告、督导检查、目标预警等机制，按规定开展评选表彰活动。</w:t>
      </w:r>
    </w:p>
    <w:p>
      <w:pPr>
        <w:suppressAutoHyphens w:val="0"/>
        <w:overflowPunct w:val="0"/>
        <w:autoSpaceDN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4. </w:t>
      </w:r>
      <w:r>
        <w:rPr>
          <w:rFonts w:hint="eastAsia" w:ascii="仿宋_GB2312" w:hAnsi="仿宋_GB2312" w:eastAsia="仿宋_GB2312" w:cs="仿宋_GB2312"/>
          <w:color w:val="000000" w:themeColor="text1"/>
          <w:sz w:val="32"/>
          <w:szCs w:val="32"/>
          <w14:textFill>
            <w14:solidFill>
              <w14:schemeClr w14:val="tx1"/>
            </w14:solidFill>
          </w14:textFill>
        </w:rPr>
        <w:t>保障经费投入。将实施规划所需经费纳入各级财政预算</w:t>
      </w:r>
      <w:r>
        <w:rPr>
          <w:rFonts w:hint="eastAsia" w:ascii="仿宋_GB2312" w:hAnsi="仿宋_GB2312" w:eastAsia="仿宋_GB2312" w:cs="仿宋_GB2312"/>
          <w:color w:val="000000" w:themeColor="text1"/>
          <w:kern w:val="0"/>
          <w:sz w:val="32"/>
          <w:szCs w:val="32"/>
          <w14:textFill>
            <w14:solidFill>
              <w14:schemeClr w14:val="tx1"/>
            </w14:solidFill>
          </w14:textFill>
        </w:rPr>
        <w:t>，实现妇女事业和经济社会同步发展。各级财政应支持妇女重点领域的发展，为妇女办实事。动员社会力量，多渠道筹集资金，发展妇女事业</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overflowPunct w:val="0"/>
        <w:autoSpaceDN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 强化能力建设。根据相关规定，区妇儿工委办公室配备专职工作人员，培育专业队伍。区妇儿工委加强对成员单位及特邀单位联络员、办公室专职干部、统计监测人员的工作指导和业务培训，为规划实施提供保障。</w:t>
      </w:r>
    </w:p>
    <w:p>
      <w:pPr>
        <w:suppressAutoHyphens w:val="0"/>
        <w:overflowPunct w:val="0"/>
        <w:autoSpaceDN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 加大宣传调研力度。充分利用新闻媒体，多渠道、多形式向社会广泛宣传男女平等基本国策，宣传规划的发展目标、主要任务和实施状况，宣传妇女在经济参与和社会参与中的作用和贡献。区妇儿工委要适时发布章丘妇女发展状况。加强</w:t>
      </w:r>
      <w:r>
        <w:rPr>
          <w:rFonts w:ascii="仿宋_GB2312" w:hAnsi="仿宋_GB2312" w:eastAsia="仿宋_GB2312" w:cs="仿宋_GB2312"/>
          <w:color w:val="000000" w:themeColor="text1"/>
          <w:kern w:val="0"/>
          <w:sz w:val="32"/>
          <w:szCs w:val="32"/>
          <w14:textFill>
            <w14:solidFill>
              <w14:schemeClr w14:val="tx1"/>
            </w14:solidFill>
          </w14:textFill>
        </w:rPr>
        <w:t>妇女工作</w:t>
      </w:r>
      <w:r>
        <w:rPr>
          <w:rFonts w:hint="eastAsia" w:ascii="仿宋_GB2312" w:hAnsi="仿宋_GB2312" w:eastAsia="仿宋_GB2312" w:cs="仿宋_GB2312"/>
          <w:color w:val="000000" w:themeColor="text1"/>
          <w:kern w:val="0"/>
          <w:sz w:val="32"/>
          <w:szCs w:val="32"/>
          <w14:textFill>
            <w14:solidFill>
              <w14:schemeClr w14:val="tx1"/>
            </w14:solidFill>
          </w14:textFill>
        </w:rPr>
        <w:t>智库</w:t>
      </w:r>
      <w:r>
        <w:rPr>
          <w:rFonts w:ascii="仿宋_GB2312" w:hAnsi="仿宋_GB2312" w:eastAsia="仿宋_GB2312" w:cs="仿宋_GB2312"/>
          <w:color w:val="000000" w:themeColor="text1"/>
          <w:kern w:val="0"/>
          <w:sz w:val="32"/>
          <w:szCs w:val="32"/>
          <w14:textFill>
            <w14:solidFill>
              <w14:schemeClr w14:val="tx1"/>
            </w14:solidFill>
          </w14:textFill>
        </w:rPr>
        <w:t>建设，</w:t>
      </w:r>
      <w:r>
        <w:rPr>
          <w:rFonts w:hint="eastAsia" w:ascii="仿宋_GB2312" w:hAnsi="仿宋_GB2312" w:eastAsia="仿宋_GB2312" w:cs="仿宋_GB2312"/>
          <w:color w:val="000000" w:themeColor="text1"/>
          <w:kern w:val="0"/>
          <w:sz w:val="32"/>
          <w:szCs w:val="32"/>
          <w14:textFill>
            <w14:solidFill>
              <w14:schemeClr w14:val="tx1"/>
            </w14:solidFill>
          </w14:textFill>
        </w:rPr>
        <w:t>依托</w:t>
      </w:r>
      <w:r>
        <w:rPr>
          <w:rFonts w:ascii="仿宋_GB2312" w:hAnsi="仿宋_GB2312" w:eastAsia="仿宋_GB2312" w:cs="仿宋_GB2312"/>
          <w:color w:val="000000" w:themeColor="text1"/>
          <w:kern w:val="0"/>
          <w:sz w:val="32"/>
          <w:szCs w:val="32"/>
          <w14:textFill>
            <w14:solidFill>
              <w14:schemeClr w14:val="tx1"/>
            </w14:solidFill>
          </w14:textFill>
        </w:rPr>
        <w:t>高校、研究</w:t>
      </w:r>
      <w:r>
        <w:rPr>
          <w:rFonts w:hint="eastAsia" w:ascii="仿宋_GB2312" w:hAnsi="仿宋_GB2312" w:eastAsia="仿宋_GB2312" w:cs="仿宋_GB2312"/>
          <w:color w:val="000000" w:themeColor="text1"/>
          <w:kern w:val="0"/>
          <w:sz w:val="32"/>
          <w:szCs w:val="32"/>
          <w14:textFill>
            <w14:solidFill>
              <w14:schemeClr w14:val="tx1"/>
            </w14:solidFill>
          </w14:textFill>
        </w:rPr>
        <w:t>院</w:t>
      </w:r>
      <w:r>
        <w:rPr>
          <w:rFonts w:ascii="仿宋_GB2312" w:hAnsi="仿宋_GB2312" w:eastAsia="仿宋_GB2312" w:cs="仿宋_GB2312"/>
          <w:color w:val="000000" w:themeColor="text1"/>
          <w:kern w:val="0"/>
          <w:sz w:val="32"/>
          <w:szCs w:val="32"/>
          <w14:textFill>
            <w14:solidFill>
              <w14:schemeClr w14:val="tx1"/>
            </w14:solidFill>
          </w14:textFill>
        </w:rPr>
        <w:t>所</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社会</w:t>
      </w:r>
      <w:r>
        <w:rPr>
          <w:rFonts w:hint="eastAsia" w:ascii="仿宋_GB2312" w:hAnsi="仿宋_GB2312" w:eastAsia="仿宋_GB2312" w:cs="仿宋_GB2312"/>
          <w:color w:val="000000" w:themeColor="text1"/>
          <w:kern w:val="0"/>
          <w:sz w:val="32"/>
          <w:szCs w:val="32"/>
          <w14:textFill>
            <w14:solidFill>
              <w14:schemeClr w14:val="tx1"/>
            </w14:solidFill>
          </w14:textFill>
        </w:rPr>
        <w:t>组织</w:t>
      </w:r>
      <w:r>
        <w:rPr>
          <w:rFonts w:ascii="仿宋_GB2312" w:hAnsi="仿宋_GB2312" w:eastAsia="仿宋_GB2312" w:cs="仿宋_GB2312"/>
          <w:color w:val="000000" w:themeColor="text1"/>
          <w:kern w:val="0"/>
          <w:sz w:val="32"/>
          <w:szCs w:val="32"/>
          <w14:textFill>
            <w14:solidFill>
              <w14:schemeClr w14:val="tx1"/>
            </w14:solidFill>
          </w14:textFill>
        </w:rPr>
        <w:t>等</w:t>
      </w:r>
      <w:r>
        <w:rPr>
          <w:rFonts w:hint="eastAsia" w:ascii="仿宋_GB2312" w:hAnsi="仿宋_GB2312" w:eastAsia="仿宋_GB2312" w:cs="仿宋_GB2312"/>
          <w:color w:val="000000" w:themeColor="text1"/>
          <w:kern w:val="0"/>
          <w:sz w:val="32"/>
          <w:szCs w:val="32"/>
          <w14:textFill>
            <w14:solidFill>
              <w14:schemeClr w14:val="tx1"/>
            </w14:solidFill>
          </w14:textFill>
        </w:rPr>
        <w:t>机构</w:t>
      </w:r>
      <w:r>
        <w:rPr>
          <w:rFonts w:ascii="仿宋_GB2312" w:hAnsi="仿宋_GB2312" w:eastAsia="仿宋_GB2312" w:cs="仿宋_GB2312"/>
          <w:color w:val="000000" w:themeColor="text1"/>
          <w:kern w:val="0"/>
          <w:sz w:val="32"/>
          <w:szCs w:val="32"/>
          <w14:textFill>
            <w14:solidFill>
              <w14:schemeClr w14:val="tx1"/>
            </w14:solidFill>
          </w14:textFill>
        </w:rPr>
        <w:t>培育专业研究力量，</w:t>
      </w:r>
      <w:r>
        <w:rPr>
          <w:rFonts w:hint="eastAsia" w:ascii="仿宋_GB2312" w:hAnsi="仿宋_GB2312" w:eastAsia="仿宋_GB2312" w:cs="仿宋_GB2312"/>
          <w:color w:val="000000" w:themeColor="text1"/>
          <w:kern w:val="0"/>
          <w:sz w:val="32"/>
          <w:szCs w:val="32"/>
          <w14:textFill>
            <w14:solidFill>
              <w14:schemeClr w14:val="tx1"/>
            </w14:solidFill>
          </w14:textFill>
        </w:rPr>
        <w:t>开展妇</w:t>
      </w:r>
      <w:r>
        <w:rPr>
          <w:rFonts w:ascii="仿宋_GB2312" w:hAnsi="仿宋_GB2312" w:eastAsia="仿宋_GB2312" w:cs="仿宋_GB2312"/>
          <w:color w:val="000000" w:themeColor="text1"/>
          <w:kern w:val="0"/>
          <w:sz w:val="32"/>
          <w:szCs w:val="32"/>
          <w14:textFill>
            <w14:solidFill>
              <w14:schemeClr w14:val="tx1"/>
            </w14:solidFill>
          </w14:textFill>
        </w:rPr>
        <w:t>女理论及实践研究，为</w:t>
      </w:r>
      <w:r>
        <w:rPr>
          <w:rFonts w:hint="eastAsia" w:ascii="仿宋_GB2312" w:hAnsi="仿宋_GB2312" w:eastAsia="仿宋_GB2312" w:cs="仿宋_GB2312"/>
          <w:color w:val="000000" w:themeColor="text1"/>
          <w:kern w:val="0"/>
          <w:sz w:val="32"/>
          <w:szCs w:val="32"/>
          <w14:textFill>
            <w14:solidFill>
              <w14:schemeClr w14:val="tx1"/>
            </w14:solidFill>
          </w14:textFill>
        </w:rPr>
        <w:t>制定</w:t>
      </w:r>
      <w:r>
        <w:rPr>
          <w:rFonts w:ascii="仿宋_GB2312" w:hAnsi="仿宋_GB2312" w:eastAsia="仿宋_GB2312" w:cs="仿宋_GB2312"/>
          <w:color w:val="000000" w:themeColor="text1"/>
          <w:kern w:val="0"/>
          <w:sz w:val="32"/>
          <w:szCs w:val="32"/>
          <w14:textFill>
            <w14:solidFill>
              <w14:schemeClr w14:val="tx1"/>
            </w14:solidFill>
          </w14:textFill>
        </w:rPr>
        <w:t>和完善相关</w:t>
      </w:r>
      <w:r>
        <w:rPr>
          <w:rFonts w:hint="eastAsia" w:ascii="仿宋_GB2312" w:hAnsi="仿宋_GB2312" w:eastAsia="仿宋_GB2312" w:cs="仿宋_GB2312"/>
          <w:color w:val="000000" w:themeColor="text1"/>
          <w:kern w:val="0"/>
          <w:sz w:val="32"/>
          <w:szCs w:val="32"/>
          <w14:textFill>
            <w14:solidFill>
              <w14:schemeClr w14:val="tx1"/>
            </w14:solidFill>
          </w14:textFill>
        </w:rPr>
        <w:t>法规</w:t>
      </w:r>
      <w:r>
        <w:rPr>
          <w:rFonts w:ascii="仿宋_GB2312" w:hAnsi="仿宋_GB2312" w:eastAsia="仿宋_GB2312" w:cs="仿宋_GB2312"/>
          <w:color w:val="000000" w:themeColor="text1"/>
          <w:kern w:val="0"/>
          <w:sz w:val="32"/>
          <w:szCs w:val="32"/>
          <w14:textFill>
            <w14:solidFill>
              <w14:schemeClr w14:val="tx1"/>
            </w14:solidFill>
          </w14:textFill>
        </w:rPr>
        <w:t>政策提供参考。</w:t>
      </w:r>
    </w:p>
    <w:p>
      <w:pPr>
        <w:suppressAutoHyphens w:val="0"/>
        <w:overflowPunct w:val="0"/>
        <w:autoSpaceDN w:val="0"/>
        <w:spacing w:line="620" w:lineRule="exact"/>
        <w:ind w:firstLine="480" w:firstLineChars="150"/>
        <w:outlineLvl w:val="1"/>
        <w:rPr>
          <w:rFonts w:ascii="楷体" w:hAnsi="楷体" w:eastAsia="楷体_GB2312" w:cs="仿宋_GB2312"/>
          <w:color w:val="000000" w:themeColor="text1"/>
          <w:kern w:val="0"/>
          <w:sz w:val="32"/>
          <w:szCs w:val="32"/>
          <w14:textFill>
            <w14:solidFill>
              <w14:schemeClr w14:val="tx1"/>
            </w14:solidFill>
          </w14:textFill>
        </w:rPr>
      </w:pPr>
      <w:bookmarkStart w:id="25" w:name="_Toc1836528729"/>
      <w:r>
        <w:rPr>
          <w:rFonts w:hint="eastAsia" w:ascii="楷体" w:hAnsi="楷体" w:eastAsia="楷体_GB2312"/>
          <w:color w:val="000000" w:themeColor="text1"/>
          <w:sz w:val="32"/>
          <w:szCs w:val="32"/>
          <w14:textFill>
            <w14:solidFill>
              <w14:schemeClr w14:val="tx1"/>
            </w14:solidFill>
          </w14:textFill>
        </w:rPr>
        <w:t>（二</w:t>
      </w:r>
      <w:r>
        <w:rPr>
          <w:rFonts w:ascii="楷体" w:hAnsi="楷体" w:eastAsia="楷体_GB2312"/>
          <w:color w:val="000000" w:themeColor="text1"/>
          <w:sz w:val="32"/>
          <w:szCs w:val="32"/>
          <w14:textFill>
            <w14:solidFill>
              <w14:schemeClr w14:val="tx1"/>
            </w14:solidFill>
          </w14:textFill>
        </w:rPr>
        <w:t>）</w:t>
      </w:r>
      <w:r>
        <w:rPr>
          <w:rFonts w:hint="eastAsia" w:ascii="楷体" w:hAnsi="楷体" w:eastAsia="楷体_GB2312"/>
          <w:color w:val="000000" w:themeColor="text1"/>
          <w:sz w:val="32"/>
          <w:szCs w:val="32"/>
          <w14:textFill>
            <w14:solidFill>
              <w14:schemeClr w14:val="tx1"/>
            </w14:solidFill>
          </w14:textFill>
        </w:rPr>
        <w:t>监测评估</w:t>
      </w:r>
      <w:bookmarkEnd w:id="25"/>
      <w:r>
        <w:rPr>
          <w:rFonts w:hint="eastAsia" w:ascii="楷体" w:hAnsi="楷体" w:eastAsia="楷体_GB2312"/>
          <w:color w:val="000000" w:themeColor="text1"/>
          <w:sz w:val="32"/>
          <w:szCs w:val="32"/>
          <w14:textFill>
            <w14:solidFill>
              <w14:schemeClr w14:val="tx1"/>
            </w14:solidFill>
          </w14:textFill>
        </w:rPr>
        <w:t>。</w:t>
      </w:r>
    </w:p>
    <w:p>
      <w:pPr>
        <w:suppressAutoHyphens w:val="0"/>
        <w:overflowPunct w:val="0"/>
        <w:autoSpaceDN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 加强制度建设。</w:t>
      </w:r>
      <w:r>
        <w:rPr>
          <w:rFonts w:hint="eastAsia" w:ascii="仿宋_GB2312" w:hAnsi="仿宋_GB2312" w:eastAsia="仿宋_GB2312" w:cs="仿宋_GB2312"/>
          <w:color w:val="000000" w:themeColor="text1"/>
          <w:sz w:val="32"/>
          <w:szCs w:val="32"/>
          <w14:textFill>
            <w14:solidFill>
              <w14:schemeClr w14:val="tx1"/>
            </w14:solidFill>
          </w14:textFill>
        </w:rPr>
        <w:t>对规划实施实行年度监测、中期评估、终期评估。落实并逐步完善性别统计监测方案。各级统计部门牵头组织开展年度监测，各妇儿工委成员单位、特邀单位及有关部门向统计部门报送年度监测数据，及时收集、分析反映妇女发展状况的相关数据和信息。区妇儿工委组织开展中期和终期评估，各妇儿工委成员单位、特邀单位及有关部门向妇儿工委提交中期和终期评估报告。监测评估工作所需经费纳入财政预算。</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 加强组织领导。区</w:t>
      </w:r>
      <w:r>
        <w:rPr>
          <w:rFonts w:hint="eastAsia" w:ascii="仿宋_GB2312" w:hAnsi="仿宋_GB2312" w:eastAsia="仿宋_GB2312" w:cs="仿宋_GB2312"/>
          <w:color w:val="000000" w:themeColor="text1"/>
          <w:sz w:val="32"/>
          <w:szCs w:val="32"/>
          <w14:textFill>
            <w14:solidFill>
              <w14:schemeClr w14:val="tx1"/>
            </w14:solidFill>
          </w14:textFill>
        </w:rPr>
        <w:t>妇儿工委设立监测评估协调组，由本级妇儿工委及相关部门负责人组成，负责组织协调监测评估工作，审批监测评估方案，审核监测评估报告等。协调组下设监测组和评估组。</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监测组由本级统计部门牵头，由相关部门负责规划统计监测人员组成，负责规划监测工作的组织、指导和培训,制定监测方案、监测指标体系，收集、分析数据和信息，向同级妇儿工委提交年度、中期和终期监测报告，编辑出版年度妇女统计资料等。监测组成员负责统筹协调本部门规划实施监测、分析、数据上报、分性别分年龄指标完善等工作。</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评估组由区妇儿工委办公室牵头，由相关部门负责规划实施的人员组成，负责评估工作的组织、指导和培训，制定评估方案，组织开展评估工作，向区妇儿工委提交中期和终期评估报告。评估组成员负责统筹协调本部门规划实施自我评估工作，参加妇儿工委组织的评估工作。支持评估组相关部门结合工作，就</w:t>
      </w:r>
      <w:r>
        <w:rPr>
          <w:rFonts w:hint="eastAsia" w:ascii="仿宋_GB2312" w:hAnsi="仿宋_GB2312" w:eastAsia="仿宋_GB2312" w:cs="仿宋_GB2312"/>
          <w:color w:val="000000" w:themeColor="text1"/>
          <w:kern w:val="0"/>
          <w:sz w:val="32"/>
          <w:szCs w:val="32"/>
          <w14:textFill>
            <w14:solidFill>
              <w14:schemeClr w14:val="tx1"/>
            </w14:solidFill>
          </w14:textFill>
        </w:rPr>
        <w:t>妇女</w:t>
      </w:r>
      <w:r>
        <w:rPr>
          <w:rFonts w:hint="eastAsia" w:ascii="仿宋_GB2312" w:hAnsi="仿宋_GB2312" w:eastAsia="仿宋_GB2312" w:cs="仿宋_GB2312"/>
          <w:color w:val="000000" w:themeColor="text1"/>
          <w:sz w:val="32"/>
          <w:szCs w:val="32"/>
          <w14:textFill>
            <w14:solidFill>
              <w14:schemeClr w14:val="tx1"/>
            </w14:solidFill>
          </w14:textFill>
        </w:rPr>
        <w:t>保护与发展中的突出问题开展专项调查、评估，结果可供规划中期和终期评估参考。</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highlight w:val="yellow"/>
          <w:shd w:val="clear" w:color="auto" w:fill="D9D9D9"/>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 完善统计监测体系。</w:t>
      </w:r>
      <w:r>
        <w:rPr>
          <w:rFonts w:hint="eastAsia" w:ascii="仿宋_GB2312" w:hAnsi="仿宋_GB2312" w:eastAsia="仿宋_GB2312" w:cs="仿宋_GB2312"/>
          <w:color w:val="000000" w:themeColor="text1"/>
          <w:sz w:val="32"/>
          <w:szCs w:val="32"/>
          <w14:textFill>
            <w14:solidFill>
              <w14:schemeClr w14:val="tx1"/>
            </w14:solidFill>
          </w14:textFill>
        </w:rPr>
        <w:t>规范完善分性别统计监测指标体系，根据需要扩充调整妇女发展统计指标，纳入政府和部门常规统计以及统计调查制度，加强部门分年龄、分性别统计工作。</w:t>
      </w:r>
      <w:bookmarkStart w:id="26" w:name="_Hlk68013548"/>
      <w:r>
        <w:rPr>
          <w:rFonts w:hint="eastAsia" w:ascii="仿宋_GB2312" w:hAnsi="仿宋_GB2312" w:eastAsia="仿宋_GB2312" w:cs="仿宋_GB2312"/>
          <w:color w:val="000000" w:themeColor="text1"/>
          <w:sz w:val="32"/>
          <w:szCs w:val="32"/>
          <w14:textFill>
            <w14:solidFill>
              <w14:schemeClr w14:val="tx1"/>
            </w14:solidFill>
          </w14:textFill>
        </w:rPr>
        <w:t>市、区级建立完善</w:t>
      </w:r>
      <w:r>
        <w:rPr>
          <w:rFonts w:hint="eastAsia" w:ascii="仿宋_GB2312" w:hAnsi="仿宋_GB2312" w:eastAsia="仿宋_GB2312" w:cs="仿宋_GB2312"/>
          <w:color w:val="000000" w:themeColor="text1"/>
          <w:kern w:val="0"/>
          <w:sz w:val="32"/>
          <w:szCs w:val="32"/>
          <w14:textFill>
            <w14:solidFill>
              <w14:schemeClr w14:val="tx1"/>
            </w14:solidFill>
          </w14:textFill>
        </w:rPr>
        <w:t>妇女</w:t>
      </w:r>
      <w:r>
        <w:rPr>
          <w:rFonts w:hint="eastAsia" w:ascii="仿宋_GB2312" w:hAnsi="仿宋_GB2312" w:eastAsia="仿宋_GB2312" w:cs="仿宋_GB2312"/>
          <w:color w:val="000000" w:themeColor="text1"/>
          <w:sz w:val="32"/>
          <w:szCs w:val="32"/>
          <w14:textFill>
            <w14:solidFill>
              <w14:schemeClr w14:val="tx1"/>
            </w14:solidFill>
          </w14:textFill>
        </w:rPr>
        <w:t>发展统计监测数据库，实现数据互联互通。鼓励支持相关部门对妇女发展缺项数据开展专项统计调查。</w:t>
      </w:r>
    </w:p>
    <w:bookmarkEnd w:id="26"/>
    <w:p>
      <w:pPr>
        <w:suppressAutoHyphens w:val="0"/>
        <w:overflowPunct w:val="0"/>
        <w:autoSpaceDN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 提升统计</w:t>
      </w:r>
      <w:r>
        <w:rPr>
          <w:rFonts w:ascii="仿宋_GB2312" w:hAnsi="仿宋_GB2312" w:eastAsia="仿宋_GB2312" w:cs="仿宋_GB2312"/>
          <w:color w:val="000000" w:themeColor="text1"/>
          <w:kern w:val="0"/>
          <w:sz w:val="32"/>
          <w:szCs w:val="32"/>
          <w14:textFill>
            <w14:solidFill>
              <w14:schemeClr w14:val="tx1"/>
            </w14:solidFill>
          </w14:textFill>
        </w:rPr>
        <w:t>监测</w:t>
      </w:r>
      <w:r>
        <w:rPr>
          <w:rFonts w:hint="eastAsia" w:ascii="仿宋_GB2312" w:hAnsi="仿宋_GB2312" w:eastAsia="仿宋_GB2312" w:cs="仿宋_GB2312"/>
          <w:color w:val="000000" w:themeColor="text1"/>
          <w:kern w:val="0"/>
          <w:sz w:val="32"/>
          <w:szCs w:val="32"/>
          <w14:textFill>
            <w14:solidFill>
              <w14:schemeClr w14:val="tx1"/>
            </w14:solidFill>
          </w14:textFill>
        </w:rPr>
        <w:t>能力。</w:t>
      </w:r>
      <w:r>
        <w:rPr>
          <w:rFonts w:hint="eastAsia" w:ascii="仿宋_GB2312" w:hAnsi="仿宋_GB2312" w:eastAsia="仿宋_GB2312" w:cs="仿宋_GB2312"/>
          <w:color w:val="000000" w:themeColor="text1"/>
          <w:sz w:val="32"/>
          <w:szCs w:val="32"/>
          <w14:textFill>
            <w14:solidFill>
              <w14:schemeClr w14:val="tx1"/>
            </w14:solidFill>
          </w14:textFill>
        </w:rPr>
        <w:t>加强监测评估工作培训和部门协作，规范监测数据收集渠道、报送方式，提高数据质量。运用互联网和大数据等技术，丰富</w:t>
      </w:r>
      <w:r>
        <w:rPr>
          <w:rFonts w:hint="eastAsia" w:ascii="仿宋_GB2312" w:hAnsi="仿宋_GB2312" w:eastAsia="仿宋_GB2312" w:cs="仿宋_GB2312"/>
          <w:color w:val="000000" w:themeColor="text1"/>
          <w:kern w:val="0"/>
          <w:sz w:val="32"/>
          <w:szCs w:val="32"/>
          <w14:textFill>
            <w14:solidFill>
              <w14:schemeClr w14:val="tx1"/>
            </w14:solidFill>
          </w14:textFill>
        </w:rPr>
        <w:t>妇女</w:t>
      </w:r>
      <w:r>
        <w:rPr>
          <w:rFonts w:hint="eastAsia" w:ascii="仿宋_GB2312" w:hAnsi="仿宋_GB2312" w:eastAsia="仿宋_GB2312" w:cs="仿宋_GB2312"/>
          <w:color w:val="000000" w:themeColor="text1"/>
          <w:sz w:val="32"/>
          <w:szCs w:val="32"/>
          <w14:textFill>
            <w14:solidFill>
              <w14:schemeClr w14:val="tx1"/>
            </w14:solidFill>
          </w14:textFill>
        </w:rPr>
        <w:t>发展和分性别统计信息。科学设计评估方案和评估方法，探索第三方评估。提升监测评估工作科学化、标准化、专业化水平。</w:t>
      </w:r>
    </w:p>
    <w:p>
      <w:pPr>
        <w:suppressAutoHyphens w:val="0"/>
        <w:overflowPunct w:val="0"/>
        <w:autoSpaceDN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 有效利用监测评估成果。发挥年度监测、阶段评估结果服务决策的作用，定期向同级人民政府及相关部门报送规划目标落实情况，为决策提供依据。建立阶段评估报告交流、反馈和发布机制。加强监测和评估结果的研判、运用。每年对预计达标困难、波动较大的监测指标进行预警，对发现的突出问题和短板弱项提出对策建议，对好做法</w:t>
      </w:r>
      <w:r>
        <w:rPr>
          <w:rFonts w:ascii="仿宋_GB2312" w:hAnsi="仿宋_GB2312" w:eastAsia="仿宋_GB2312" w:cs="仿宋_GB2312"/>
          <w:color w:val="000000" w:themeColor="text1"/>
          <w:sz w:val="32"/>
          <w:szCs w:val="32"/>
          <w14:textFill>
            <w14:solidFill>
              <w14:schemeClr w14:val="tx1"/>
            </w14:solidFill>
          </w14:textFill>
        </w:rPr>
        <w:t>、好经验</w:t>
      </w:r>
      <w:r>
        <w:rPr>
          <w:rFonts w:hint="eastAsia" w:ascii="仿宋_GB2312" w:hAnsi="仿宋_GB2312" w:eastAsia="仿宋_GB2312" w:cs="仿宋_GB2312"/>
          <w:color w:val="000000" w:themeColor="text1"/>
          <w:sz w:val="32"/>
          <w:szCs w:val="32"/>
          <w14:textFill>
            <w14:solidFill>
              <w14:schemeClr w14:val="tx1"/>
            </w14:solidFill>
          </w14:textFill>
        </w:rPr>
        <w:t>及时总结推广。运用监测、评估结果指导下一阶段规划实施，确保规划实施的年度监测、阶段评估、动态预警、精准干预、问题整改和高质量推进工作</w:t>
      </w:r>
      <w:r>
        <w:rPr>
          <w:rFonts w:ascii="仿宋_GB2312" w:hAnsi="仿宋_GB2312" w:eastAsia="仿宋_GB2312" w:cs="仿宋_GB2312"/>
          <w:color w:val="000000" w:themeColor="text1"/>
          <w:sz w:val="32"/>
          <w:szCs w:val="32"/>
          <w14:textFill>
            <w14:solidFill>
              <w14:schemeClr w14:val="tx1"/>
            </w14:solidFill>
          </w14:textFill>
        </w:rPr>
        <w:t>有效落实</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suppressAutoHyphens w:val="0"/>
        <w:jc w:val="left"/>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br w:type="page"/>
      </w:r>
    </w:p>
    <w:p>
      <w:pPr>
        <w:suppressAutoHyphens w:val="0"/>
        <w:overflowPunct w:val="0"/>
        <w:autoSpaceDN w:val="0"/>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uppressAutoHyphens w:val="0"/>
        <w:overflowPunct w:val="0"/>
        <w:autoSpaceDN w:val="0"/>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济南市章丘区“十四五”儿童发展规划</w:t>
      </w:r>
    </w:p>
    <w:p>
      <w:pPr>
        <w:suppressAutoHyphens w:val="0"/>
        <w:spacing w:line="600" w:lineRule="exact"/>
        <w:jc w:val="center"/>
        <w:rPr>
          <w:rFonts w:ascii="楷体_GB2312" w:hAnsi="楷体_GB2312" w:eastAsia="楷体_GB2312" w:cs="楷体_GB2312"/>
          <w:color w:val="000000" w:themeColor="text1"/>
          <w:sz w:val="36"/>
          <w:szCs w:val="36"/>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儿童是国家的未来、民族的希望。当代中国儿童是实现第二个百年奋斗目标、建设社会主义现代化强国的生力军。促进儿童健康成长，是实现人的全面发展的必然要求，是建设幸福家庭、构建和谐社会的必然要求，是全面建设社会主义现代化国家、实现中华民族伟大复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中国梦的必然要求。为更好贯彻儿童优先原则，进一步优化儿童发展环境，依照《中华人民共和国宪法》《中华人民共和国民法典》《中华人民共和国未成年人保护法》等法律法规，按照《中国儿童发展纲要（2021-2030年）》《山东省“十四五”儿童发展规划》《济南市“十四五”儿童发展规划》《章丘区国民经济和社会发展第十四个五年规划和二○三五年远景目标纲要》的总体要求，结合我区儿童发展实际，制定本规划。</w:t>
      </w:r>
    </w:p>
    <w:p>
      <w:pPr>
        <w:suppressAutoHyphens w:val="0"/>
        <w:overflowPunct w:val="0"/>
        <w:spacing w:line="600" w:lineRule="exact"/>
        <w:ind w:firstLine="640" w:firstLineChars="200"/>
        <w:outlineLvl w:val="0"/>
        <w:rPr>
          <w:rFonts w:ascii="黑体" w:hAnsi="黑体" w:eastAsia="黑体" w:cs="黑体"/>
          <w:color w:val="000000" w:themeColor="text1"/>
          <w:sz w:val="32"/>
          <w:szCs w:val="32"/>
          <w14:textFill>
            <w14:solidFill>
              <w14:schemeClr w14:val="tx1"/>
            </w14:solidFill>
          </w14:textFill>
        </w:rPr>
      </w:pPr>
      <w:bookmarkStart w:id="27" w:name="_Toc2046460866"/>
      <w:r>
        <w:rPr>
          <w:rFonts w:hint="eastAsia" w:ascii="黑体" w:hAnsi="黑体" w:eastAsia="黑体" w:cs="黑体"/>
          <w:color w:val="000000" w:themeColor="text1"/>
          <w:sz w:val="32"/>
          <w:szCs w:val="32"/>
          <w14:textFill>
            <w14:solidFill>
              <w14:schemeClr w14:val="tx1"/>
            </w14:solidFill>
          </w14:textFill>
        </w:rPr>
        <w:t>一、发展现状和趋势</w:t>
      </w:r>
      <w:bookmarkEnd w:id="27"/>
    </w:p>
    <w:p>
      <w:pPr>
        <w:suppressAutoHyphens w:val="0"/>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Times New Roman" w:hAnsi="仿宋_GB2312" w:eastAsia="仿宋_GB2312"/>
          <w:color w:val="000000" w:themeColor="text1"/>
          <w:sz w:val="32"/>
          <w:szCs w:val="32"/>
          <w14:textFill>
            <w14:solidFill>
              <w14:schemeClr w14:val="tx1"/>
            </w14:solidFill>
          </w14:textFill>
        </w:rPr>
        <w:t>党和国家始终高度重视儿童事业和儿童发展。党的十八大以来，以习近平同志为核心的党中央把培养好少年儿童作为一项战略任务。我区已编制实施四个周期儿童发展纲要、规划，为儿童生存、发展、受保护和参与权利的实现提供了重要保障。“十三五”期间，我区保障儿童权利的法规政策体系进一步完善，党委领导、政府负责、部门协作、社会参与的儿童工作机制进一步巩固，儿童健康、儿童教育、儿童安全得到进一步保障，儿童福利保障水平进一步提高，农村留守儿童、困境儿童等弱势群体得到更多关爱和保护，儿童法律保护不断加强，儿童生存发展环境进一步优化，儿童工作的法制化和科学化水平显著提高，儿童发展和儿童事业取得了历史性新成就。</w:t>
      </w:r>
    </w:p>
    <w:p>
      <w:pPr>
        <w:suppressAutoHyphens w:val="0"/>
        <w:overflowPunct w:val="0"/>
        <w:spacing w:line="600" w:lineRule="exact"/>
        <w:ind w:firstLine="640" w:firstLineChars="200"/>
        <w:rPr>
          <w:rFonts w:ascii="Times New Roman" w:hAnsi="仿宋_GB2312" w:eastAsia="仿宋_GB2312"/>
          <w:color w:val="000000" w:themeColor="text1"/>
          <w:sz w:val="32"/>
          <w:szCs w:val="32"/>
          <w14:textFill>
            <w14:solidFill>
              <w14:schemeClr w14:val="tx1"/>
            </w14:solidFill>
          </w14:textFill>
        </w:rPr>
      </w:pPr>
      <w:r>
        <w:rPr>
          <w:rFonts w:hint="eastAsia" w:ascii="Times New Roman" w:hAnsi="仿宋_GB2312" w:eastAsia="仿宋_GB2312"/>
          <w:color w:val="000000" w:themeColor="text1"/>
          <w:sz w:val="32"/>
          <w:szCs w:val="32"/>
          <w14:textFill>
            <w14:solidFill>
              <w14:schemeClr w14:val="tx1"/>
            </w14:solidFill>
          </w14:textFill>
        </w:rPr>
        <w:t>受经济社会发展水平制约，我区儿童发展和权利保护仍面临一些问题和挑战，儿童事业发展仍存在不平衡不充分问题，不能完全适应新时代社会主义现代化济东强区建设的新要求和儿童及其家庭的新期盼。贯彻儿童优先原则的力度需要进一步加大，儿童思想引领的时代性和实效性有待加强，保障儿童权利的法治建设需要持续推进，儿童发展的城乡、区域和群体差距依然存在，科技进步和生活方式变革给儿童发展带来新挑战，儿童事业发展使命艰巨、任重道远。</w:t>
      </w:r>
    </w:p>
    <w:p>
      <w:pPr>
        <w:suppressAutoHyphens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“十四五”时期，是我区推动</w:t>
      </w:r>
      <w:r>
        <w:rPr>
          <w:rFonts w:ascii="仿宋_GB2312" w:hAnsi="仿宋_GB2312" w:eastAsia="仿宋_GB2312" w:cs="仿宋_GB2312"/>
          <w:color w:val="000000" w:themeColor="text1"/>
          <w:sz w:val="32"/>
          <w:szCs w:val="32"/>
          <w14:textFill>
            <w14:solidFill>
              <w14:schemeClr w14:val="tx1"/>
            </w14:solidFill>
          </w14:textFill>
        </w:rPr>
        <w:t>黄河流域生态保护和高质量发展</w:t>
      </w:r>
      <w:r>
        <w:rPr>
          <w:rFonts w:hint="eastAsia" w:ascii="仿宋_GB2312" w:hAnsi="仿宋_GB2312" w:eastAsia="仿宋_GB2312" w:cs="仿宋_GB2312"/>
          <w:color w:val="000000" w:themeColor="text1"/>
          <w:sz w:val="32"/>
          <w:szCs w:val="32"/>
          <w14:textFill>
            <w14:solidFill>
              <w14:schemeClr w14:val="tx1"/>
            </w14:solidFill>
          </w14:textFill>
        </w:rPr>
        <w:t>、加快推进新时代社会主义现代化济东强区建设的关键时期。新发展阶段，为儿童全面发展和儿童事业发展提供了前所未有的机遇和挑战。新起点新征程，要进一步落实儿童优先原则,全面提高儿童综合素质，培养造就德智体美劳全面发展的社会主义建设者和接班人，引领全区儿童勇担新使命、建功新时代。</w:t>
      </w:r>
    </w:p>
    <w:p>
      <w:pPr>
        <w:suppressAutoHyphens w:val="0"/>
        <w:spacing w:line="600" w:lineRule="exact"/>
        <w:outlineLvl w:val="0"/>
        <w:rPr>
          <w:rFonts w:ascii="Times New Roman" w:hAnsi="黑体" w:eastAsia="黑体"/>
          <w:color w:val="000000" w:themeColor="text1"/>
          <w:sz w:val="32"/>
          <w:szCs w:val="32"/>
          <w14:textFill>
            <w14:solidFill>
              <w14:schemeClr w14:val="tx1"/>
            </w14:solidFill>
          </w14:textFill>
        </w:rPr>
      </w:pPr>
      <w:bookmarkStart w:id="28" w:name="_Toc1414207977"/>
      <w:r>
        <w:rPr>
          <w:rFonts w:hint="eastAsia" w:ascii="Times New Roman" w:hAnsi="黑体" w:eastAsia="黑体"/>
          <w:color w:val="000000" w:themeColor="text1"/>
          <w:sz w:val="32"/>
          <w:szCs w:val="32"/>
          <w14:textFill>
            <w14:solidFill>
              <w14:schemeClr w14:val="tx1"/>
            </w14:solidFill>
          </w14:textFill>
        </w:rPr>
        <w:t>　　二、</w:t>
      </w:r>
      <w:r>
        <w:rPr>
          <w:rFonts w:ascii="Times New Roman" w:hAnsi="黑体" w:eastAsia="黑体"/>
          <w:color w:val="000000" w:themeColor="text1"/>
          <w:sz w:val="32"/>
          <w:szCs w:val="32"/>
          <w14:textFill>
            <w14:solidFill>
              <w14:schemeClr w14:val="tx1"/>
            </w14:solidFill>
          </w14:textFill>
        </w:rPr>
        <w:t>指导思想</w:t>
      </w:r>
      <w:r>
        <w:rPr>
          <w:rFonts w:hint="eastAsia" w:ascii="Times New Roman" w:hAnsi="黑体" w:eastAsia="黑体"/>
          <w:color w:val="000000" w:themeColor="text1"/>
          <w:sz w:val="32"/>
          <w:szCs w:val="32"/>
          <w14:textFill>
            <w14:solidFill>
              <w14:schemeClr w14:val="tx1"/>
            </w14:solidFill>
          </w14:textFill>
        </w:rPr>
        <w:t>、</w:t>
      </w:r>
      <w:r>
        <w:rPr>
          <w:rFonts w:ascii="Times New Roman" w:hAnsi="黑体" w:eastAsia="黑体"/>
          <w:color w:val="000000" w:themeColor="text1"/>
          <w:sz w:val="32"/>
          <w:szCs w:val="32"/>
          <w14:textFill>
            <w14:solidFill>
              <w14:schemeClr w14:val="tx1"/>
            </w14:solidFill>
          </w14:textFill>
        </w:rPr>
        <w:t>基本原则和总体目标</w:t>
      </w:r>
      <w:bookmarkEnd w:id="28"/>
    </w:p>
    <w:p>
      <w:pPr>
        <w:suppressAutoHyphens w:val="0"/>
        <w:spacing w:line="600" w:lineRule="exact"/>
        <w:ind w:firstLine="640" w:firstLineChars="200"/>
        <w:outlineLvl w:val="1"/>
        <w:rPr>
          <w:rFonts w:ascii="仿宋_GB2312" w:hAnsi="仿宋_GB2312" w:eastAsia="仿宋_GB2312" w:cs="仿宋_GB2312"/>
          <w:color w:val="000000" w:themeColor="text1"/>
          <w:sz w:val="32"/>
          <w:szCs w:val="32"/>
          <w14:textFill>
            <w14:solidFill>
              <w14:schemeClr w14:val="tx1"/>
            </w14:solidFill>
          </w14:textFill>
        </w:rPr>
      </w:pPr>
      <w:bookmarkStart w:id="29" w:name="_Toc1695113803"/>
      <w:r>
        <w:rPr>
          <w:rFonts w:ascii="Times New Roman" w:hAnsi="楷体" w:eastAsia="楷体_GB2312"/>
          <w:color w:val="000000" w:themeColor="text1"/>
          <w:sz w:val="32"/>
          <w:szCs w:val="32"/>
          <w14:textFill>
            <w14:solidFill>
              <w14:schemeClr w14:val="tx1"/>
            </w14:solidFill>
          </w14:textFill>
        </w:rPr>
        <w:t>（一）指导思想</w:t>
      </w:r>
      <w:bookmarkEnd w:id="29"/>
      <w:r>
        <w:rPr>
          <w:rFonts w:hint="eastAsia" w:ascii="Times New Roman" w:hAnsi="楷体" w:eastAsia="楷体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坚持以习近平新时代中国特色社会主义思想为指导，深入贯彻党的十九大和十九届二中、三中、四中、五中、六中全会精神，坚持和完善最有利于儿童优先发展、全面发展的制度机制，落实立德树人根本任务，完善家庭教育支持体系，保障儿童生存、发展、受保护和参与权利，全面提升儿童整体素质，促进我</w:t>
      </w:r>
      <w:r>
        <w:rPr>
          <w:rFonts w:ascii="仿宋_GB2312" w:hAnsi="仿宋_GB2312" w:eastAsia="仿宋_GB2312" w:cs="仿宋_GB2312"/>
          <w:color w:val="000000" w:themeColor="text1"/>
          <w:sz w:val="32"/>
          <w:szCs w:val="32"/>
          <w14:textFill>
            <w14:solidFill>
              <w14:schemeClr w14:val="tx1"/>
            </w14:solidFill>
          </w14:textFill>
        </w:rPr>
        <w:t>市儿童和</w:t>
      </w:r>
      <w:r>
        <w:rPr>
          <w:rFonts w:hint="eastAsia" w:ascii="仿宋_GB2312" w:hAnsi="仿宋_GB2312" w:eastAsia="仿宋_GB2312" w:cs="仿宋_GB2312"/>
          <w:color w:val="000000" w:themeColor="text1"/>
          <w:sz w:val="32"/>
          <w:szCs w:val="32"/>
          <w14:textFill>
            <w14:solidFill>
              <w14:schemeClr w14:val="tx1"/>
            </w14:solidFill>
          </w14:textFill>
        </w:rPr>
        <w:t>儿童</w:t>
      </w:r>
      <w:r>
        <w:rPr>
          <w:rFonts w:ascii="仿宋_GB2312" w:hAnsi="仿宋_GB2312" w:eastAsia="仿宋_GB2312" w:cs="仿宋_GB2312"/>
          <w:color w:val="000000" w:themeColor="text1"/>
          <w:sz w:val="32"/>
          <w:szCs w:val="32"/>
          <w14:textFill>
            <w14:solidFill>
              <w14:schemeClr w14:val="tx1"/>
            </w14:solidFill>
          </w14:textFill>
        </w:rPr>
        <w:t>事业</w:t>
      </w:r>
      <w:r>
        <w:rPr>
          <w:rFonts w:hint="eastAsia" w:ascii="仿宋_GB2312" w:hAnsi="仿宋_GB2312" w:eastAsia="仿宋_GB2312" w:cs="仿宋_GB2312"/>
          <w:color w:val="000000" w:themeColor="text1"/>
          <w:sz w:val="32"/>
          <w:szCs w:val="32"/>
          <w14:textFill>
            <w14:solidFill>
              <w14:schemeClr w14:val="tx1"/>
            </w14:solidFill>
          </w14:textFill>
        </w:rPr>
        <w:t>在</w:t>
      </w:r>
      <w:r>
        <w:rPr>
          <w:rFonts w:ascii="仿宋_GB2312" w:hAnsi="仿宋_GB2312" w:eastAsia="仿宋_GB2312" w:cs="仿宋_GB2312"/>
          <w:color w:val="000000" w:themeColor="text1"/>
          <w:sz w:val="32"/>
          <w:szCs w:val="32"/>
          <w14:textFill>
            <w14:solidFill>
              <w14:schemeClr w14:val="tx1"/>
            </w14:solidFill>
          </w14:textFill>
        </w:rPr>
        <w:t>新时代</w:t>
      </w:r>
      <w:r>
        <w:rPr>
          <w:rFonts w:hint="eastAsia" w:ascii="仿宋_GB2312" w:hAnsi="仿宋_GB2312" w:eastAsia="仿宋_GB2312" w:cs="仿宋_GB2312"/>
          <w:color w:val="000000" w:themeColor="text1"/>
          <w:sz w:val="32"/>
          <w:szCs w:val="32"/>
          <w14:textFill>
            <w14:solidFill>
              <w14:schemeClr w14:val="tx1"/>
            </w14:solidFill>
          </w14:textFill>
        </w:rPr>
        <w:t>社会主义</w:t>
      </w:r>
      <w:r>
        <w:rPr>
          <w:rFonts w:ascii="仿宋_GB2312" w:hAnsi="仿宋_GB2312" w:eastAsia="仿宋_GB2312" w:cs="仿宋_GB2312"/>
          <w:color w:val="000000" w:themeColor="text1"/>
          <w:sz w:val="32"/>
          <w:szCs w:val="32"/>
          <w14:textFill>
            <w14:solidFill>
              <w14:schemeClr w14:val="tx1"/>
            </w14:solidFill>
          </w14:textFill>
        </w:rPr>
        <w:t>现代化</w:t>
      </w:r>
      <w:r>
        <w:rPr>
          <w:rFonts w:hint="eastAsia" w:ascii="仿宋_GB2312" w:hAnsi="仿宋_GB2312" w:eastAsia="仿宋_GB2312" w:cs="仿宋_GB2312"/>
          <w:color w:val="000000" w:themeColor="text1"/>
          <w:sz w:val="32"/>
          <w:szCs w:val="32"/>
          <w14:textFill>
            <w14:solidFill>
              <w14:schemeClr w14:val="tx1"/>
            </w14:solidFill>
          </w14:textFill>
        </w:rPr>
        <w:t>强</w:t>
      </w:r>
      <w:r>
        <w:rPr>
          <w:rFonts w:ascii="仿宋_GB2312" w:hAnsi="仿宋_GB2312" w:eastAsia="仿宋_GB2312" w:cs="仿宋_GB2312"/>
          <w:color w:val="000000" w:themeColor="text1"/>
          <w:sz w:val="32"/>
          <w:szCs w:val="32"/>
          <w14:textFill>
            <w14:solidFill>
              <w14:schemeClr w14:val="tx1"/>
            </w14:solidFill>
          </w14:textFill>
        </w:rPr>
        <w:t>省会建设中走在前列。</w:t>
      </w:r>
    </w:p>
    <w:p>
      <w:pPr>
        <w:suppressAutoHyphens w:val="0"/>
        <w:spacing w:line="600" w:lineRule="exact"/>
        <w:ind w:firstLine="640" w:firstLineChars="200"/>
        <w:outlineLvl w:val="1"/>
        <w:rPr>
          <w:rFonts w:ascii="Times New Roman" w:hAnsi="楷体" w:eastAsia="楷体_GB2312"/>
          <w:color w:val="000000" w:themeColor="text1"/>
          <w:sz w:val="32"/>
          <w:szCs w:val="32"/>
          <w14:textFill>
            <w14:solidFill>
              <w14:schemeClr w14:val="tx1"/>
            </w14:solidFill>
          </w14:textFill>
        </w:rPr>
      </w:pPr>
      <w:bookmarkStart w:id="30" w:name="_Toc816377368"/>
      <w:r>
        <w:rPr>
          <w:rFonts w:hint="eastAsia" w:ascii="Times New Roman" w:hAnsi="楷体" w:eastAsia="楷体_GB2312"/>
          <w:color w:val="000000" w:themeColor="text1"/>
          <w:sz w:val="32"/>
          <w:szCs w:val="32"/>
          <w14:textFill>
            <w14:solidFill>
              <w14:schemeClr w14:val="tx1"/>
            </w14:solidFill>
          </w14:textFill>
        </w:rPr>
        <w:t>（二）基本原则</w:t>
      </w:r>
      <w:bookmarkEnd w:id="30"/>
      <w:r>
        <w:rPr>
          <w:rFonts w:hint="eastAsia" w:ascii="Times New Roman" w:hAnsi="楷体" w:eastAsia="楷体_GB2312"/>
          <w:color w:val="000000" w:themeColor="text1"/>
          <w:sz w:val="32"/>
          <w:szCs w:val="32"/>
          <w14:textFill>
            <w14:solidFill>
              <w14:schemeClr w14:val="tx1"/>
            </w14:solidFill>
          </w14:textFill>
        </w:rPr>
        <w:t>。</w:t>
      </w:r>
    </w:p>
    <w:p>
      <w:pPr>
        <w:suppressAutoHyphens w:val="0"/>
        <w:overflowPunct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1.坚持党的全面领导原则</w:t>
      </w:r>
      <w:r>
        <w:rPr>
          <w:rFonts w:hint="eastAsia" w:ascii="仿宋_GB2312" w:hAnsi="仿宋_GB2312" w:eastAsia="仿宋_GB2312" w:cs="仿宋_GB2312"/>
          <w:color w:val="000000" w:themeColor="text1"/>
          <w:kern w:val="0"/>
          <w:sz w:val="32"/>
          <w:szCs w:val="32"/>
          <w14:textFill>
            <w14:solidFill>
              <w14:schemeClr w14:val="tx1"/>
            </w14:solidFill>
          </w14:textFill>
        </w:rPr>
        <w:t>。把握儿童事业发展的政治方向，贯彻落实党中央关于儿童事业发展的重要决策部署，切实把党的领导落实到儿童事业发展的全过程和各方面。</w:t>
      </w:r>
    </w:p>
    <w:p>
      <w:pPr>
        <w:suppressAutoHyphens w:val="0"/>
        <w:overflowPunct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2.坚持儿童优先原则</w:t>
      </w:r>
      <w:r>
        <w:rPr>
          <w:rFonts w:hint="eastAsia" w:ascii="仿宋_GB2312" w:hAnsi="仿宋_GB2312" w:eastAsia="仿宋_GB2312" w:cs="仿宋_GB2312"/>
          <w:color w:val="000000" w:themeColor="text1"/>
          <w:kern w:val="0"/>
          <w:sz w:val="32"/>
          <w:szCs w:val="32"/>
          <w14:textFill>
            <w14:solidFill>
              <w14:schemeClr w14:val="tx1"/>
            </w14:solidFill>
          </w14:textFill>
        </w:rPr>
        <w:t>。在出台法规政策、编制规划、配置资源、部署工作中优先考虑儿童的最大利益和发展需求。</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3.坚持全面发展原则。尊重儿童的人格尊严，遵循儿童身心发展特点和规律，保障儿童身心健康，促进儿童在德智体美劳各方面全面发展。</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4.坚持平等发展原则。创造</w:t>
      </w:r>
      <w:r>
        <w:rPr>
          <w:rFonts w:ascii="仿宋_GB2312" w:hAnsi="仿宋_GB2312" w:eastAsia="仿宋_GB2312" w:cs="仿宋_GB2312"/>
          <w:color w:val="000000" w:themeColor="text1"/>
          <w:sz w:val="32"/>
          <w:szCs w:val="32"/>
          <w14:textFill>
            <w14:solidFill>
              <w14:schemeClr w14:val="tx1"/>
            </w14:solidFill>
          </w14:textFill>
        </w:rPr>
        <w:t>公</w:t>
      </w:r>
      <w:r>
        <w:rPr>
          <w:rFonts w:hint="eastAsia" w:ascii="仿宋_GB2312" w:hAnsi="仿宋_GB2312" w:eastAsia="仿宋_GB2312" w:cs="仿宋_GB2312"/>
          <w:color w:val="000000" w:themeColor="text1"/>
          <w:sz w:val="32"/>
          <w:szCs w:val="32"/>
          <w14:textFill>
            <w14:solidFill>
              <w14:schemeClr w14:val="tx1"/>
            </w14:solidFill>
          </w14:textFill>
        </w:rPr>
        <w:t>平</w:t>
      </w:r>
      <w:r>
        <w:rPr>
          <w:rFonts w:ascii="仿宋_GB2312" w:hAnsi="仿宋_GB2312" w:eastAsia="仿宋_GB2312" w:cs="仿宋_GB2312"/>
          <w:color w:val="000000" w:themeColor="text1"/>
          <w:sz w:val="32"/>
          <w:szCs w:val="32"/>
          <w14:textFill>
            <w14:solidFill>
              <w14:schemeClr w14:val="tx1"/>
            </w14:solidFill>
          </w14:textFill>
        </w:rPr>
        <w:t>社会环境，</w:t>
      </w:r>
      <w:r>
        <w:rPr>
          <w:rFonts w:hint="eastAsia" w:ascii="仿宋_GB2312" w:hAnsi="仿宋_GB2312" w:eastAsia="仿宋_GB2312" w:cs="仿宋_GB2312"/>
          <w:color w:val="000000" w:themeColor="text1"/>
          <w:sz w:val="32"/>
          <w:szCs w:val="32"/>
          <w14:textFill>
            <w14:solidFill>
              <w14:schemeClr w14:val="tx1"/>
            </w14:solidFill>
          </w14:textFill>
        </w:rPr>
        <w:t>消除对儿童一切形式的歧视，保障所有儿童平等享有发展权利和机会。</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5.坚持儿童参与原则。尊重儿童主体地位，鼓励和支持儿童参与家庭、社会和文化生活，创造有利于儿童参与的社会环境。</w:t>
      </w:r>
    </w:p>
    <w:p>
      <w:pPr>
        <w:suppressAutoHyphens w:val="0"/>
        <w:spacing w:line="600" w:lineRule="exact"/>
        <w:ind w:firstLine="640" w:firstLineChars="200"/>
        <w:outlineLvl w:val="1"/>
        <w:rPr>
          <w:rFonts w:ascii="Times New Roman" w:hAnsi="仿宋_GB2312" w:eastAsia="仿宋_GB2312"/>
          <w:color w:val="000000" w:themeColor="text1"/>
          <w:sz w:val="32"/>
          <w:szCs w:val="32"/>
          <w14:textFill>
            <w14:solidFill>
              <w14:schemeClr w14:val="tx1"/>
            </w14:solidFill>
          </w14:textFill>
        </w:rPr>
      </w:pPr>
      <w:bookmarkStart w:id="31" w:name="_Toc1003568984"/>
      <w:r>
        <w:rPr>
          <w:rFonts w:hint="eastAsia" w:ascii="Times New Roman" w:hAnsi="楷体" w:eastAsia="楷体_GB2312"/>
          <w:color w:val="000000" w:themeColor="text1"/>
          <w:sz w:val="32"/>
          <w:szCs w:val="32"/>
          <w14:textFill>
            <w14:solidFill>
              <w14:schemeClr w14:val="tx1"/>
            </w14:solidFill>
          </w14:textFill>
        </w:rPr>
        <w:t>（三）</w:t>
      </w:r>
      <w:r>
        <w:rPr>
          <w:rFonts w:ascii="Times New Roman" w:hAnsi="楷体" w:eastAsia="楷体_GB2312"/>
          <w:color w:val="000000" w:themeColor="text1"/>
          <w:sz w:val="32"/>
          <w:szCs w:val="32"/>
          <w14:textFill>
            <w14:solidFill>
              <w14:schemeClr w14:val="tx1"/>
            </w14:solidFill>
          </w14:textFill>
        </w:rPr>
        <w:t>总体目标</w:t>
      </w:r>
      <w:bookmarkEnd w:id="31"/>
      <w:r>
        <w:rPr>
          <w:rFonts w:hint="eastAsia" w:ascii="Times New Roman" w:hAnsi="楷体" w:eastAsia="楷体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在推动章丘高质量发展、创造高品质生活、实现高效能治理的进程中，进一步融入儿童发展视角，实施与建设新时代社会主义现代</w:t>
      </w:r>
      <w:r>
        <w:rPr>
          <w:rFonts w:ascii="仿宋_GB2312" w:hAnsi="仿宋_GB2312" w:eastAsia="仿宋_GB2312" w:cs="仿宋_GB2312"/>
          <w:color w:val="000000" w:themeColor="text1"/>
          <w:sz w:val="32"/>
          <w:szCs w:val="32"/>
          <w14:textFill>
            <w14:solidFill>
              <w14:schemeClr w14:val="tx1"/>
            </w14:solidFill>
          </w14:textFill>
        </w:rPr>
        <w:t>化</w:t>
      </w:r>
      <w:r>
        <w:rPr>
          <w:rFonts w:hint="eastAsia" w:ascii="仿宋_GB2312" w:hAnsi="仿宋_GB2312" w:eastAsia="仿宋_GB2312" w:cs="仿宋_GB2312"/>
          <w:color w:val="000000" w:themeColor="text1"/>
          <w:sz w:val="32"/>
          <w:szCs w:val="32"/>
          <w14:textFill>
            <w14:solidFill>
              <w14:schemeClr w14:val="tx1"/>
            </w14:solidFill>
          </w14:textFill>
        </w:rPr>
        <w:t>济东强区相匹配的儿童发展战略。</w:t>
      </w:r>
      <w:r>
        <w:rPr>
          <w:rFonts w:hint="eastAsia" w:ascii="Times New Roman" w:hAnsi="仿宋_GB2312" w:eastAsia="仿宋_GB2312"/>
          <w:color w:val="000000" w:themeColor="text1"/>
          <w:sz w:val="32"/>
          <w:szCs w:val="32"/>
          <w14:textFill>
            <w14:solidFill>
              <w14:schemeClr w14:val="tx1"/>
            </w14:solidFill>
          </w14:textFill>
        </w:rPr>
        <w:t>儿童优先、儿童</w:t>
      </w:r>
      <w:r>
        <w:rPr>
          <w:rFonts w:ascii="Times New Roman" w:hAnsi="仿宋_GB2312" w:eastAsia="仿宋_GB2312"/>
          <w:color w:val="000000" w:themeColor="text1"/>
          <w:sz w:val="32"/>
          <w:szCs w:val="32"/>
          <w14:textFill>
            <w14:solidFill>
              <w14:schemeClr w14:val="tx1"/>
            </w14:solidFill>
          </w14:textFill>
        </w:rPr>
        <w:t>友好理念</w:t>
      </w:r>
      <w:r>
        <w:rPr>
          <w:rFonts w:hint="eastAsia" w:ascii="Times New Roman" w:hAnsi="仿宋_GB2312" w:eastAsia="仿宋_GB2312"/>
          <w:color w:val="000000" w:themeColor="text1"/>
          <w:sz w:val="32"/>
          <w:szCs w:val="32"/>
          <w14:textFill>
            <w14:solidFill>
              <w14:schemeClr w14:val="tx1"/>
            </w14:solidFill>
          </w14:textFill>
        </w:rPr>
        <w:t>进一步</w:t>
      </w:r>
      <w:r>
        <w:rPr>
          <w:rFonts w:ascii="Times New Roman" w:hAnsi="仿宋_GB2312" w:eastAsia="仿宋_GB2312"/>
          <w:color w:val="000000" w:themeColor="text1"/>
          <w:sz w:val="32"/>
          <w:szCs w:val="32"/>
          <w14:textFill>
            <w14:solidFill>
              <w14:schemeClr w14:val="tx1"/>
            </w14:solidFill>
          </w14:textFill>
        </w:rPr>
        <w:t>深入人心</w:t>
      </w:r>
      <w:r>
        <w:rPr>
          <w:rFonts w:hint="eastAsia" w:ascii="Times New Roman" w:hAnsi="仿宋_GB2312" w:eastAsia="仿宋_GB2312"/>
          <w:color w:val="000000" w:themeColor="text1"/>
          <w:sz w:val="32"/>
          <w:szCs w:val="32"/>
          <w14:textFill>
            <w14:solidFill>
              <w14:schemeClr w14:val="tx1"/>
            </w14:solidFill>
          </w14:textFill>
        </w:rPr>
        <w:t>，</w:t>
      </w:r>
      <w:r>
        <w:rPr>
          <w:rFonts w:ascii="Times New Roman" w:hAnsi="仿宋_GB2312" w:eastAsia="仿宋_GB2312"/>
          <w:color w:val="000000" w:themeColor="text1"/>
          <w:sz w:val="32"/>
          <w:szCs w:val="32"/>
          <w14:textFill>
            <w14:solidFill>
              <w14:schemeClr w14:val="tx1"/>
            </w14:solidFill>
          </w14:textFill>
        </w:rPr>
        <w:t>保障儿童权利的政策体系更</w:t>
      </w:r>
      <w:r>
        <w:rPr>
          <w:rFonts w:hint="eastAsia" w:ascii="Times New Roman" w:hAnsi="仿宋_GB2312" w:eastAsia="仿宋_GB2312"/>
          <w:color w:val="000000" w:themeColor="text1"/>
          <w:sz w:val="32"/>
          <w:szCs w:val="32"/>
          <w14:textFill>
            <w14:solidFill>
              <w14:schemeClr w14:val="tx1"/>
            </w14:solidFill>
          </w14:textFill>
        </w:rPr>
        <w:t>加</w:t>
      </w:r>
      <w:r>
        <w:rPr>
          <w:rFonts w:ascii="Times New Roman" w:hAnsi="仿宋_GB2312" w:eastAsia="仿宋_GB2312"/>
          <w:color w:val="000000" w:themeColor="text1"/>
          <w:sz w:val="32"/>
          <w:szCs w:val="32"/>
          <w14:textFill>
            <w14:solidFill>
              <w14:schemeClr w14:val="tx1"/>
            </w14:solidFill>
          </w14:textFill>
        </w:rPr>
        <w:t>健全，促进儿童发展的工作机制更加完善，城乡、区域、群体</w:t>
      </w:r>
      <w:r>
        <w:rPr>
          <w:rFonts w:hint="eastAsia" w:ascii="Times New Roman" w:hAnsi="仿宋_GB2312" w:eastAsia="仿宋_GB2312"/>
          <w:color w:val="000000" w:themeColor="text1"/>
          <w:sz w:val="32"/>
          <w:szCs w:val="32"/>
          <w14:textFill>
            <w14:solidFill>
              <w14:schemeClr w14:val="tx1"/>
            </w14:solidFill>
          </w14:textFill>
        </w:rPr>
        <w:t>之</w:t>
      </w:r>
      <w:r>
        <w:rPr>
          <w:rFonts w:ascii="Times New Roman" w:hAnsi="仿宋_GB2312" w:eastAsia="仿宋_GB2312"/>
          <w:color w:val="000000" w:themeColor="text1"/>
          <w:sz w:val="32"/>
          <w:szCs w:val="32"/>
          <w14:textFill>
            <w14:solidFill>
              <w14:schemeClr w14:val="tx1"/>
            </w14:solidFill>
          </w14:textFill>
        </w:rPr>
        <w:t>间儿童发展差距</w:t>
      </w:r>
      <w:r>
        <w:rPr>
          <w:rFonts w:hint="eastAsia" w:ascii="Times New Roman" w:hAnsi="仿宋_GB2312" w:eastAsia="仿宋_GB2312"/>
          <w:color w:val="000000" w:themeColor="text1"/>
          <w:sz w:val="32"/>
          <w:szCs w:val="32"/>
          <w14:textFill>
            <w14:solidFill>
              <w14:schemeClr w14:val="tx1"/>
            </w14:solidFill>
          </w14:textFill>
        </w:rPr>
        <w:t>显著</w:t>
      </w:r>
      <w:r>
        <w:rPr>
          <w:rFonts w:ascii="Times New Roman" w:hAnsi="仿宋_GB2312" w:eastAsia="仿宋_GB2312"/>
          <w:color w:val="000000" w:themeColor="text1"/>
          <w:sz w:val="32"/>
          <w:szCs w:val="32"/>
          <w14:textFill>
            <w14:solidFill>
              <w14:schemeClr w14:val="tx1"/>
            </w14:solidFill>
          </w14:textFill>
        </w:rPr>
        <w:t>缩小</w:t>
      </w:r>
      <w:r>
        <w:rPr>
          <w:rFonts w:hint="eastAsia" w:ascii="Times New Roman" w:hAnsi="仿宋_GB2312" w:eastAsia="仿宋_GB2312"/>
          <w:color w:val="000000" w:themeColor="text1"/>
          <w:sz w:val="32"/>
          <w:szCs w:val="32"/>
          <w14:textFill>
            <w14:solidFill>
              <w14:schemeClr w14:val="tx1"/>
            </w14:solidFill>
          </w14:textFill>
        </w:rPr>
        <w:t>。儿童在健康</w:t>
      </w:r>
      <w:r>
        <w:rPr>
          <w:rFonts w:ascii="Times New Roman" w:hAnsi="仿宋_GB2312" w:eastAsia="仿宋_GB2312"/>
          <w:color w:val="000000" w:themeColor="text1"/>
          <w:sz w:val="32"/>
          <w:szCs w:val="32"/>
          <w14:textFill>
            <w14:solidFill>
              <w14:schemeClr w14:val="tx1"/>
            </w14:solidFill>
          </w14:textFill>
        </w:rPr>
        <w:t>、安全、教育、福利、法律保护</w:t>
      </w:r>
      <w:r>
        <w:rPr>
          <w:rFonts w:hint="eastAsia" w:ascii="Times New Roman" w:hAnsi="仿宋_GB2312" w:eastAsia="仿宋_GB2312"/>
          <w:color w:val="000000" w:themeColor="text1"/>
          <w:sz w:val="32"/>
          <w:szCs w:val="32"/>
          <w14:textFill>
            <w14:solidFill>
              <w14:schemeClr w14:val="tx1"/>
            </w14:solidFill>
          </w14:textFill>
        </w:rPr>
        <w:t>、</w:t>
      </w:r>
      <w:r>
        <w:rPr>
          <w:rFonts w:ascii="Times New Roman" w:hAnsi="仿宋_GB2312" w:eastAsia="仿宋_GB2312"/>
          <w:color w:val="000000" w:themeColor="text1"/>
          <w:sz w:val="32"/>
          <w:szCs w:val="32"/>
          <w14:textFill>
            <w14:solidFill>
              <w14:schemeClr w14:val="tx1"/>
            </w14:solidFill>
          </w14:textFill>
        </w:rPr>
        <w:t>家庭、环境领域的权利进一步实现，思想道德素养和全面发展水平显著提升</w:t>
      </w:r>
      <w:r>
        <w:rPr>
          <w:rFonts w:hint="eastAsia" w:ascii="Times New Roman" w:hAnsi="仿宋_GB2312" w:eastAsia="仿宋_GB2312"/>
          <w:color w:val="000000" w:themeColor="text1"/>
          <w:sz w:val="32"/>
          <w:szCs w:val="32"/>
          <w14:textFill>
            <w14:solidFill>
              <w14:schemeClr w14:val="tx1"/>
            </w14:solidFill>
          </w14:textFill>
        </w:rPr>
        <w:t>，儿童</w:t>
      </w:r>
      <w:r>
        <w:rPr>
          <w:rFonts w:ascii="Times New Roman" w:hAnsi="仿宋_GB2312" w:eastAsia="仿宋_GB2312"/>
          <w:color w:val="000000" w:themeColor="text1"/>
          <w:sz w:val="32"/>
          <w:szCs w:val="32"/>
          <w14:textFill>
            <w14:solidFill>
              <w14:schemeClr w14:val="tx1"/>
            </w14:solidFill>
          </w14:textFill>
        </w:rPr>
        <w:t>获得感幸福感安全感</w:t>
      </w:r>
      <w:r>
        <w:rPr>
          <w:rFonts w:hint="eastAsia" w:ascii="Times New Roman" w:hAnsi="仿宋_GB2312" w:eastAsia="仿宋_GB2312"/>
          <w:color w:val="000000" w:themeColor="text1"/>
          <w:sz w:val="32"/>
          <w:szCs w:val="32"/>
          <w14:textFill>
            <w14:solidFill>
              <w14:schemeClr w14:val="tx1"/>
            </w14:solidFill>
          </w14:textFill>
        </w:rPr>
        <w:t>明显增强，</w:t>
      </w:r>
      <w:r>
        <w:rPr>
          <w:rFonts w:hint="eastAsia" w:ascii="仿宋_GB2312" w:hAnsi="仿宋_GB2312" w:eastAsia="仿宋_GB2312" w:cs="仿宋_GB2312"/>
          <w:color w:val="000000" w:themeColor="text1"/>
          <w:sz w:val="32"/>
          <w:szCs w:val="32"/>
          <w14:textFill>
            <w14:solidFill>
              <w14:schemeClr w14:val="tx1"/>
            </w14:solidFill>
          </w14:textFill>
        </w:rPr>
        <w:t>儿童友好型城市基本建成，儿童整体发展水平全市领先</w:t>
      </w:r>
      <w:bookmarkStart w:id="32" w:name="_Toc431"/>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overflowPunct w:val="0"/>
        <w:spacing w:line="600" w:lineRule="exact"/>
        <w:ind w:firstLine="640" w:firstLineChars="200"/>
        <w:outlineLvl w:val="0"/>
        <w:rPr>
          <w:rFonts w:ascii="Times New Roman" w:hAnsi="黑体" w:eastAsia="黑体"/>
          <w:color w:val="000000" w:themeColor="text1"/>
          <w:sz w:val="32"/>
          <w:szCs w:val="32"/>
          <w14:textFill>
            <w14:solidFill>
              <w14:schemeClr w14:val="tx1"/>
            </w14:solidFill>
          </w14:textFill>
        </w:rPr>
      </w:pPr>
      <w:bookmarkStart w:id="33" w:name="_Toc1910160576"/>
      <w:r>
        <w:rPr>
          <w:rFonts w:hint="eastAsia" w:ascii="Times New Roman" w:hAnsi="黑体" w:eastAsia="黑体"/>
          <w:color w:val="000000" w:themeColor="text1"/>
          <w:sz w:val="32"/>
          <w:szCs w:val="32"/>
          <w14:textFill>
            <w14:solidFill>
              <w14:schemeClr w14:val="tx1"/>
            </w14:solidFill>
          </w14:textFill>
        </w:rPr>
        <w:t>三、</w:t>
      </w:r>
      <w:r>
        <w:rPr>
          <w:rFonts w:ascii="Times New Roman" w:hAnsi="黑体" w:eastAsia="黑体"/>
          <w:color w:val="000000" w:themeColor="text1"/>
          <w:sz w:val="32"/>
          <w:szCs w:val="32"/>
          <w14:textFill>
            <w14:solidFill>
              <w14:schemeClr w14:val="tx1"/>
            </w14:solidFill>
          </w14:textFill>
        </w:rPr>
        <w:t>发展领域</w:t>
      </w:r>
      <w:r>
        <w:rPr>
          <w:rFonts w:hint="eastAsia" w:ascii="Times New Roman" w:hAnsi="黑体" w:eastAsia="黑体"/>
          <w:color w:val="000000" w:themeColor="text1"/>
          <w:sz w:val="32"/>
          <w:szCs w:val="32"/>
          <w14:textFill>
            <w14:solidFill>
              <w14:schemeClr w14:val="tx1"/>
            </w14:solidFill>
          </w14:textFill>
        </w:rPr>
        <w:t>、主</w:t>
      </w:r>
      <w:r>
        <w:rPr>
          <w:rFonts w:ascii="Times New Roman" w:hAnsi="黑体" w:eastAsia="黑体"/>
          <w:color w:val="000000" w:themeColor="text1"/>
          <w:sz w:val="32"/>
          <w:szCs w:val="32"/>
          <w14:textFill>
            <w14:solidFill>
              <w14:schemeClr w14:val="tx1"/>
            </w14:solidFill>
          </w14:textFill>
        </w:rPr>
        <w:t>要目标</w:t>
      </w:r>
      <w:r>
        <w:rPr>
          <w:rFonts w:hint="eastAsia" w:ascii="Times New Roman" w:hAnsi="黑体" w:eastAsia="黑体"/>
          <w:color w:val="000000" w:themeColor="text1"/>
          <w:sz w:val="32"/>
          <w:szCs w:val="32"/>
          <w14:textFill>
            <w14:solidFill>
              <w14:schemeClr w14:val="tx1"/>
            </w14:solidFill>
          </w14:textFill>
        </w:rPr>
        <w:t>和</w:t>
      </w:r>
      <w:r>
        <w:rPr>
          <w:rFonts w:ascii="Times New Roman" w:hAnsi="黑体" w:eastAsia="黑体"/>
          <w:color w:val="000000" w:themeColor="text1"/>
          <w:sz w:val="32"/>
          <w:szCs w:val="32"/>
          <w14:textFill>
            <w14:solidFill>
              <w14:schemeClr w14:val="tx1"/>
            </w14:solidFill>
          </w14:textFill>
        </w:rPr>
        <w:t>策略</w:t>
      </w:r>
      <w:bookmarkEnd w:id="32"/>
      <w:r>
        <w:rPr>
          <w:rFonts w:hint="eastAsia" w:ascii="Times New Roman" w:hAnsi="黑体" w:eastAsia="黑体"/>
          <w:color w:val="000000" w:themeColor="text1"/>
          <w:sz w:val="32"/>
          <w:szCs w:val="32"/>
          <w14:textFill>
            <w14:solidFill>
              <w14:schemeClr w14:val="tx1"/>
            </w14:solidFill>
          </w14:textFill>
        </w:rPr>
        <w:t>措施</w:t>
      </w:r>
      <w:bookmarkEnd w:id="33"/>
    </w:p>
    <w:p>
      <w:pPr>
        <w:suppressAutoHyphens w:val="0"/>
        <w:overflowPunct w:val="0"/>
        <w:spacing w:line="600" w:lineRule="exact"/>
        <w:ind w:firstLine="640" w:firstLineChars="200"/>
        <w:outlineLvl w:val="1"/>
        <w:rPr>
          <w:rFonts w:ascii="Times New Roman" w:hAnsi="楷体" w:eastAsia="楷体_GB2312"/>
          <w:color w:val="000000" w:themeColor="text1"/>
          <w:sz w:val="32"/>
          <w:szCs w:val="32"/>
          <w14:textFill>
            <w14:solidFill>
              <w14:schemeClr w14:val="tx1"/>
            </w14:solidFill>
          </w14:textFill>
        </w:rPr>
      </w:pPr>
      <w:bookmarkStart w:id="34" w:name="_Toc529280435"/>
      <w:r>
        <w:rPr>
          <w:rFonts w:ascii="Times New Roman" w:hAnsi="楷体" w:eastAsia="楷体_GB2312"/>
          <w:color w:val="000000" w:themeColor="text1"/>
          <w:sz w:val="32"/>
          <w:szCs w:val="32"/>
          <w14:textFill>
            <w14:solidFill>
              <w14:schemeClr w14:val="tx1"/>
            </w14:solidFill>
          </w14:textFill>
        </w:rPr>
        <w:t>（一）儿童与健康</w:t>
      </w:r>
      <w:bookmarkEnd w:id="34"/>
      <w:r>
        <w:rPr>
          <w:rFonts w:hint="eastAsia" w:ascii="Times New Roman" w:hAnsi="楷体" w:eastAsia="楷体_GB2312"/>
          <w:color w:val="000000" w:themeColor="text1"/>
          <w:sz w:val="32"/>
          <w:szCs w:val="32"/>
          <w14:textFill>
            <w14:solidFill>
              <w14:schemeClr w14:val="tx1"/>
            </w14:solidFill>
          </w14:textFill>
        </w:rPr>
        <w:t>。</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1.主要目标。</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（1）覆盖城乡的儿童健康服务体系更加完善，儿童医疗保健服务能力显著增强，</w:t>
      </w:r>
      <w:r>
        <w:rPr>
          <w:rFonts w:ascii="仿宋_GB2312" w:hAnsi="仿宋_GB2312" w:eastAsia="仿宋_GB2312" w:cs="仿宋_GB2312"/>
          <w:color w:val="000000" w:themeColor="text1"/>
          <w:sz w:val="32"/>
          <w:szCs w:val="32"/>
          <w14:textFill>
            <w14:solidFill>
              <w14:schemeClr w14:val="tx1"/>
            </w14:solidFill>
          </w14:textFill>
        </w:rPr>
        <w:t>儿童健康水平不断提高</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（牵头单位：区卫生健康局，责任单位：区发展和改革局、区医保局）</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（2）普及儿童健康生活方式，提高儿童及其照护人健康素养。</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（牵头单位：区卫生健康局，责任单位：区委宣传部、区教育和体育局、区融媒中心、区民政局、区妇联、区残联、区科协、团区委）</w:t>
      </w:r>
    </w:p>
    <w:p>
      <w:pPr>
        <w:numPr>
          <w:ilvl w:val="0"/>
          <w:numId w:val="1"/>
        </w:num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新生儿、婴儿和5岁以下儿童死亡率分别控制在</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‰，3‰和3.5‰以下，城乡和</w:t>
      </w:r>
      <w:r>
        <w:rPr>
          <w:rFonts w:ascii="仿宋_GB2312" w:hAnsi="仿宋_GB2312" w:eastAsia="仿宋_GB2312" w:cs="仿宋_GB2312"/>
          <w:color w:val="000000" w:themeColor="text1"/>
          <w:sz w:val="32"/>
          <w:szCs w:val="32"/>
          <w14:textFill>
            <w14:solidFill>
              <w14:schemeClr w14:val="tx1"/>
            </w14:solidFill>
          </w14:textFill>
        </w:rPr>
        <w:t>区域</w:t>
      </w:r>
      <w:r>
        <w:rPr>
          <w:rFonts w:hint="eastAsia" w:ascii="仿宋_GB2312" w:hAnsi="仿宋_GB2312" w:eastAsia="仿宋_GB2312" w:cs="仿宋_GB2312"/>
          <w:color w:val="000000" w:themeColor="text1"/>
          <w:sz w:val="32"/>
          <w:szCs w:val="32"/>
          <w14:textFill>
            <w14:solidFill>
              <w14:schemeClr w14:val="tx1"/>
            </w14:solidFill>
          </w14:textFill>
        </w:rPr>
        <w:t>差距逐步缩小。</w:t>
      </w:r>
      <w:r>
        <w:rPr>
          <w:rFonts w:hint="eastAsia" w:ascii="楷体" w:hAnsi="楷体" w:eastAsia="楷体_GB2312" w:cs="仿宋_GB2312"/>
          <w:color w:val="000000" w:themeColor="text1"/>
          <w:sz w:val="32"/>
          <w:szCs w:val="32"/>
          <w14:textFill>
            <w14:solidFill>
              <w14:schemeClr w14:val="tx1"/>
            </w14:solidFill>
          </w14:textFill>
        </w:rPr>
        <w:t>（牵头单位：区卫生健康局）</w:t>
      </w:r>
    </w:p>
    <w:p>
      <w:pPr>
        <w:numPr>
          <w:ilvl w:val="0"/>
          <w:numId w:val="1"/>
        </w:num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构建完善覆盖婚前、孕前、孕期、新生儿和儿童各阶段的出生缺陷防治体系，预防和控制出生缺陷。</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（牵头单位：区卫生健康局，责任单位：区民政局、区总工会、区残联、区生态环境分局）</w:t>
      </w:r>
    </w:p>
    <w:p>
      <w:pPr>
        <w:numPr>
          <w:ilvl w:val="0"/>
          <w:numId w:val="1"/>
        </w:num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儿童常见疾病和恶性肿瘤等严重危害儿童健康的疾病得到有效防治。</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（牵头单位：区卫生健康局，责任单位：区教育和体育局、区医保局、区生态环境分局）</w:t>
      </w:r>
    </w:p>
    <w:p>
      <w:pPr>
        <w:numPr>
          <w:ilvl w:val="0"/>
          <w:numId w:val="1"/>
        </w:num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适龄儿童国家免</w:t>
      </w:r>
      <w:r>
        <w:rPr>
          <w:rFonts w:hint="eastAsia" w:ascii="仿宋_GB2312" w:hAnsi="仿宋_GB2312" w:eastAsia="仿宋_GB2312" w:cs="仿宋_GB2312"/>
          <w:color w:val="000000" w:themeColor="text1"/>
          <w:sz w:val="32"/>
          <w:szCs w:val="32"/>
          <w:lang w:val="zh-CN"/>
          <w14:textFill>
            <w14:solidFill>
              <w14:schemeClr w14:val="tx1"/>
            </w14:solidFill>
          </w14:textFill>
        </w:rPr>
        <w:t>疫规划疫苗接种率保持在</w:t>
      </w:r>
      <w:r>
        <w:rPr>
          <w:rFonts w:hint="eastAsia" w:ascii="仿宋_GB2312" w:hAnsi="仿宋_GB2312" w:eastAsia="仿宋_GB2312" w:cs="仿宋_GB2312"/>
          <w:color w:val="000000" w:themeColor="text1"/>
          <w:sz w:val="32"/>
          <w:szCs w:val="32"/>
          <w14:textFill>
            <w14:solidFill>
              <w14:schemeClr w14:val="tx1"/>
            </w14:solidFill>
          </w14:textFill>
        </w:rPr>
        <w:t>91</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以上。</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（牵头单位：区卫生健康局，责任单位：区市场监管局）</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（7）5岁以下儿童中重度贫血率和生长迟缓率分别控制在</w:t>
      </w: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ascii="仿宋_GB2312" w:hAnsi="仿宋_GB2312" w:eastAsia="仿宋_GB2312" w:cs="仿宋_GB2312"/>
          <w:color w:val="000000" w:themeColor="text1"/>
          <w:sz w:val="32"/>
          <w:szCs w:val="32"/>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%以下，儿童肥胖、超重上升趋势得到有效控制。</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（牵头单位：区卫生健康局，责任单位：区教育和体育局、区关工委、区残联、区妇联）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儿童新发近视率明显下降，儿童总体近视率平均</w:t>
      </w:r>
      <w:r>
        <w:rPr>
          <w:rFonts w:ascii="仿宋_GB2312" w:hAnsi="仿宋_GB2312" w:eastAsia="仿宋_GB2312" w:cs="仿宋_GB2312"/>
          <w:color w:val="000000" w:themeColor="text1"/>
          <w:sz w:val="32"/>
          <w:szCs w:val="32"/>
          <w14:textFill>
            <w14:solidFill>
              <w14:schemeClr w14:val="tx1"/>
            </w14:solidFill>
          </w14:textFill>
        </w:rPr>
        <w:t>每年</w:t>
      </w:r>
      <w:r>
        <w:rPr>
          <w:rFonts w:hint="eastAsia" w:ascii="仿宋_GB2312" w:hAnsi="仿宋_GB2312" w:eastAsia="仿宋_GB2312" w:cs="仿宋_GB2312"/>
          <w:color w:val="000000" w:themeColor="text1"/>
          <w:sz w:val="32"/>
          <w:szCs w:val="32"/>
          <w14:textFill>
            <w14:solidFill>
              <w14:schemeClr w14:val="tx1"/>
            </w14:solidFill>
          </w14:textFill>
        </w:rPr>
        <w:t>降低一</w:t>
      </w:r>
      <w:r>
        <w:rPr>
          <w:rFonts w:ascii="仿宋_GB2312" w:hAnsi="仿宋_GB2312" w:eastAsia="仿宋_GB2312" w:cs="仿宋_GB2312"/>
          <w:color w:val="000000" w:themeColor="text1"/>
          <w:sz w:val="32"/>
          <w:szCs w:val="32"/>
          <w14:textFill>
            <w14:solidFill>
              <w14:schemeClr w14:val="tx1"/>
            </w14:solidFill>
          </w14:textFill>
        </w:rPr>
        <w:t>个百</w:t>
      </w:r>
      <w:r>
        <w:rPr>
          <w:rFonts w:hint="eastAsia" w:ascii="仿宋_GB2312" w:hAnsi="仿宋_GB2312" w:eastAsia="仿宋_GB2312" w:cs="仿宋_GB2312"/>
          <w:color w:val="000000" w:themeColor="text1"/>
          <w:sz w:val="32"/>
          <w:szCs w:val="32"/>
          <w14:textFill>
            <w14:solidFill>
              <w14:schemeClr w14:val="tx1"/>
            </w14:solidFill>
          </w14:textFill>
        </w:rPr>
        <w:t>分</w:t>
      </w:r>
      <w:r>
        <w:rPr>
          <w:rFonts w:ascii="仿宋_GB2312" w:hAnsi="仿宋_GB2312" w:eastAsia="仿宋_GB2312" w:cs="仿宋_GB2312"/>
          <w:color w:val="000000" w:themeColor="text1"/>
          <w:sz w:val="32"/>
          <w:szCs w:val="32"/>
          <w14:textFill>
            <w14:solidFill>
              <w14:schemeClr w14:val="tx1"/>
            </w14:solidFill>
          </w14:textFill>
        </w:rPr>
        <w:t>点以上。</w:t>
      </w:r>
      <w:r>
        <w:rPr>
          <w:rFonts w:hint="eastAsia" w:ascii="仿宋_GB2312" w:hAnsi="仿宋_GB2312" w:eastAsia="仿宋_GB2312" w:cs="仿宋_GB2312"/>
          <w:color w:val="000000" w:themeColor="text1"/>
          <w:sz w:val="32"/>
          <w:szCs w:val="32"/>
          <w14:textFill>
            <w14:solidFill>
              <w14:schemeClr w14:val="tx1"/>
            </w14:solidFill>
          </w14:textFill>
        </w:rPr>
        <w:t>0—6岁儿童眼保健和视力检查覆盖率达到98%以上。</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（牵头单位：区教育和体育局，责任单位：区卫生健康局、区教育和体育局、团区委、区关工委）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12岁儿童龋患率控制在</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0%以内。</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（牵头单位：区卫生健康局，责任单位：区教育和体育局）</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（10）增强儿童体质，中小学生《国家学生体质健康标准》达标优良率</w:t>
      </w:r>
      <w:r>
        <w:rPr>
          <w:rFonts w:hint="eastAsia" w:ascii="仿宋_GB2312" w:hAnsi="仿宋_GB2312" w:eastAsia="仿宋_GB2312" w:cs="仿宋_GB2312"/>
          <w:color w:val="000000" w:themeColor="text1"/>
          <w:sz w:val="32"/>
          <w:szCs w:val="32"/>
          <w:lang w:val="zh-CN"/>
          <w14:textFill>
            <w14:solidFill>
              <w14:schemeClr w14:val="tx1"/>
            </w14:solidFill>
          </w14:textFill>
        </w:rPr>
        <w:t>达到</w:t>
      </w:r>
      <w:r>
        <w:rPr>
          <w:rFonts w:ascii="仿宋_GB2312" w:hAnsi="仿宋_GB2312" w:eastAsia="仿宋_GB2312" w:cs="仿宋_GB2312"/>
          <w:color w:val="000000" w:themeColor="text1"/>
          <w:sz w:val="32"/>
          <w:szCs w:val="32"/>
          <w:lang w:val="zh-CN"/>
          <w14:textFill>
            <w14:solidFill>
              <w14:schemeClr w14:val="tx1"/>
            </w14:solidFill>
          </w14:textFill>
        </w:rPr>
        <w:t>62</w:t>
      </w:r>
      <w:r>
        <w:rPr>
          <w:rFonts w:hint="eastAsia" w:ascii="仿宋_GB2312" w:hAnsi="仿宋_GB2312" w:eastAsia="仿宋_GB2312" w:cs="仿宋_GB2312"/>
          <w:color w:val="000000" w:themeColor="text1"/>
          <w:sz w:val="32"/>
          <w:szCs w:val="32"/>
          <w:lang w:val="zh-CN"/>
          <w14:textFill>
            <w14:solidFill>
              <w14:schemeClr w14:val="tx1"/>
            </w14:solidFill>
          </w14:textFill>
        </w:rPr>
        <w:t>%以上</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（牵头单位：区教育和体育局，责任单位：区教育和体育局、团区委、区卫生健康局）</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lang w:val="zh-CN"/>
          <w14:textFill>
            <w14:solidFill>
              <w14:schemeClr w14:val="tx1"/>
            </w14:solidFill>
          </w14:textFill>
        </w:rPr>
        <w:t>增强儿童心理健康服务能力，提升儿童心理健康素养水平</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（牵头单位：区卫生健康局、区教育和体育局，责任单位：区民政局、团区委、区关工委、区妇联、区残联、区委宣传部）</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（12）适龄儿童普遍接受性教育，儿童性健康服务可及性明显提高。</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（牵头单位：区教育和体育局，责任单位：区卫生健康局、区科协、区妇联、团区委）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2.策略措施。</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zh-CN"/>
          <w14:textFill>
            <w14:solidFill>
              <w14:schemeClr w14:val="tx1"/>
            </w14:solidFill>
          </w14:textFill>
        </w:rPr>
        <w:t>完善儿童健康服务体系。</w:t>
      </w:r>
      <w:r>
        <w:rPr>
          <w:rFonts w:hint="eastAsia" w:ascii="仿宋_GB2312" w:hAnsi="仿宋_GB2312" w:eastAsia="仿宋_GB2312" w:cs="仿宋_GB2312"/>
          <w:color w:val="000000" w:themeColor="text1"/>
          <w:sz w:val="32"/>
          <w:szCs w:val="32"/>
          <w14:textFill>
            <w14:solidFill>
              <w14:schemeClr w14:val="tx1"/>
            </w14:solidFill>
          </w14:textFill>
        </w:rPr>
        <w:t>健全涵盖儿童的基本医疗卫生制度，加强区、街道（镇）一体化妇幼健康信息平台、</w:t>
      </w:r>
      <w:r>
        <w:rPr>
          <w:rFonts w:ascii="仿宋_GB2312" w:hAnsi="仿宋_GB2312" w:eastAsia="仿宋_GB2312" w:cs="仿宋_GB2312"/>
          <w:color w:val="000000" w:themeColor="text1"/>
          <w:sz w:val="32"/>
          <w:szCs w:val="32"/>
          <w14:textFill>
            <w14:solidFill>
              <w14:schemeClr w14:val="tx1"/>
            </w14:solidFill>
          </w14:textFill>
        </w:rPr>
        <w:t>健康管理信息系统</w:t>
      </w:r>
      <w:r>
        <w:rPr>
          <w:rFonts w:hint="eastAsia" w:ascii="仿宋_GB2312" w:hAnsi="仿宋_GB2312" w:eastAsia="仿宋_GB2312" w:cs="仿宋_GB2312"/>
          <w:color w:val="000000" w:themeColor="text1"/>
          <w:sz w:val="32"/>
          <w:szCs w:val="32"/>
          <w14:textFill>
            <w14:solidFill>
              <w14:schemeClr w14:val="tx1"/>
            </w14:solidFill>
          </w14:textFill>
        </w:rPr>
        <w:t>建设，完善</w:t>
      </w:r>
      <w:r>
        <w:rPr>
          <w:rFonts w:ascii="仿宋_GB2312" w:hAnsi="仿宋_GB2312" w:eastAsia="仿宋_GB2312" w:cs="仿宋_GB2312"/>
          <w:color w:val="000000" w:themeColor="text1"/>
          <w:sz w:val="32"/>
          <w:szCs w:val="32"/>
          <w14:textFill>
            <w14:solidFill>
              <w14:schemeClr w14:val="tx1"/>
            </w14:solidFill>
          </w14:textFill>
        </w:rPr>
        <w:t>儿童健康统计</w:t>
      </w:r>
      <w:r>
        <w:rPr>
          <w:rFonts w:hint="eastAsia" w:ascii="仿宋_GB2312" w:hAnsi="仿宋_GB2312" w:eastAsia="仿宋_GB2312" w:cs="仿宋_GB2312"/>
          <w:color w:val="000000" w:themeColor="text1"/>
          <w:sz w:val="32"/>
          <w:szCs w:val="32"/>
          <w14:textFill>
            <w14:solidFill>
              <w14:schemeClr w14:val="tx1"/>
            </w14:solidFill>
          </w14:textFill>
        </w:rPr>
        <w:t>制度</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推进“互联网+妇幼健康”服务模式，加强信息互联共享，实现儿童健康全周期全过程管理和服务的信息化、智能化。</w:t>
      </w:r>
      <w:r>
        <w:rPr>
          <w:rFonts w:hint="eastAsia" w:ascii="仿宋_GB2312" w:hAnsi="仿宋_GB2312" w:eastAsia="仿宋_GB2312" w:cs="仿宋_GB2312"/>
          <w:color w:val="000000" w:themeColor="text1"/>
          <w:sz w:val="32"/>
          <w:szCs w:val="32"/>
          <w:lang w:val="zh-CN"/>
          <w14:textFill>
            <w14:solidFill>
              <w14:schemeClr w14:val="tx1"/>
            </w14:solidFill>
          </w14:textFill>
        </w:rPr>
        <w:t>加快儿童医学人才培养，提高全科医生的儿科和儿童保健专业技能与薪酬待遇，增强岗位吸引力。每千名儿童拥有儿科执业（助理）医生达到0.85名、床位增至2.2张，每所镇</w:t>
      </w:r>
      <w:r>
        <w:rPr>
          <w:rFonts w:hint="eastAsia" w:ascii="仿宋_GB2312" w:hAnsi="仿宋_GB2312" w:eastAsia="仿宋_GB2312" w:cs="仿宋_GB2312"/>
          <w:color w:val="000000" w:themeColor="text1"/>
          <w:sz w:val="32"/>
          <w:szCs w:val="32"/>
          <w14:textFill>
            <w14:solidFill>
              <w14:schemeClr w14:val="tx1"/>
            </w14:solidFill>
          </w14:textFill>
        </w:rPr>
        <w:t>卫生院、社区卫生服务中心至少配备1名提供规范儿童基本医疗服务的全科医生和儿童保健医生。</w:t>
      </w:r>
    </w:p>
    <w:p>
      <w:pPr>
        <w:suppressAutoHyphens w:val="0"/>
        <w:spacing w:line="60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zh-CN"/>
          <w14:textFill>
            <w14:solidFill>
              <w14:schemeClr w14:val="tx1"/>
            </w14:solidFill>
          </w14:textFill>
        </w:rPr>
        <w:t>加强儿童保健服务和管理。加强儿童保健门诊标准化、规范</w:t>
      </w:r>
      <w:r>
        <w:rPr>
          <w:rFonts w:ascii="仿宋_GB2312" w:hAnsi="仿宋_GB2312" w:eastAsia="仿宋_GB2312" w:cs="仿宋_GB2312"/>
          <w:color w:val="000000" w:themeColor="text1"/>
          <w:sz w:val="32"/>
          <w:szCs w:val="32"/>
          <w:lang w:val="zh-CN"/>
          <w14:textFill>
            <w14:solidFill>
              <w14:schemeClr w14:val="tx1"/>
            </w14:solidFill>
          </w14:textFill>
        </w:rPr>
        <w:t>化</w:t>
      </w:r>
      <w:r>
        <w:rPr>
          <w:rFonts w:hint="eastAsia" w:ascii="仿宋_GB2312" w:hAnsi="仿宋_GB2312" w:eastAsia="仿宋_GB2312" w:cs="仿宋_GB2312"/>
          <w:color w:val="000000" w:themeColor="text1"/>
          <w:sz w:val="32"/>
          <w:szCs w:val="32"/>
          <w:lang w:val="zh-CN"/>
          <w14:textFill>
            <w14:solidFill>
              <w14:schemeClr w14:val="tx1"/>
            </w14:solidFill>
          </w14:textFill>
        </w:rPr>
        <w:t>建设。扎实开展</w:t>
      </w:r>
      <w:r>
        <w:rPr>
          <w:rFonts w:ascii="仿宋_GB2312" w:hAnsi="仿宋_GB2312" w:eastAsia="仿宋_GB2312" w:cs="仿宋_GB2312"/>
          <w:color w:val="000000" w:themeColor="text1"/>
          <w:sz w:val="32"/>
          <w:szCs w:val="32"/>
          <w:lang w:val="zh-CN"/>
          <w14:textFill>
            <w14:solidFill>
              <w14:schemeClr w14:val="tx1"/>
            </w14:solidFill>
          </w14:textFill>
        </w:rPr>
        <w:t>0—6</w:t>
      </w:r>
      <w:r>
        <w:rPr>
          <w:rFonts w:hint="eastAsia" w:ascii="仿宋_GB2312" w:hAnsi="仿宋_GB2312" w:eastAsia="仿宋_GB2312" w:cs="仿宋_GB2312"/>
          <w:color w:val="000000" w:themeColor="text1"/>
          <w:sz w:val="32"/>
          <w:szCs w:val="32"/>
          <w:lang w:val="zh-CN"/>
          <w14:textFill>
            <w14:solidFill>
              <w14:schemeClr w14:val="tx1"/>
            </w14:solidFill>
          </w14:textFill>
        </w:rPr>
        <w:t>岁儿童健康管理工作，3岁以下儿童系统管理率、7岁以下儿童健康管理率保持在9</w:t>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zh-CN"/>
          <w14:textFill>
            <w14:solidFill>
              <w14:schemeClr w14:val="tx1"/>
            </w14:solidFill>
          </w14:textFill>
        </w:rPr>
        <w:t>％以上。推动视力、听力、肢体、智力残疾及孤独症儿童残疾筛查，完善筛查、诊断、康复、救助相衔接的工作机制。加强学校、幼儿园、托育机构的常见病预防保健能力，</w:t>
      </w:r>
      <w:r>
        <w:rPr>
          <w:rFonts w:ascii="仿宋_GB2312" w:hAnsi="仿宋_GB2312" w:eastAsia="仿宋_GB2312" w:cs="仿宋_GB2312"/>
          <w:color w:val="000000" w:themeColor="text1"/>
          <w:sz w:val="32"/>
          <w:szCs w:val="32"/>
          <w:lang w:val="zh-CN"/>
          <w14:textFill>
            <w14:solidFill>
              <w14:schemeClr w14:val="tx1"/>
            </w14:solidFill>
          </w14:textFill>
        </w:rPr>
        <w:t>按标准配备校医、托幼托育机构卫生保健人员和必要保健设备</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加强对孤儿、流动、留守以及困境儿童等重点群体的健康管理。</w:t>
      </w:r>
    </w:p>
    <w:p>
      <w:pPr>
        <w:suppressAutoHyphens w:val="0"/>
        <w:spacing w:line="60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加大儿童健康知识宣传普及力度。强化父母或其他监护人是儿童健康第一责任人的理念，依托家庭、社区、学校、幼儿园、托育机构，加大科学育儿、预防疾病、及时就医、合理用药、合理膳食、应急避险、心理健康等健康知识和技能宣传普及力度，促进儿童养成健康行为习惯，提高父母或其他监护人健康素养。构建全媒体健康知识传播机制，发挥健康科普专家库和资源库作用，推进医疗机构规范设置孕妇学校和家长课堂，鼓励医疗机构、医务人员、相关社会组织等开展健康科普活动。</w:t>
      </w:r>
      <w:r>
        <w:rPr>
          <w:rFonts w:hint="eastAsia" w:ascii="仿宋_GB2312" w:hAnsi="仿宋_GB2312" w:eastAsia="仿宋_GB2312" w:cs="仿宋_GB2312"/>
          <w:color w:val="000000" w:themeColor="text1"/>
          <w:sz w:val="32"/>
          <w:szCs w:val="32"/>
          <w:lang w:val="zh-CN"/>
          <w14:textFill>
            <w14:solidFill>
              <w14:schemeClr w14:val="tx1"/>
            </w14:solidFill>
          </w14:textFill>
        </w:rPr>
        <w:t>预防和制止儿童吸烟（含电子烟）、酗酒</w:t>
      </w:r>
      <w:r>
        <w:rPr>
          <w:rFonts w:hint="eastAsia" w:ascii="仿宋_GB2312" w:hAnsi="仿宋_GB2312" w:eastAsia="仿宋_GB2312" w:cs="仿宋_GB2312"/>
          <w:color w:val="000000" w:themeColor="text1"/>
          <w:sz w:val="32"/>
          <w:szCs w:val="32"/>
          <w14:textFill>
            <w14:solidFill>
              <w14:schemeClr w14:val="tx1"/>
            </w14:solidFill>
          </w14:textFill>
        </w:rPr>
        <w:t>，保护儿童远离毒品。</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zh-CN"/>
          <w14:textFill>
            <w14:solidFill>
              <w14:schemeClr w14:val="tx1"/>
            </w14:solidFill>
          </w14:textFill>
        </w:rPr>
        <w:t>保障新生儿安全与健康。深入实施危重新生儿筛查与评估、高危新生儿专案管理、危急重症救治、新生儿安全管理等制度。加强新生儿规范化访视，新生儿访视率保持在90%以上。</w:t>
      </w:r>
      <w:r>
        <w:rPr>
          <w:rFonts w:hint="eastAsia" w:ascii="仿宋_GB2312" w:hAnsi="仿宋_GB2312" w:eastAsia="仿宋_GB2312" w:cs="仿宋_GB2312"/>
          <w:color w:val="000000" w:themeColor="text1"/>
          <w:sz w:val="32"/>
          <w:szCs w:val="32"/>
          <w14:textFill>
            <w14:solidFill>
              <w14:schemeClr w14:val="tx1"/>
            </w14:solidFill>
          </w14:textFill>
        </w:rPr>
        <w:t>完善医疗机构产科、新生儿科质量规范化管理体系，加强新生儿保健专科建设，强化危重</w:t>
      </w:r>
      <w:r>
        <w:rPr>
          <w:rFonts w:ascii="仿宋_GB2312" w:hAnsi="仿宋_GB2312" w:eastAsia="仿宋_GB2312" w:cs="仿宋_GB2312"/>
          <w:color w:val="000000" w:themeColor="text1"/>
          <w:sz w:val="32"/>
          <w:szCs w:val="32"/>
          <w14:textFill>
            <w14:solidFill>
              <w14:schemeClr w14:val="tx1"/>
            </w14:solidFill>
          </w14:textFill>
        </w:rPr>
        <w:t>新生</w:t>
      </w:r>
      <w:r>
        <w:rPr>
          <w:rFonts w:hint="eastAsia" w:ascii="仿宋_GB2312" w:hAnsi="仿宋_GB2312" w:eastAsia="仿宋_GB2312" w:cs="仿宋_GB2312"/>
          <w:color w:val="000000" w:themeColor="text1"/>
          <w:sz w:val="32"/>
          <w:szCs w:val="32"/>
          <w14:textFill>
            <w14:solidFill>
              <w14:schemeClr w14:val="tx1"/>
            </w14:solidFill>
          </w14:textFill>
        </w:rPr>
        <w:t>儿救治保障，完善新生儿危重症救治、转诊网络，提高救</w:t>
      </w:r>
      <w:r>
        <w:rPr>
          <w:rFonts w:ascii="仿宋_GB2312" w:hAnsi="仿宋_GB2312" w:eastAsia="仿宋_GB2312" w:cs="仿宋_GB2312"/>
          <w:color w:val="000000" w:themeColor="text1"/>
          <w:sz w:val="32"/>
          <w:szCs w:val="32"/>
          <w14:textFill>
            <w14:solidFill>
              <w14:schemeClr w14:val="tx1"/>
            </w14:solidFill>
          </w14:textFill>
        </w:rPr>
        <w:t>治水平。</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（5）加强出生缺陷综合防治。建立多部门联动防治出生缺陷工作机制，落实出生缺陷三级防治</w:t>
      </w:r>
      <w:r>
        <w:rPr>
          <w:rFonts w:ascii="仿宋_GB2312" w:hAnsi="仿宋_GB2312" w:eastAsia="仿宋_GB2312" w:cs="仿宋_GB2312"/>
          <w:color w:val="000000" w:themeColor="text1"/>
          <w:sz w:val="32"/>
          <w:szCs w:val="32"/>
          <w14:textFill>
            <w14:solidFill>
              <w14:schemeClr w14:val="tx1"/>
            </w14:solidFill>
          </w14:textFill>
        </w:rPr>
        <w:t>措施</w:t>
      </w:r>
      <w:r>
        <w:rPr>
          <w:rFonts w:hint="eastAsia" w:ascii="仿宋_GB2312" w:hAnsi="仿宋_GB2312" w:eastAsia="仿宋_GB2312" w:cs="仿宋_GB2312"/>
          <w:color w:val="000000" w:themeColor="text1"/>
          <w:sz w:val="32"/>
          <w:szCs w:val="32"/>
          <w14:textFill>
            <w14:solidFill>
              <w14:schemeClr w14:val="tx1"/>
            </w14:solidFill>
          </w14:textFill>
        </w:rPr>
        <w:t>，做好覆盖婚前、孕前、孕期和新生儿期的出生缺陷综合防治。强化婚前</w:t>
      </w:r>
      <w:r>
        <w:rPr>
          <w:rFonts w:ascii="仿宋_GB2312" w:hAnsi="仿宋_GB2312" w:eastAsia="仿宋_GB2312" w:cs="仿宋_GB2312"/>
          <w:color w:val="000000" w:themeColor="text1"/>
          <w:sz w:val="32"/>
          <w:szCs w:val="32"/>
          <w14:textFill>
            <w14:solidFill>
              <w14:schemeClr w14:val="tx1"/>
            </w14:solidFill>
          </w14:textFill>
        </w:rPr>
        <w:t>孕前保健，加强产前</w:t>
      </w:r>
      <w:r>
        <w:rPr>
          <w:rFonts w:hint="eastAsia" w:ascii="仿宋_GB2312" w:hAnsi="仿宋_GB2312" w:eastAsia="仿宋_GB2312" w:cs="仿宋_GB2312"/>
          <w:color w:val="000000" w:themeColor="text1"/>
          <w:sz w:val="32"/>
          <w:szCs w:val="32"/>
          <w14:textFill>
            <w14:solidFill>
              <w14:schemeClr w14:val="tx1"/>
            </w14:solidFill>
          </w14:textFill>
        </w:rPr>
        <w:t>筛</w:t>
      </w:r>
      <w:r>
        <w:rPr>
          <w:rFonts w:ascii="仿宋_GB2312" w:hAnsi="仿宋_GB2312" w:eastAsia="仿宋_GB2312" w:cs="仿宋_GB2312"/>
          <w:color w:val="000000" w:themeColor="text1"/>
          <w:sz w:val="32"/>
          <w:szCs w:val="32"/>
          <w14:textFill>
            <w14:solidFill>
              <w14:schemeClr w14:val="tx1"/>
            </w14:solidFill>
          </w14:textFill>
        </w:rPr>
        <w:t>查和诊断，强化规范服务与质量</w:t>
      </w:r>
      <w:r>
        <w:rPr>
          <w:rFonts w:hint="eastAsia" w:ascii="仿宋_GB2312" w:hAnsi="仿宋_GB2312" w:eastAsia="仿宋_GB2312" w:cs="仿宋_GB2312"/>
          <w:color w:val="000000" w:themeColor="text1"/>
          <w:sz w:val="32"/>
          <w:szCs w:val="32"/>
          <w14:textFill>
            <w14:solidFill>
              <w14:schemeClr w14:val="tx1"/>
            </w14:solidFill>
          </w14:textFill>
        </w:rPr>
        <w:t>监管</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扩大新生儿疾病筛查病种范围，建立筛查、阳性病例召回、诊断、治疗和随访一体化服务模式，促进早诊早治。</w:t>
      </w:r>
      <w:r>
        <w:rPr>
          <w:rFonts w:ascii="仿宋_GB2312" w:hAnsi="仿宋_GB2312" w:eastAsia="仿宋_GB2312" w:cs="仿宋_GB2312"/>
          <w:color w:val="000000" w:themeColor="text1"/>
          <w:sz w:val="32"/>
          <w:szCs w:val="32"/>
          <w14:textFill>
            <w14:solidFill>
              <w14:schemeClr w14:val="tx1"/>
            </w14:solidFill>
          </w14:textFill>
        </w:rPr>
        <w:t>做</w:t>
      </w:r>
      <w:r>
        <w:rPr>
          <w:rFonts w:hint="eastAsia" w:ascii="仿宋_GB2312" w:hAnsi="仿宋_GB2312" w:eastAsia="仿宋_GB2312" w:cs="仿宋_GB2312"/>
          <w:color w:val="000000" w:themeColor="text1"/>
          <w:sz w:val="32"/>
          <w:szCs w:val="32"/>
          <w14:textFill>
            <w14:solidFill>
              <w14:schemeClr w14:val="tx1"/>
            </w14:solidFill>
          </w14:textFill>
        </w:rPr>
        <w:t>好出</w:t>
      </w:r>
      <w:r>
        <w:rPr>
          <w:rFonts w:ascii="仿宋_GB2312" w:hAnsi="仿宋_GB2312" w:eastAsia="仿宋_GB2312" w:cs="仿宋_GB2312"/>
          <w:color w:val="000000" w:themeColor="text1"/>
          <w:sz w:val="32"/>
          <w:szCs w:val="32"/>
          <w14:textFill>
            <w14:solidFill>
              <w14:schemeClr w14:val="tx1"/>
            </w14:solidFill>
          </w14:textFill>
        </w:rPr>
        <w:t>生缺陷患</w:t>
      </w:r>
      <w:r>
        <w:rPr>
          <w:rFonts w:hint="eastAsia" w:ascii="仿宋_GB2312" w:hAnsi="仿宋_GB2312" w:eastAsia="仿宋_GB2312" w:cs="仿宋_GB2312"/>
          <w:color w:val="000000" w:themeColor="text1"/>
          <w:sz w:val="32"/>
          <w:szCs w:val="32"/>
          <w14:textFill>
            <w14:solidFill>
              <w14:schemeClr w14:val="tx1"/>
            </w14:solidFill>
          </w14:textFill>
        </w:rPr>
        <w:t>儿</w:t>
      </w:r>
      <w:r>
        <w:rPr>
          <w:rFonts w:ascii="仿宋_GB2312" w:hAnsi="仿宋_GB2312" w:eastAsia="仿宋_GB2312" w:cs="仿宋_GB2312"/>
          <w:color w:val="000000" w:themeColor="text1"/>
          <w:sz w:val="32"/>
          <w:szCs w:val="32"/>
          <w14:textFill>
            <w14:solidFill>
              <w14:schemeClr w14:val="tx1"/>
            </w14:solidFill>
          </w14:textFill>
        </w:rPr>
        <w:t>基本医疗保障工作，</w:t>
      </w:r>
      <w:r>
        <w:rPr>
          <w:rFonts w:hint="eastAsia" w:ascii="仿宋_GB2312" w:hAnsi="仿宋_GB2312" w:eastAsia="仿宋_GB2312" w:cs="仿宋_GB2312"/>
          <w:color w:val="000000" w:themeColor="text1"/>
          <w:sz w:val="32"/>
          <w:szCs w:val="32"/>
          <w14:textFill>
            <w14:solidFill>
              <w14:schemeClr w14:val="tx1"/>
            </w14:solidFill>
          </w14:textFill>
        </w:rPr>
        <w:t>降低重大出生缺陷疾病医疗费用负担。加强出生缺陷监测，促进出生缺陷防治领域科技创新和成果转化。加强儿童残疾早期干预，实现早诊早治。</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（6）强化儿童疾病防治。以早产、低出生体重、贫血、肥胖、肺炎、腹泻、哮喘、视</w:t>
      </w:r>
      <w:r>
        <w:rPr>
          <w:rFonts w:ascii="仿宋_GB2312" w:hAnsi="仿宋_GB2312" w:eastAsia="仿宋_GB2312" w:cs="仿宋_GB2312"/>
          <w:color w:val="000000" w:themeColor="text1"/>
          <w:sz w:val="32"/>
          <w:szCs w:val="32"/>
          <w14:textFill>
            <w14:solidFill>
              <w14:schemeClr w14:val="tx1"/>
            </w14:solidFill>
          </w14:textFill>
        </w:rPr>
        <w:t>力不良、</w:t>
      </w:r>
      <w:r>
        <w:rPr>
          <w:rFonts w:hint="eastAsia" w:ascii="仿宋_GB2312" w:hAnsi="仿宋_GB2312" w:eastAsia="仿宋_GB2312" w:cs="仿宋_GB2312"/>
          <w:color w:val="000000" w:themeColor="text1"/>
          <w:sz w:val="32"/>
          <w:szCs w:val="32"/>
          <w14:textFill>
            <w14:solidFill>
              <w14:schemeClr w14:val="tx1"/>
            </w14:solidFill>
          </w14:textFill>
        </w:rPr>
        <w:t>龋齿、心理行为异常等儿童健康问题为重点，推广儿童疾病防治适宜技术，建立早期筛查、诊断和干预服务机制。加强儿童重大传染病、新发传染病管理以及艾滋病、梅毒、乙肝母婴阻断工作。</w:t>
      </w:r>
      <w:r>
        <w:rPr>
          <w:rFonts w:hint="eastAsia" w:ascii="仿宋_GB2312" w:hAnsi="仿宋_GB2312" w:eastAsia="仿宋_GB2312" w:cs="仿宋_GB2312"/>
          <w:color w:val="000000" w:themeColor="text1"/>
          <w:sz w:val="32"/>
          <w:szCs w:val="32"/>
          <w:lang w:val="zh-CN"/>
          <w14:textFill>
            <w14:solidFill>
              <w14:schemeClr w14:val="tx1"/>
            </w14:solidFill>
          </w14:textFill>
        </w:rPr>
        <w:t>完善儿童血液病、恶性肿瘤等重病诊疗体系、药品供应制度、综合保障制度。按照</w:t>
      </w:r>
      <w:r>
        <w:rPr>
          <w:rFonts w:ascii="仿宋_GB2312" w:hAnsi="仿宋_GB2312" w:eastAsia="仿宋_GB2312" w:cs="仿宋_GB2312"/>
          <w:color w:val="000000" w:themeColor="text1"/>
          <w:sz w:val="32"/>
          <w:szCs w:val="32"/>
          <w:lang w:val="zh-CN"/>
          <w14:textFill>
            <w14:solidFill>
              <w14:schemeClr w14:val="tx1"/>
            </w14:solidFill>
          </w14:textFill>
        </w:rPr>
        <w:t>国家制定</w:t>
      </w:r>
      <w:r>
        <w:rPr>
          <w:rFonts w:hint="eastAsia" w:ascii="仿宋_GB2312" w:hAnsi="仿宋_GB2312" w:eastAsia="仿宋_GB2312" w:cs="仿宋_GB2312"/>
          <w:color w:val="000000" w:themeColor="text1"/>
          <w:sz w:val="32"/>
          <w:szCs w:val="32"/>
          <w:lang w:val="zh-CN"/>
          <w14:textFill>
            <w14:solidFill>
              <w14:schemeClr w14:val="tx1"/>
            </w14:solidFill>
          </w14:textFill>
        </w:rPr>
        <w:t>的罕见病目录，加强罕见病管</w:t>
      </w:r>
      <w:r>
        <w:rPr>
          <w:rFonts w:hint="eastAsia" w:ascii="仿宋_GB2312" w:hAnsi="仿宋_GB2312" w:eastAsia="仿宋_GB2312" w:cs="仿宋_GB2312"/>
          <w:color w:val="000000" w:themeColor="text1"/>
          <w:sz w:val="32"/>
          <w:szCs w:val="32"/>
          <w14:textFill>
            <w14:solidFill>
              <w14:schemeClr w14:val="tx1"/>
            </w14:solidFill>
          </w14:textFill>
        </w:rPr>
        <w:t>理。推广</w:t>
      </w:r>
      <w:r>
        <w:rPr>
          <w:rFonts w:hint="eastAsia" w:ascii="仿宋_GB2312" w:hAnsi="仿宋_GB2312" w:eastAsia="仿宋_GB2312" w:cs="仿宋_GB2312"/>
          <w:color w:val="000000" w:themeColor="text1"/>
          <w:sz w:val="32"/>
          <w:szCs w:val="32"/>
          <w:lang w:val="zh-CN"/>
          <w14:textFill>
            <w14:solidFill>
              <w14:schemeClr w14:val="tx1"/>
            </w14:solidFill>
          </w14:textFill>
        </w:rPr>
        <w:t>应用中医儿科适宜技术。</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（7）加强</w:t>
      </w:r>
      <w:r>
        <w:rPr>
          <w:rFonts w:hint="eastAsia" w:ascii="仿宋_GB2312" w:hAnsi="仿宋_GB2312" w:eastAsia="仿宋_GB2312" w:cs="仿宋_GB2312"/>
          <w:color w:val="000000" w:themeColor="text1"/>
          <w:sz w:val="32"/>
          <w:szCs w:val="32"/>
          <w:lang w:val="zh-CN"/>
          <w14:textFill>
            <w14:solidFill>
              <w14:schemeClr w14:val="tx1"/>
            </w14:solidFill>
          </w14:textFill>
        </w:rPr>
        <w:t>儿童免疫规划疫苗管理和</w:t>
      </w:r>
      <w:r>
        <w:rPr>
          <w:rFonts w:hint="eastAsia" w:ascii="仿宋_GB2312" w:hAnsi="仿宋_GB2312" w:eastAsia="仿宋_GB2312" w:cs="仿宋_GB2312"/>
          <w:color w:val="000000" w:themeColor="text1"/>
          <w:sz w:val="32"/>
          <w:szCs w:val="32"/>
          <w14:textFill>
            <w14:solidFill>
              <w14:schemeClr w14:val="tx1"/>
            </w14:solidFill>
          </w14:textFill>
        </w:rPr>
        <w:t>预防接种。进一步加强预防接种体系建设，保持高水平基础免疫接种率，及时跟进国家免疫规划疫苗种类动态调整，维持较高水平的国家免疫规划疫苗接种率。强化对疫苗流通和预防接种管理，</w:t>
      </w:r>
      <w:r>
        <w:rPr>
          <w:rFonts w:hint="eastAsia" w:ascii="仿宋_GB2312" w:hAnsi="仿宋_GB2312" w:eastAsia="仿宋_GB2312" w:cs="仿宋_GB2312"/>
          <w:color w:val="000000" w:themeColor="text1"/>
          <w:sz w:val="32"/>
          <w:szCs w:val="32"/>
          <w:lang w:val="zh-CN"/>
          <w14:textFill>
            <w14:solidFill>
              <w14:schemeClr w14:val="tx1"/>
            </w14:solidFill>
          </w14:textFill>
        </w:rPr>
        <w:t>完善</w:t>
      </w:r>
      <w:r>
        <w:rPr>
          <w:rFonts w:hint="eastAsia" w:ascii="仿宋_GB2312" w:hAnsi="仿宋_GB2312" w:eastAsia="仿宋_GB2312" w:cs="仿宋_GB2312"/>
          <w:color w:val="000000" w:themeColor="text1"/>
          <w:sz w:val="32"/>
          <w:szCs w:val="32"/>
          <w14:textFill>
            <w14:solidFill>
              <w14:schemeClr w14:val="tx1"/>
            </w14:solidFill>
          </w14:textFill>
        </w:rPr>
        <w:t>预防接种异常反应补偿相关政策。</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改善儿童营养状况。关注儿童生命早期1000天营养，开展孕前、孕产期营养与膳食评价指导。强化爱婴医院管理，倡导0—6个月婴儿纯母乳喂养，普及6月龄以上儿童合理添加辅食的知识技能。加强母婴设施建设，把</w:t>
      </w:r>
      <w:r>
        <w:rPr>
          <w:rFonts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14:textFill>
            <w14:solidFill>
              <w14:schemeClr w14:val="tx1"/>
            </w14:solidFill>
          </w14:textFill>
        </w:rPr>
        <w:t>公共场所和工作场所建母婴</w:t>
      </w:r>
      <w:r>
        <w:rPr>
          <w:rFonts w:ascii="仿宋_GB2312" w:hAnsi="仿宋_GB2312" w:eastAsia="仿宋_GB2312" w:cs="仿宋_GB2312"/>
          <w:color w:val="000000" w:themeColor="text1"/>
          <w:sz w:val="32"/>
          <w:szCs w:val="32"/>
          <w14:textFill>
            <w14:solidFill>
              <w14:schemeClr w14:val="tx1"/>
            </w14:solidFill>
          </w14:textFill>
        </w:rPr>
        <w:t>室纳入为民办实事内容</w:t>
      </w:r>
      <w:r>
        <w:rPr>
          <w:rFonts w:hint="eastAsia" w:ascii="仿宋_GB2312" w:hAnsi="仿宋_GB2312" w:eastAsia="仿宋_GB2312" w:cs="仿宋_GB2312"/>
          <w:color w:val="000000" w:themeColor="text1"/>
          <w:sz w:val="32"/>
          <w:szCs w:val="32"/>
          <w14:textFill>
            <w14:solidFill>
              <w14:schemeClr w14:val="tx1"/>
            </w14:solidFill>
          </w14:textFill>
        </w:rPr>
        <w:t>。加强儿童生长发育监测和评价，加强个性化营养指导，保障儿童充足营养。加强食育教育，引导科学均衡饮食、吃动平衡，预防控制儿童超重和肥胖。加强学校、幼儿园、托育机构的营养健康教育和膳食指导。完善落实食品标签体系。</w:t>
      </w:r>
    </w:p>
    <w:p>
      <w:pPr>
        <w:suppressAutoHyphens w:val="0"/>
        <w:spacing w:line="600" w:lineRule="exact"/>
        <w:ind w:firstLine="640" w:firstLineChars="200"/>
        <w:contextualSpacing/>
        <w:rPr>
          <w:rFonts w:ascii="仿宋"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lang w:val="zh-CN"/>
          <w14:textFill>
            <w14:solidFill>
              <w14:schemeClr w14:val="tx1"/>
            </w14:solidFill>
          </w14:textFill>
        </w:rPr>
        <w:t>有效控制儿童近视。加强视力</w:t>
      </w:r>
      <w:r>
        <w:rPr>
          <w:rFonts w:ascii="仿宋_GB2312" w:hAnsi="仿宋_GB2312" w:eastAsia="仿宋_GB2312" w:cs="仿宋_GB2312"/>
          <w:color w:val="000000" w:themeColor="text1"/>
          <w:sz w:val="32"/>
          <w:szCs w:val="32"/>
          <w:lang w:val="zh-CN"/>
          <w14:textFill>
            <w14:solidFill>
              <w14:schemeClr w14:val="tx1"/>
            </w14:solidFill>
          </w14:textFill>
        </w:rPr>
        <w:t>健康教育，引导学生自觉爱眼护眼，</w:t>
      </w:r>
      <w:r>
        <w:rPr>
          <w:rFonts w:hint="eastAsia" w:ascii="仿宋_GB2312" w:hAnsi="仿宋_GB2312" w:eastAsia="仿宋_GB2312" w:cs="仿宋_GB2312"/>
          <w:color w:val="000000" w:themeColor="text1"/>
          <w:sz w:val="32"/>
          <w:szCs w:val="32"/>
          <w14:textFill>
            <w14:solidFill>
              <w14:schemeClr w14:val="tx1"/>
            </w14:solidFill>
          </w14:textFill>
        </w:rPr>
        <w:t>减轻</w:t>
      </w:r>
      <w:r>
        <w:rPr>
          <w:rFonts w:hint="eastAsia" w:ascii="仿宋_GB2312" w:hAnsi="仿宋_GB2312" w:eastAsia="仿宋_GB2312" w:cs="仿宋_GB2312"/>
          <w:color w:val="000000" w:themeColor="text1"/>
          <w:sz w:val="32"/>
          <w:szCs w:val="32"/>
          <w:lang w:val="zh-CN"/>
          <w14:textFill>
            <w14:solidFill>
              <w14:schemeClr w14:val="tx1"/>
            </w14:solidFill>
          </w14:textFill>
        </w:rPr>
        <w:t>孩子学业负担、监督</w:t>
      </w:r>
      <w:r>
        <w:rPr>
          <w:rFonts w:ascii="仿宋_GB2312" w:hAnsi="仿宋_GB2312" w:eastAsia="仿宋_GB2312" w:cs="仿宋_GB2312"/>
          <w:color w:val="000000" w:themeColor="text1"/>
          <w:sz w:val="32"/>
          <w:szCs w:val="32"/>
          <w:lang w:val="zh-CN"/>
          <w14:textFill>
            <w14:solidFill>
              <w14:schemeClr w14:val="tx1"/>
            </w14:solidFill>
          </w14:textFill>
        </w:rPr>
        <w:t>学生</w:t>
      </w:r>
      <w:r>
        <w:rPr>
          <w:rFonts w:hint="eastAsia" w:ascii="仿宋_GB2312" w:hAnsi="仿宋_GB2312" w:eastAsia="仿宋_GB2312" w:cs="仿宋_GB2312"/>
          <w:color w:val="000000" w:themeColor="text1"/>
          <w:sz w:val="32"/>
          <w:szCs w:val="32"/>
          <w:lang w:val="zh-CN"/>
          <w14:textFill>
            <w14:solidFill>
              <w14:schemeClr w14:val="tx1"/>
            </w14:solidFill>
          </w14:textFill>
        </w:rPr>
        <w:t>做好眼保健操，纠正不</w:t>
      </w:r>
      <w:r>
        <w:rPr>
          <w:rFonts w:ascii="仿宋_GB2312" w:hAnsi="仿宋_GB2312" w:eastAsia="仿宋_GB2312" w:cs="仿宋_GB2312"/>
          <w:color w:val="000000" w:themeColor="text1"/>
          <w:sz w:val="32"/>
          <w:szCs w:val="32"/>
          <w:lang w:val="zh-CN"/>
          <w14:textFill>
            <w14:solidFill>
              <w14:schemeClr w14:val="tx1"/>
            </w14:solidFill>
          </w14:textFill>
        </w:rPr>
        <w:t>良读写姿势</w:t>
      </w:r>
      <w:r>
        <w:rPr>
          <w:rFonts w:hint="eastAsia" w:ascii="仿宋_GB2312" w:hAnsi="仿宋_GB2312" w:eastAsia="仿宋_GB2312" w:cs="仿宋_GB2312"/>
          <w:color w:val="000000" w:themeColor="text1"/>
          <w:sz w:val="32"/>
          <w:szCs w:val="32"/>
          <w:lang w:val="zh-CN"/>
          <w14:textFill>
            <w14:solidFill>
              <w14:schemeClr w14:val="tx1"/>
            </w14:solidFill>
          </w14:textFill>
        </w:rPr>
        <w:t>。保障学校、</w:t>
      </w:r>
      <w:r>
        <w:rPr>
          <w:rFonts w:hint="eastAsia" w:ascii="仿宋_GB2312" w:hAnsi="仿宋_GB2312" w:eastAsia="仿宋_GB2312" w:cs="仿宋_GB2312"/>
          <w:color w:val="000000" w:themeColor="text1"/>
          <w:sz w:val="32"/>
          <w:szCs w:val="32"/>
          <w14:textFill>
            <w14:solidFill>
              <w14:schemeClr w14:val="tx1"/>
            </w14:solidFill>
          </w14:textFill>
        </w:rPr>
        <w:t>幼儿园、托育机构室内采光、照明、课桌椅、黑板等达到规定标准，儿童每天接触户外自然光不少于1小时。帮助儿童按需科学合理使用手机等电子产品，</w:t>
      </w:r>
      <w:r>
        <w:rPr>
          <w:rFonts w:ascii="仿宋_GB2312" w:hAnsi="仿宋_GB2312" w:eastAsia="仿宋_GB2312" w:cs="仿宋_GB2312"/>
          <w:color w:val="000000" w:themeColor="text1"/>
          <w:sz w:val="32"/>
          <w:szCs w:val="32"/>
          <w14:textFill>
            <w14:solidFill>
              <w14:schemeClr w14:val="tx1"/>
            </w14:solidFill>
          </w14:textFill>
        </w:rPr>
        <w:t>确保手机有限带入校园</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禁止带入课堂。提高眼健康服务能力，加强防治近视科研成果与技术的应用</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建设儿童眼健康监测</w:t>
      </w:r>
      <w:r>
        <w:rPr>
          <w:rFonts w:hint="eastAsia" w:ascii="仿宋_GB2312" w:hAnsi="仿宋_GB2312" w:eastAsia="仿宋_GB2312" w:cs="仿宋_GB2312"/>
          <w:color w:val="000000" w:themeColor="text1"/>
          <w:sz w:val="32"/>
          <w:szCs w:val="32"/>
          <w14:textFill>
            <w14:solidFill>
              <w14:schemeClr w14:val="tx1"/>
            </w14:solidFill>
          </w14:textFill>
        </w:rPr>
        <w:t>系统</w:t>
      </w:r>
      <w:r>
        <w:rPr>
          <w:rFonts w:ascii="仿宋_GB2312" w:hAnsi="仿宋_GB2312" w:eastAsia="仿宋_GB2312" w:cs="仿宋_GB2312"/>
          <w:color w:val="000000" w:themeColor="text1"/>
          <w:sz w:val="32"/>
          <w:szCs w:val="32"/>
          <w14:textFill>
            <w14:solidFill>
              <w14:schemeClr w14:val="tx1"/>
            </w14:solidFill>
          </w14:textFill>
        </w:rPr>
        <w:t>，开展儿童</w:t>
      </w:r>
      <w:r>
        <w:rPr>
          <w:rFonts w:hint="eastAsia" w:ascii="仿宋_GB2312" w:hAnsi="仿宋_GB2312" w:eastAsia="仿宋_GB2312" w:cs="仿宋_GB2312"/>
          <w:color w:val="000000" w:themeColor="text1"/>
          <w:sz w:val="32"/>
          <w:szCs w:val="32"/>
          <w14:textFill>
            <w14:solidFill>
              <w14:schemeClr w14:val="tx1"/>
            </w14:solidFill>
          </w14:textFill>
        </w:rPr>
        <w:t>视</w:t>
      </w:r>
      <w:r>
        <w:rPr>
          <w:rFonts w:ascii="仿宋_GB2312" w:hAnsi="仿宋_GB2312" w:eastAsia="仿宋_GB2312" w:cs="仿宋_GB2312"/>
          <w:color w:val="000000" w:themeColor="text1"/>
          <w:sz w:val="32"/>
          <w:szCs w:val="32"/>
          <w14:textFill>
            <w14:solidFill>
              <w14:schemeClr w14:val="tx1"/>
            </w14:solidFill>
          </w14:textFill>
        </w:rPr>
        <w:t>力年度监测</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加强</w:t>
      </w:r>
      <w:r>
        <w:rPr>
          <w:rFonts w:hint="eastAsia" w:ascii="仿宋_GB2312" w:hAnsi="仿宋_GB2312" w:eastAsia="仿宋_GB2312" w:cs="仿宋_GB2312"/>
          <w:color w:val="000000" w:themeColor="text1"/>
          <w:sz w:val="32"/>
          <w:szCs w:val="32"/>
          <w14:textFill>
            <w14:solidFill>
              <w14:schemeClr w14:val="tx1"/>
            </w14:solidFill>
          </w14:textFill>
        </w:rPr>
        <w:t>0</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岁儿</w:t>
      </w:r>
      <w:r>
        <w:rPr>
          <w:rFonts w:ascii="仿宋_GB2312" w:hAnsi="仿宋_GB2312" w:eastAsia="仿宋_GB2312" w:cs="仿宋_GB2312"/>
          <w:color w:val="000000" w:themeColor="text1"/>
          <w:sz w:val="32"/>
          <w:szCs w:val="32"/>
          <w14:textFill>
            <w14:solidFill>
              <w14:schemeClr w14:val="tx1"/>
            </w14:solidFill>
          </w14:textFill>
        </w:rPr>
        <w:t>童眼保健及视力检查，推</w:t>
      </w:r>
      <w:r>
        <w:rPr>
          <w:rFonts w:hint="eastAsia" w:ascii="仿宋_GB2312" w:hAnsi="仿宋_GB2312" w:eastAsia="仿宋_GB2312" w:cs="仿宋_GB2312"/>
          <w:color w:val="000000" w:themeColor="text1"/>
          <w:sz w:val="32"/>
          <w:szCs w:val="32"/>
          <w14:textFill>
            <w14:solidFill>
              <w14:schemeClr w14:val="tx1"/>
            </w14:solidFill>
          </w14:textFill>
        </w:rPr>
        <w:t>动</w:t>
      </w:r>
      <w:r>
        <w:rPr>
          <w:rFonts w:ascii="仿宋_GB2312" w:hAnsi="仿宋_GB2312" w:eastAsia="仿宋_GB2312" w:cs="仿宋_GB2312"/>
          <w:color w:val="000000" w:themeColor="text1"/>
          <w:sz w:val="32"/>
          <w:szCs w:val="32"/>
          <w14:textFill>
            <w14:solidFill>
              <w14:schemeClr w14:val="tx1"/>
            </w14:solidFill>
          </w14:textFill>
        </w:rPr>
        <w:t>建立儿童视力电子档案</w:t>
      </w:r>
      <w:r>
        <w:rPr>
          <w:rFonts w:hint="eastAsia" w:ascii="仿宋_GB2312" w:hAnsi="仿宋_GB2312" w:eastAsia="仿宋_GB2312" w:cs="仿宋_GB2312"/>
          <w:color w:val="000000" w:themeColor="text1"/>
          <w:sz w:val="32"/>
          <w:szCs w:val="32"/>
          <w14:textFill>
            <w14:solidFill>
              <w14:schemeClr w14:val="tx1"/>
            </w14:solidFill>
          </w14:textFill>
        </w:rPr>
        <w:t>。减少</w:t>
      </w:r>
      <w:r>
        <w:rPr>
          <w:rFonts w:ascii="仿宋_GB2312" w:hAnsi="仿宋_GB2312" w:eastAsia="仿宋_GB2312" w:cs="仿宋_GB2312"/>
          <w:color w:val="000000" w:themeColor="text1"/>
          <w:sz w:val="32"/>
          <w:szCs w:val="32"/>
          <w14:textFill>
            <w14:solidFill>
              <w14:schemeClr w14:val="tx1"/>
            </w14:solidFill>
          </w14:textFill>
        </w:rPr>
        <w:t>新发近视</w:t>
      </w:r>
      <w:r>
        <w:rPr>
          <w:rFonts w:hint="eastAsia" w:ascii="仿宋_GB2312" w:hAnsi="仿宋_GB2312" w:eastAsia="仿宋_GB2312" w:cs="仿宋_GB2312"/>
          <w:color w:val="000000" w:themeColor="text1"/>
          <w:sz w:val="32"/>
          <w:szCs w:val="32"/>
          <w14:textFill>
            <w14:solidFill>
              <w14:schemeClr w14:val="tx1"/>
            </w14:solidFill>
          </w14:textFill>
        </w:rPr>
        <w:t>率</w:t>
      </w:r>
      <w:r>
        <w:rPr>
          <w:rFonts w:ascii="仿宋_GB2312" w:hAnsi="仿宋_GB2312" w:eastAsia="仿宋_GB2312" w:cs="仿宋_GB2312"/>
          <w:color w:val="000000" w:themeColor="text1"/>
          <w:sz w:val="32"/>
          <w:szCs w:val="32"/>
          <w14:textFill>
            <w14:solidFill>
              <w14:schemeClr w14:val="tx1"/>
            </w14:solidFill>
          </w14:textFill>
        </w:rPr>
        <w:t>，减缓近视进展，降低重</w:t>
      </w:r>
      <w:r>
        <w:rPr>
          <w:rFonts w:hint="eastAsia" w:ascii="仿宋_GB2312" w:hAnsi="仿宋_GB2312" w:eastAsia="仿宋_GB2312" w:cs="仿宋_GB2312"/>
          <w:color w:val="000000" w:themeColor="text1"/>
          <w:sz w:val="32"/>
          <w:szCs w:val="32"/>
          <w14:textFill>
            <w14:solidFill>
              <w14:schemeClr w14:val="tx1"/>
            </w14:solidFill>
          </w14:textFill>
        </w:rPr>
        <w:t>度</w:t>
      </w:r>
      <w:r>
        <w:rPr>
          <w:rFonts w:ascii="仿宋_GB2312" w:hAnsi="仿宋_GB2312" w:eastAsia="仿宋_GB2312" w:cs="仿宋_GB2312"/>
          <w:color w:val="000000" w:themeColor="text1"/>
          <w:sz w:val="32"/>
          <w:szCs w:val="32"/>
          <w14:textFill>
            <w14:solidFill>
              <w14:schemeClr w14:val="tx1"/>
            </w14:solidFill>
          </w14:textFill>
        </w:rPr>
        <w:t>近视率</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lang w:val="zh-CN"/>
          <w14:textFill>
            <w14:solidFill>
              <w14:schemeClr w14:val="tx1"/>
            </w14:solidFill>
          </w14:textFill>
        </w:rPr>
        <w:t>）加强儿童口腔保健。</w:t>
      </w:r>
      <w:r>
        <w:rPr>
          <w:rFonts w:hint="eastAsia" w:ascii="仿宋_GB2312" w:hAnsi="仿宋_GB2312" w:eastAsia="仿宋_GB2312" w:cs="仿宋_GB2312"/>
          <w:color w:val="000000" w:themeColor="text1"/>
          <w:sz w:val="32"/>
          <w:szCs w:val="32"/>
          <w14:textFill>
            <w14:solidFill>
              <w14:schemeClr w14:val="tx1"/>
            </w14:solidFill>
          </w14:textFill>
        </w:rPr>
        <w:t>开展口腔健康教育，</w:t>
      </w:r>
      <w:r>
        <w:rPr>
          <w:rFonts w:hint="eastAsia" w:ascii="仿宋_GB2312" w:hAnsi="仿宋_GB2312" w:eastAsia="仿宋_GB2312" w:cs="仿宋_GB2312"/>
          <w:color w:val="000000" w:themeColor="text1"/>
          <w:sz w:val="32"/>
          <w:szCs w:val="32"/>
          <w:lang w:val="zh-CN"/>
          <w14:textFill>
            <w14:solidFill>
              <w14:schemeClr w14:val="tx1"/>
            </w14:solidFill>
          </w14:textFill>
        </w:rPr>
        <w:t>提高口腔健康教育的可及性，培养儿童勤刷牙、勤漱口等卫生习惯，形成自主自律的健康生活方式。开展“减糖”专项行动，减少儿童含糖饮料和高糖食品摄入。</w:t>
      </w:r>
      <w:r>
        <w:rPr>
          <w:rFonts w:hint="eastAsia" w:ascii="仿宋_GB2312" w:hAnsi="仿宋_GB2312" w:eastAsia="仿宋_GB2312" w:cs="仿宋_GB2312"/>
          <w:color w:val="000000" w:themeColor="text1"/>
          <w:sz w:val="32"/>
          <w:szCs w:val="32"/>
          <w14:textFill>
            <w14:solidFill>
              <w14:schemeClr w14:val="tx1"/>
            </w14:solidFill>
          </w14:textFill>
        </w:rPr>
        <w:t>推广实施儿童口腔健康检查、窝沟封闭、局部用氟等口腔疾病干预模式，推动将儿童口腔疾病综合干预作为政府民生工程，实现适龄儿童全覆盖。</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lang w:val="zh-CN"/>
          <w14:textFill>
            <w14:solidFill>
              <w14:schemeClr w14:val="tx1"/>
            </w14:solidFill>
          </w14:textFill>
        </w:rPr>
        <w:t>增强儿童身体素质。</w:t>
      </w:r>
      <w:r>
        <w:rPr>
          <w:rFonts w:hint="eastAsia" w:ascii="仿宋_GB2312" w:hAnsi="仿宋_GB2312" w:eastAsia="仿宋_GB2312" w:cs="仿宋_GB2312"/>
          <w:color w:val="000000" w:themeColor="text1"/>
          <w:sz w:val="32"/>
          <w:szCs w:val="32"/>
          <w14:textFill>
            <w14:solidFill>
              <w14:schemeClr w14:val="tx1"/>
            </w14:solidFill>
          </w14:textFill>
        </w:rPr>
        <w:t>全面实施国家学生体质健康标准，完善学生健康体检和体质监测制度。大力开展健康学校建设，深化学校体育、健康教育教学改革，普遍开设体育和健康教育课程，根据学生的成长规律和特点，分阶段确定健康教育内容并纳入评价范围，做到教学计划、教学教材、课时、师资“四到位”。支持儿童参加各类全民健身活动赛事，培养儿童良好运动习惯，保障每天累计至少1小时中等及以上强度的运动，熟练掌握1项以上受益终身的运动技能。鼓励公共体育场馆设施免费或优惠向周边学校和儿童开放，落实学校体育场馆设施在课余和节假日向学生开放政策，指导家庭合理安排儿童作息，保证每天小学生10小时、初中生9小时、高中生8小时睡眠时间。</w:t>
      </w:r>
    </w:p>
    <w:p>
      <w:pPr>
        <w:suppressAutoHyphens w:val="0"/>
        <w:overflowPunct w:val="0"/>
        <w:spacing w:line="600" w:lineRule="exact"/>
        <w:ind w:firstLine="640" w:firstLineChars="200"/>
        <w:rPr>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lang w:val="zh-CN"/>
          <w14:textFill>
            <w14:solidFill>
              <w14:schemeClr w14:val="tx1"/>
            </w14:solidFill>
          </w14:textFill>
        </w:rPr>
        <w:t>加强儿童心理健康服务。</w:t>
      </w:r>
      <w:r>
        <w:rPr>
          <w:rFonts w:hint="eastAsia" w:ascii="仿宋_GB2312" w:hAnsi="仿宋_GB2312" w:eastAsia="仿宋_GB2312" w:cs="仿宋_GB2312"/>
          <w:color w:val="000000" w:themeColor="text1"/>
          <w:sz w:val="32"/>
          <w:szCs w:val="32"/>
          <w14:textFill>
            <w14:solidFill>
              <w14:schemeClr w14:val="tx1"/>
            </w14:solidFill>
          </w14:textFill>
        </w:rPr>
        <w:t>推进构建儿童心理健康教育、咨询服务、评估治疗、危机干预和心理援助公共服务网络，增强儿童心理健康服务可及性。整合优化医院、学校和社区心理健康机构，发挥</w:t>
      </w:r>
      <w:r>
        <w:rPr>
          <w:rFonts w:ascii="仿宋_GB2312" w:hAnsi="仿宋_GB2312" w:eastAsia="仿宋_GB2312" w:cs="仿宋_GB2312"/>
          <w:color w:val="000000" w:themeColor="text1"/>
          <w:sz w:val="32"/>
          <w:szCs w:val="32"/>
          <w14:textFill>
            <w14:solidFill>
              <w14:schemeClr w14:val="tx1"/>
            </w14:solidFill>
          </w14:textFill>
        </w:rPr>
        <w:t>12338</w:t>
      </w:r>
      <w:r>
        <w:rPr>
          <w:rFonts w:hint="eastAsia" w:ascii="仿宋_GB2312" w:hAnsi="仿宋_GB2312" w:eastAsia="仿宋_GB2312" w:cs="仿宋_GB2312"/>
          <w:color w:val="000000" w:themeColor="text1"/>
          <w:sz w:val="32"/>
          <w:szCs w:val="32"/>
          <w14:textFill>
            <w14:solidFill>
              <w14:schemeClr w14:val="tx1"/>
            </w14:solidFill>
          </w14:textFill>
        </w:rPr>
        <w:t>、“未保</w:t>
      </w:r>
      <w:r>
        <w:rPr>
          <w:rFonts w:ascii="仿宋_GB2312" w:hAnsi="仿宋_GB2312" w:eastAsia="仿宋_GB2312" w:cs="仿宋_GB2312"/>
          <w:color w:val="000000" w:themeColor="text1"/>
          <w:sz w:val="32"/>
          <w:szCs w:val="32"/>
          <w14:textFill>
            <w14:solidFill>
              <w14:schemeClr w14:val="tx1"/>
            </w14:solidFill>
          </w14:textFill>
        </w:rPr>
        <w:t>专线</w:t>
      </w:r>
      <w:r>
        <w:rPr>
          <w:rFonts w:hint="eastAsia" w:ascii="仿宋_GB2312" w:hAnsi="仿宋_GB2312" w:eastAsia="仿宋_GB2312" w:cs="仿宋_GB2312"/>
          <w:color w:val="000000" w:themeColor="text1"/>
          <w:sz w:val="32"/>
          <w:szCs w:val="32"/>
          <w14:textFill>
            <w14:solidFill>
              <w14:schemeClr w14:val="tx1"/>
            </w14:solidFill>
          </w14:textFill>
        </w:rPr>
        <w:t>”等社会热线的作用，加强对儿童心理问题的早期发现与早期干预。精神专科医院开设儿童青少年心理门诊，中</w:t>
      </w:r>
      <w:r>
        <w:rPr>
          <w:rFonts w:ascii="仿宋_GB2312" w:hAnsi="仿宋_GB2312" w:eastAsia="仿宋_GB2312" w:cs="仿宋_GB2312"/>
          <w:color w:val="000000" w:themeColor="text1"/>
          <w:sz w:val="32"/>
          <w:szCs w:val="32"/>
          <w14:textFill>
            <w14:solidFill>
              <w14:schemeClr w14:val="tx1"/>
            </w14:solidFill>
          </w14:textFill>
        </w:rPr>
        <w:t>小学普遍建</w:t>
      </w:r>
      <w:r>
        <w:rPr>
          <w:rFonts w:hint="eastAsia" w:ascii="仿宋_GB2312" w:hAnsi="仿宋_GB2312" w:eastAsia="仿宋_GB2312" w:cs="仿宋_GB2312"/>
          <w:color w:val="000000" w:themeColor="text1"/>
          <w:sz w:val="32"/>
          <w:szCs w:val="32"/>
          <w14:textFill>
            <w14:solidFill>
              <w14:schemeClr w14:val="tx1"/>
            </w14:solidFill>
          </w14:textFill>
        </w:rPr>
        <w:t>设</w:t>
      </w:r>
      <w:r>
        <w:rPr>
          <w:rFonts w:ascii="仿宋_GB2312" w:hAnsi="仿宋_GB2312" w:eastAsia="仿宋_GB2312" w:cs="仿宋_GB2312"/>
          <w:color w:val="000000" w:themeColor="text1"/>
          <w:sz w:val="32"/>
          <w:szCs w:val="32"/>
          <w14:textFill>
            <w14:solidFill>
              <w14:schemeClr w14:val="tx1"/>
            </w14:solidFill>
          </w14:textFill>
        </w:rPr>
        <w:t>心理辅导室，</w:t>
      </w:r>
      <w:r>
        <w:rPr>
          <w:rFonts w:hint="eastAsia" w:ascii="仿宋_GB2312" w:hAnsi="仿宋_GB2312" w:eastAsia="仿宋_GB2312" w:cs="仿宋_GB2312"/>
          <w:color w:val="000000" w:themeColor="text1"/>
          <w:sz w:val="32"/>
          <w:szCs w:val="32"/>
          <w14:textFill>
            <w14:solidFill>
              <w14:schemeClr w14:val="tx1"/>
            </w14:solidFill>
          </w14:textFill>
        </w:rPr>
        <w:t>配备专兼职心理健康教育教师，</w:t>
      </w:r>
      <w:r>
        <w:rPr>
          <w:rFonts w:ascii="仿宋_GB2312" w:hAnsi="仿宋_GB2312" w:eastAsia="仿宋_GB2312" w:cs="仿宋_GB2312"/>
          <w:color w:val="000000" w:themeColor="text1"/>
          <w:sz w:val="32"/>
          <w:szCs w:val="32"/>
          <w14:textFill>
            <w14:solidFill>
              <w14:schemeClr w14:val="tx1"/>
            </w14:solidFill>
          </w14:textFill>
        </w:rPr>
        <w:t>实现心理咨询服务全覆盖</w:t>
      </w:r>
      <w:r>
        <w:rPr>
          <w:rFonts w:hint="eastAsia" w:ascii="仿宋_GB2312" w:hAnsi="仿宋_GB2312" w:eastAsia="仿宋_GB2312" w:cs="仿宋_GB2312"/>
          <w:color w:val="000000" w:themeColor="text1"/>
          <w:sz w:val="32"/>
          <w:szCs w:val="32"/>
          <w14:textFill>
            <w14:solidFill>
              <w14:schemeClr w14:val="tx1"/>
            </w14:solidFill>
          </w14:textFill>
        </w:rPr>
        <w:t>。大力培养儿童心理健康服务人才，鼓励专业社会工作者面向学校、家庭提供心理健康服务，提高教师、家长预防和识别儿童心理行为问题的能力。面向儿童开展生命教育和挫折教育，培养儿童珍爱生命的意识和自我情绪调适能力。关注和满足孤儿、事实无人抚养儿童、农村留守儿童和其他困境儿童的心理发展需要。</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（13）为儿童提供性教育和性健康服务。引导和支持父母或</w:t>
      </w:r>
      <w:r>
        <w:rPr>
          <w:rFonts w:ascii="仿宋_GB2312" w:hAnsi="仿宋_GB2312" w:eastAsia="仿宋_GB2312" w:cs="仿宋_GB2312"/>
          <w:color w:val="000000" w:themeColor="text1"/>
          <w:sz w:val="32"/>
          <w:szCs w:val="32"/>
          <w14:textFill>
            <w14:solidFill>
              <w14:schemeClr w14:val="tx1"/>
            </w14:solidFill>
          </w14:textFill>
        </w:rPr>
        <w:t>其他监护人</w:t>
      </w:r>
      <w:r>
        <w:rPr>
          <w:rFonts w:hint="eastAsia" w:ascii="仿宋_GB2312" w:hAnsi="仿宋_GB2312" w:eastAsia="仿宋_GB2312" w:cs="仿宋_GB2312"/>
          <w:color w:val="000000" w:themeColor="text1"/>
          <w:sz w:val="32"/>
          <w:szCs w:val="32"/>
          <w14:textFill>
            <w14:solidFill>
              <w14:schemeClr w14:val="tx1"/>
            </w14:solidFill>
          </w14:textFill>
        </w:rPr>
        <w:t>根据儿童年龄特点开展性教育，引导儿童树立正确的性别观念和法治观念，正确认识两性关系。将性教育纳入义务教育质量监测，加强防范性侵害和性骚扰教育，提高儿童自我保护的意识和能力。促进学校与医疗机构密切合作，提供适宜儿童的性健康服务，保护就诊儿童隐私。探索设立儿童性健康咨询热线。</w:t>
      </w:r>
    </w:p>
    <w:p>
      <w:pPr>
        <w:suppressAutoHyphens w:val="0"/>
        <w:overflowPunct w:val="0"/>
        <w:spacing w:line="600" w:lineRule="exact"/>
        <w:ind w:firstLine="640" w:firstLineChars="200"/>
        <w:outlineLvl w:val="1"/>
        <w:rPr>
          <w:rFonts w:ascii="Times New Roman" w:hAnsi="Times New Roman" w:eastAsia="仿宋_GB2312"/>
          <w:color w:val="000000" w:themeColor="text1"/>
          <w:sz w:val="32"/>
          <w:szCs w:val="32"/>
          <w14:textFill>
            <w14:solidFill>
              <w14:schemeClr w14:val="tx1"/>
            </w14:solidFill>
          </w14:textFill>
        </w:rPr>
      </w:pPr>
      <w:bookmarkStart w:id="35" w:name="_Toc1396297257"/>
      <w:r>
        <w:rPr>
          <w:rFonts w:ascii="Times New Roman" w:hAnsi="楷体" w:eastAsia="楷体_GB2312"/>
          <w:color w:val="000000" w:themeColor="text1"/>
          <w:sz w:val="32"/>
          <w:szCs w:val="32"/>
          <w14:textFill>
            <w14:solidFill>
              <w14:schemeClr w14:val="tx1"/>
            </w14:solidFill>
          </w14:textFill>
        </w:rPr>
        <w:t>（二）儿童与安全</w:t>
      </w:r>
      <w:bookmarkEnd w:id="35"/>
      <w:r>
        <w:rPr>
          <w:rFonts w:hint="eastAsia" w:ascii="Times New Roman" w:hAnsi="楷体" w:eastAsia="楷体_GB2312"/>
          <w:color w:val="000000" w:themeColor="text1"/>
          <w:sz w:val="32"/>
          <w:szCs w:val="32"/>
          <w14:textFill>
            <w14:solidFill>
              <w14:schemeClr w14:val="tx1"/>
            </w14:solidFill>
          </w14:textFill>
        </w:rPr>
        <w:t>。</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 主要目标。</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（1）减少儿童伤害所致死亡和残疾。儿童意外伤害死亡率以2020年为基数下降20%。</w:t>
      </w:r>
      <w:r>
        <w:rPr>
          <w:rFonts w:hint="eastAsia" w:ascii="楷体" w:hAnsi="楷体" w:eastAsia="楷体_GB2312" w:cs="仿宋_GB2312"/>
          <w:color w:val="000000" w:themeColor="text1"/>
          <w:sz w:val="32"/>
          <w:szCs w:val="32"/>
          <w14:textFill>
            <w14:solidFill>
              <w14:schemeClr w14:val="tx1"/>
            </w14:solidFill>
          </w14:textFill>
        </w:rPr>
        <w:t>（牵头单位：区卫生健康局、区教育和体育局，责任单位：团区委、区市场监管局、区公安分局、区城乡交通局、区妇联、区关工委、区融媒中心）</w:t>
      </w:r>
    </w:p>
    <w:p>
      <w:pPr>
        <w:numPr>
          <w:ilvl w:val="0"/>
          <w:numId w:val="2"/>
        </w:num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排查消除溺水隐患，儿童溺水死亡率持续下降。</w:t>
      </w:r>
      <w:r>
        <w:rPr>
          <w:rFonts w:hint="eastAsia" w:ascii="楷体" w:hAnsi="楷体" w:eastAsia="楷体_GB2312" w:cs="仿宋_GB2312"/>
          <w:color w:val="000000" w:themeColor="text1"/>
          <w:sz w:val="32"/>
          <w:szCs w:val="32"/>
          <w14:textFill>
            <w14:solidFill>
              <w14:schemeClr w14:val="tx1"/>
            </w14:solidFill>
          </w14:textFill>
        </w:rPr>
        <w:t>（牵头单位：区教育和体育局、区应急管理局，责任单位：区自然资源局</w:t>
      </w:r>
      <w:r>
        <w:rPr>
          <w:rFonts w:ascii="楷体" w:hAnsi="楷体" w:eastAsia="楷体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区城市规划建设服务中心、区</w:t>
      </w:r>
      <w:r>
        <w:rPr>
          <w:rFonts w:ascii="楷体" w:hAnsi="楷体" w:eastAsia="楷体_GB2312" w:cs="仿宋_GB2312"/>
          <w:color w:val="000000" w:themeColor="text1"/>
          <w:sz w:val="32"/>
          <w:szCs w:val="32"/>
          <w14:textFill>
            <w14:solidFill>
              <w14:schemeClr w14:val="tx1"/>
            </w14:solidFill>
          </w14:textFill>
        </w:rPr>
        <w:t>农业农村局、</w:t>
      </w:r>
      <w:r>
        <w:rPr>
          <w:rFonts w:hint="eastAsia" w:ascii="楷体" w:hAnsi="楷体" w:eastAsia="楷体_GB2312" w:cs="仿宋_GB2312"/>
          <w:color w:val="000000" w:themeColor="text1"/>
          <w:sz w:val="32"/>
          <w:szCs w:val="32"/>
          <w14:textFill>
            <w14:solidFill>
              <w14:schemeClr w14:val="tx1"/>
            </w14:solidFill>
          </w14:textFill>
        </w:rPr>
        <w:t>团区委、区关工委、区妇联、区公安分局、区城乡水务局、区融媒中心）</w:t>
      </w:r>
    </w:p>
    <w:p>
      <w:pPr>
        <w:numPr>
          <w:ilvl w:val="0"/>
          <w:numId w:val="2"/>
        </w:num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推广使用儿童安全座椅、安全头盔，儿童道路交通伤害死亡率持续下降。</w:t>
      </w:r>
      <w:r>
        <w:rPr>
          <w:rFonts w:hint="eastAsia" w:ascii="楷体" w:hAnsi="楷体" w:eastAsia="楷体_GB2312" w:cs="仿宋_GB2312"/>
          <w:color w:val="000000" w:themeColor="text1"/>
          <w:sz w:val="32"/>
          <w:szCs w:val="32"/>
          <w14:textFill>
            <w14:solidFill>
              <w14:schemeClr w14:val="tx1"/>
            </w14:solidFill>
          </w14:textFill>
        </w:rPr>
        <w:t>（牵头单位：区公安分局，责任单位：区教育和体育局、区城乡交通局、区市场监管局、区融媒中心）</w:t>
      </w:r>
    </w:p>
    <w:p>
      <w:pPr>
        <w:suppressAutoHyphens w:val="0"/>
        <w:spacing w:line="600" w:lineRule="exact"/>
        <w:ind w:firstLine="640" w:firstLineChars="200"/>
        <w:rPr>
          <w:rFonts w:ascii="楷体" w:hAnsi="楷体" w:eastAsia="楷体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（4）保障儿童食品、用品、玩具、大型游乐设施及用药安全。</w:t>
      </w:r>
      <w:r>
        <w:rPr>
          <w:rFonts w:hint="eastAsia" w:ascii="楷体" w:hAnsi="楷体" w:eastAsia="楷体_GB2312" w:cs="仿宋_GB2312"/>
          <w:color w:val="000000" w:themeColor="text1"/>
          <w:sz w:val="32"/>
          <w:szCs w:val="32"/>
          <w14:textFill>
            <w14:solidFill>
              <w14:schemeClr w14:val="tx1"/>
            </w14:solidFill>
          </w14:textFill>
        </w:rPr>
        <w:t>（牵头单位：区市场监管局，责任单位： 区卫生健康局）</w:t>
      </w:r>
    </w:p>
    <w:p>
      <w:pPr>
        <w:suppressAutoHyphens w:val="0"/>
        <w:overflowPunct w:val="0"/>
        <w:spacing w:line="600" w:lineRule="exact"/>
        <w:ind w:firstLine="640" w:firstLineChars="200"/>
        <w:rPr>
          <w:rFonts w:ascii="楷体" w:hAnsi="楷体" w:eastAsia="楷体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）减少学生欺凌事件。</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（牵头单位：区教育和体育局，责任单位：区委政法委、区法院、区检察院、区公安分局、区司法局、区民政局、团区委、区妇联、区残联）</w:t>
      </w:r>
    </w:p>
    <w:p>
      <w:pPr>
        <w:suppressAutoHyphens w:val="0"/>
        <w:overflowPunct w:val="0"/>
        <w:spacing w:line="600" w:lineRule="exact"/>
        <w:ind w:firstLine="640" w:firstLineChars="200"/>
        <w:rPr>
          <w:rFonts w:ascii="仿宋_GB2312" w:hAnsi="仿宋_GB2312" w:eastAsia="楷体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）保障儿童网络安全。</w:t>
      </w:r>
      <w:r>
        <w:rPr>
          <w:rFonts w:hint="eastAsia" w:ascii="楷体" w:hAnsi="楷体" w:eastAsia="楷体_GB2312" w:cs="仿宋_GB2312"/>
          <w:color w:val="000000" w:themeColor="text1"/>
          <w:sz w:val="32"/>
          <w:szCs w:val="32"/>
          <w14:textFill>
            <w14:solidFill>
              <w14:schemeClr w14:val="tx1"/>
            </w14:solidFill>
          </w14:textFill>
        </w:rPr>
        <w:t>（牵头单位：区公安分局，责任单位：区委宣传部、区教育和体育局）</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）将灾害事故对儿童的伤害降到最低程度。</w:t>
      </w:r>
      <w:r>
        <w:rPr>
          <w:rFonts w:hint="eastAsia" w:ascii="楷体" w:hAnsi="楷体" w:eastAsia="楷体_GB2312" w:cs="仿宋_GB2312"/>
          <w:color w:val="000000" w:themeColor="text1"/>
          <w:sz w:val="32"/>
          <w:szCs w:val="32"/>
          <w14:textFill>
            <w14:solidFill>
              <w14:schemeClr w14:val="tx1"/>
            </w14:solidFill>
          </w14:textFill>
        </w:rPr>
        <w:t>（牵头单位：区应急管理局，责任单位：区民政局、区教育和体育局、区卫生健康局、区农业农村局、区科协、区妇联、团区委）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）完善儿童伤害监测报告系统。</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（牵头单位：区卫生健康局，责任单位：区民政局、区公安分局、区检察院、区委政法委、区教育和体育局、区司法局、区法院、区政府办（大数据局）、团区委、区妇联）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 策略措施。</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TW"/>
          <w14:textFill>
            <w14:solidFill>
              <w14:schemeClr w14:val="tx1"/>
            </w14:solidFill>
          </w14:textFill>
        </w:rPr>
        <w:t>（1）</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建立健全儿童</w:t>
      </w:r>
      <w:r>
        <w:rPr>
          <w:rFonts w:hint="eastAsia" w:ascii="仿宋_GB2312" w:hAnsi="仿宋_GB2312" w:eastAsia="仿宋_GB2312" w:cs="仿宋_GB2312"/>
          <w:color w:val="000000" w:themeColor="text1"/>
          <w:sz w:val="32"/>
          <w:szCs w:val="32"/>
          <w:lang w:val="zh-TW"/>
          <w14:textFill>
            <w14:solidFill>
              <w14:schemeClr w14:val="tx1"/>
            </w14:solidFill>
          </w14:textFill>
        </w:rPr>
        <w:t>意外</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伤害防控</w:t>
      </w:r>
      <w:r>
        <w:rPr>
          <w:rFonts w:hint="eastAsia" w:ascii="仿宋_GB2312" w:hAnsi="仿宋_GB2312" w:eastAsia="仿宋_GB2312" w:cs="仿宋_GB2312"/>
          <w:color w:val="000000" w:themeColor="text1"/>
          <w:sz w:val="32"/>
          <w:szCs w:val="32"/>
          <w14:textFill>
            <w14:solidFill>
              <w14:schemeClr w14:val="tx1"/>
            </w14:solidFill>
          </w14:textFill>
        </w:rPr>
        <w:t>工作</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体系。</w:t>
      </w:r>
      <w:r>
        <w:rPr>
          <w:rFonts w:hint="eastAsia" w:ascii="仿宋_GB2312" w:hAnsi="仿宋_GB2312" w:eastAsia="仿宋_GB2312" w:cs="仿宋_GB2312"/>
          <w:color w:val="000000" w:themeColor="text1"/>
          <w:sz w:val="32"/>
          <w:szCs w:val="32"/>
          <w14:textFill>
            <w14:solidFill>
              <w14:schemeClr w14:val="tx1"/>
            </w14:solidFill>
          </w14:textFill>
        </w:rPr>
        <w:t>构建完善多部门合作的儿童意外伤害防控工作机制，鼓励社会力量参与儿童意外伤害防控。制定实施儿童意外伤害防控行动计划，探索创新并大力推广儿童意外伤害防控适宜技术，优先制定实施针对农村留守儿童、流动儿童、孤残儿童、困境儿童的意外伤害防控措施。开展形式多样的安全教育和应急演练活动。公共场所发生突发事件时，优先救护儿童。在灾后恢复与重建阶段，针对儿童特点采取优先救助和康复措施。</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（2）建设儿童安全环境。树立儿童意外伤害可防可控意识，运用宣传教育、改善环境、加强执法、使用安全产品、开展评估等措施，建设有利于儿童成长的家庭、学校、社会</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安全环境</w:t>
      </w:r>
      <w:r>
        <w:rPr>
          <w:rFonts w:hint="eastAsia" w:ascii="仿宋_GB2312" w:hAnsi="仿宋_GB2312" w:eastAsia="仿宋_GB2312" w:cs="仿宋_GB2312"/>
          <w:color w:val="000000" w:themeColor="text1"/>
          <w:sz w:val="32"/>
          <w:szCs w:val="32"/>
          <w:lang w:val="zh-TW"/>
          <w14:textFill>
            <w14:solidFill>
              <w14:schemeClr w14:val="tx1"/>
            </w14:solidFill>
          </w14:textFill>
        </w:rPr>
        <w:t>。开展儿童</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防伤害、防暴力、避灾险、会自救</w:t>
      </w:r>
      <w:r>
        <w:rPr>
          <w:rFonts w:hint="eastAsia" w:ascii="仿宋_GB2312" w:hAnsi="仿宋_GB2312" w:eastAsia="仿宋_GB2312" w:cs="仿宋_GB2312"/>
          <w:color w:val="000000" w:themeColor="text1"/>
          <w:sz w:val="32"/>
          <w:szCs w:val="32"/>
          <w:lang w:val="zh-TW"/>
          <w14:textFill>
            <w14:solidFill>
              <w14:schemeClr w14:val="tx1"/>
            </w14:solidFill>
          </w14:textFill>
        </w:rPr>
        <w:t>等</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教育</w:t>
      </w:r>
      <w:r>
        <w:rPr>
          <w:rFonts w:hint="eastAsia" w:ascii="仿宋_GB2312" w:hAnsi="仿宋_GB2312" w:eastAsia="仿宋_GB2312" w:cs="仿宋_GB2312"/>
          <w:color w:val="000000" w:themeColor="text1"/>
          <w:sz w:val="32"/>
          <w:szCs w:val="32"/>
          <w:lang w:val="zh-TW"/>
          <w14:textFill>
            <w14:solidFill>
              <w14:schemeClr w14:val="tx1"/>
            </w14:solidFill>
          </w14:textFill>
        </w:rPr>
        <w:t>活动，帮助儿童及其监护人、看护人提高安全意识、掌握安全知识技能，培养儿童安全行为习惯</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落实学校、幼儿园、托育机构、儿童校外活动阵地等安全管理主体责任，排除安全隐患。大型商场、超市、医院、图书馆、博物馆、科技馆、游乐场、车站、码头、机场、旅游景区景点等场所的运营单位应当设置搜寻走失儿童的安全警报系统。</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zh-TW" w:eastAsia="zh-TW"/>
          <w14:textFill>
            <w14:solidFill>
              <w14:schemeClr w14:val="tx1"/>
            </w14:solidFill>
          </w14:textFill>
        </w:rPr>
        <w:t>（</w:t>
      </w:r>
      <w:r>
        <w:rPr>
          <w:rFonts w:hint="eastAsia" w:ascii="仿宋_GB2312" w:hAnsi="仿宋_GB2312" w:eastAsia="仿宋_GB2312" w:cs="仿宋_GB2312"/>
          <w:color w:val="000000" w:themeColor="text1"/>
          <w:kern w:val="0"/>
          <w:sz w:val="32"/>
          <w:szCs w:val="32"/>
          <w:lang w:val="zh-TW"/>
          <w14:textFill>
            <w14:solidFill>
              <w14:schemeClr w14:val="tx1"/>
            </w14:solidFill>
          </w14:textFill>
        </w:rPr>
        <w:t>3</w:t>
      </w:r>
      <w:r>
        <w:rPr>
          <w:rFonts w:hint="eastAsia" w:ascii="仿宋_GB2312" w:hAnsi="仿宋_GB2312" w:eastAsia="仿宋_GB2312" w:cs="仿宋_GB2312"/>
          <w:color w:val="000000" w:themeColor="text1"/>
          <w:kern w:val="0"/>
          <w:sz w:val="32"/>
          <w:szCs w:val="32"/>
          <w:lang w:val="zh-TW" w:eastAsia="zh-TW"/>
          <w14:textFill>
            <w14:solidFill>
              <w14:schemeClr w14:val="tx1"/>
            </w14:solidFill>
          </w14:textFill>
        </w:rPr>
        <w:t>）预防和控制儿童跌倒</w:t>
      </w:r>
      <w:r>
        <w:rPr>
          <w:rFonts w:hint="eastAsia" w:ascii="仿宋_GB2312" w:hAnsi="仿宋_GB2312" w:eastAsia="仿宋_GB2312" w:cs="仿宋_GB2312"/>
          <w:color w:val="000000" w:themeColor="text1"/>
          <w:kern w:val="0"/>
          <w:sz w:val="32"/>
          <w:szCs w:val="32"/>
          <w:lang w:val="zh-TW"/>
          <w14:textFill>
            <w14:solidFill>
              <w14:schemeClr w14:val="tx1"/>
            </w14:solidFill>
          </w14:textFill>
        </w:rPr>
        <w:t>/跌落</w:t>
      </w:r>
      <w:r>
        <w:rPr>
          <w:rFonts w:hint="eastAsia" w:ascii="仿宋_GB2312" w:hAnsi="仿宋_GB2312" w:eastAsia="仿宋_GB2312" w:cs="仿宋_GB2312"/>
          <w:color w:val="000000" w:themeColor="text1"/>
          <w:kern w:val="0"/>
          <w:sz w:val="32"/>
          <w:szCs w:val="32"/>
          <w:lang w:val="zh-TW" w:eastAsia="zh-TW"/>
          <w14:textFill>
            <w14:solidFill>
              <w14:schemeClr w14:val="tx1"/>
            </w14:solidFill>
          </w14:textFill>
        </w:rPr>
        <w:t>、烧烫伤、中毒等伤害。</w:t>
      </w:r>
      <w:r>
        <w:rPr>
          <w:rFonts w:hint="eastAsia" w:ascii="仿宋_GB2312" w:hAnsi="仿宋_GB2312" w:eastAsia="仿宋_GB2312" w:cs="仿宋_GB2312"/>
          <w:color w:val="000000" w:themeColor="text1"/>
          <w:kern w:val="0"/>
          <w:sz w:val="32"/>
          <w:szCs w:val="32"/>
          <w:lang w:val="zh-TW"/>
          <w14:textFill>
            <w14:solidFill>
              <w14:schemeClr w14:val="tx1"/>
            </w14:solidFill>
          </w14:textFill>
        </w:rPr>
        <w:t>提高监护人、看护人的安全监护意识，不得让未满8周岁儿童单独留在家中、车内及其他可能造成危害的场所。</w:t>
      </w:r>
      <w:r>
        <w:rPr>
          <w:rFonts w:hint="eastAsia" w:ascii="仿宋_GB2312" w:hAnsi="仿宋_GB2312" w:eastAsia="仿宋_GB2312" w:cs="仿宋_GB2312"/>
          <w:color w:val="000000" w:themeColor="text1"/>
          <w:kern w:val="0"/>
          <w:sz w:val="32"/>
          <w:szCs w:val="32"/>
          <w:lang w:val="zh-TW" w:eastAsia="zh-TW"/>
          <w14:textFill>
            <w14:solidFill>
              <w14:schemeClr w14:val="tx1"/>
            </w14:solidFill>
          </w14:textFill>
        </w:rPr>
        <w:t>引导儿童安全使用电动扶梯</w:t>
      </w:r>
      <w:r>
        <w:rPr>
          <w:rFonts w:hint="eastAsia" w:ascii="仿宋_GB2312" w:hAnsi="仿宋_GB2312" w:eastAsia="仿宋_GB2312" w:cs="仿宋_GB2312"/>
          <w:color w:val="000000" w:themeColor="text1"/>
          <w:kern w:val="0"/>
          <w:sz w:val="32"/>
          <w:szCs w:val="32"/>
          <w:lang w:val="zh-TW"/>
          <w14:textFill>
            <w14:solidFill>
              <w14:schemeClr w14:val="tx1"/>
            </w14:solidFill>
          </w14:textFill>
        </w:rPr>
        <w:t>、</w:t>
      </w:r>
      <w:r>
        <w:rPr>
          <w:rFonts w:hint="eastAsia" w:ascii="仿宋_GB2312" w:hAnsi="仿宋_GB2312" w:eastAsia="仿宋_GB2312" w:cs="仿宋_GB2312"/>
          <w:color w:val="000000" w:themeColor="text1"/>
          <w:kern w:val="0"/>
          <w:sz w:val="32"/>
          <w:szCs w:val="32"/>
          <w:lang w:val="zh-TW" w:eastAsia="zh-TW"/>
          <w14:textFill>
            <w14:solidFill>
              <w14:schemeClr w14:val="tx1"/>
            </w14:solidFill>
          </w14:textFill>
        </w:rPr>
        <w:t>旋转门等</w:t>
      </w:r>
      <w:r>
        <w:rPr>
          <w:rFonts w:hint="eastAsia" w:ascii="仿宋_GB2312" w:hAnsi="仿宋_GB2312" w:eastAsia="仿宋_GB2312" w:cs="仿宋_GB2312"/>
          <w:color w:val="000000" w:themeColor="text1"/>
          <w:kern w:val="0"/>
          <w:sz w:val="32"/>
          <w:szCs w:val="32"/>
          <w:lang w:val="zh-TW"/>
          <w14:textFill>
            <w14:solidFill>
              <w14:schemeClr w14:val="tx1"/>
            </w14:solidFill>
          </w14:textFill>
        </w:rPr>
        <w:t>设施设备。</w:t>
      </w:r>
      <w:r>
        <w:rPr>
          <w:rFonts w:hint="eastAsia" w:ascii="仿宋_GB2312" w:hAnsi="仿宋_GB2312" w:eastAsia="仿宋_GB2312" w:cs="仿宋_GB2312"/>
          <w:color w:val="000000" w:themeColor="text1"/>
          <w:kern w:val="0"/>
          <w:sz w:val="32"/>
          <w:szCs w:val="32"/>
          <w:lang w:val="zh-TW" w:eastAsia="zh-TW"/>
          <w14:textFill>
            <w14:solidFill>
              <w14:schemeClr w14:val="tx1"/>
            </w14:solidFill>
          </w14:textFill>
        </w:rPr>
        <w:t>清除环境危险因素，推广应用窗户护栏、窗口限位器等防护产品</w:t>
      </w:r>
      <w:r>
        <w:rPr>
          <w:rFonts w:hint="eastAsia" w:ascii="仿宋_GB2312" w:hAnsi="仿宋_GB2312" w:eastAsia="仿宋_GB2312" w:cs="仿宋_GB2312"/>
          <w:color w:val="000000" w:themeColor="text1"/>
          <w:kern w:val="0"/>
          <w:sz w:val="32"/>
          <w:szCs w:val="32"/>
          <w:lang w:val="zh-TW"/>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减少儿童跌倒/跌落。教育儿童远离火源，引导家庭分隔热源，安全使用家用电器，推广使用具有儿童保护功能的家用电器，预防儿童烧烫伤。推广使用儿童安全包装，提升儿童监护人、看护人对农药、药物、日用化学品等的识别及保管能力，避免儿童中毒。预防婴幼儿窒息，提升婴幼儿有效照护能力。规范犬类管理及宠物饲养，预防动物咬伤。加强防灾减灾教育，提高儿童及其监护人、看护人针对地震、火灾、踩踏等灾害性事件的防灾避险技能。</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预防和减少儿童溺水。加强儿童暑期安全教育，普及儿童游泳及水上安全技能，引导儿童使用安全游泳场所。加强看护，保证儿童远离危险水体。隔离、消除家庭及校园环境的溺水隐患，加强农村地区相关水体的防护隔离和安全巡查，加强开放性水域、水上游乐场所、船只等安全管理并配置适用于儿童的应急救援装备。</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预防和减少儿童道路交通伤害。完善交通安全地方立法。提高儿童监护人、看护人的看护能力，培养儿童养成良好交通行为习惯。推广使用儿童安全座椅、安全头盔和儿童步行及骑乘非机动车使用反光标识。加强生产和销售监管，完善落实儿童安全防护用品标准。道路规划建设充分考虑儿童年龄特点，完善校园周边安全设施，严查严处交通违法行为。落实《校车安全管理条例》，已配备的校车全部达到安全标准。</w:t>
      </w:r>
    </w:p>
    <w:p>
      <w:pPr>
        <w:suppressAutoHyphens w:val="0"/>
        <w:overflowPunct w:val="0"/>
        <w:spacing w:line="600" w:lineRule="exact"/>
        <w:ind w:firstLine="645"/>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（6）加强对儿童食品、日用品、玩具、大型游乐设施、用药的安全监管。完善落实儿童食品安全标准体系和质量安全追溯体系，用于</w:t>
      </w:r>
      <w:r>
        <w:rPr>
          <w:rFonts w:ascii="仿宋_GB2312" w:hAnsi="仿宋_GB2312" w:eastAsia="仿宋_GB2312" w:cs="仿宋_GB2312"/>
          <w:color w:val="000000" w:themeColor="text1"/>
          <w:sz w:val="32"/>
          <w:szCs w:val="32"/>
          <w14:textFill>
            <w14:solidFill>
              <w14:schemeClr w14:val="tx1"/>
            </w14:solidFill>
          </w14:textFill>
        </w:rPr>
        <w:t>儿童的食品、药品、玩具、用具</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ascii="仿宋_GB2312" w:hAnsi="仿宋_GB2312" w:eastAsia="仿宋_GB2312" w:cs="仿宋_GB2312"/>
          <w:color w:val="000000" w:themeColor="text1"/>
          <w:sz w:val="32"/>
          <w:szCs w:val="32"/>
          <w14:textFill>
            <w14:solidFill>
              <w14:schemeClr w14:val="tx1"/>
            </w14:solidFill>
          </w14:textFill>
        </w:rPr>
        <w:t>游戏游艺设备、游乐设施等应当在显著位置标明注意事项</w:t>
      </w:r>
      <w:r>
        <w:rPr>
          <w:rFonts w:hint="eastAsia" w:ascii="仿宋_GB2312" w:hAnsi="仿宋_GB2312" w:eastAsia="仿宋_GB2312" w:cs="仿宋_GB2312"/>
          <w:color w:val="000000" w:themeColor="text1"/>
          <w:sz w:val="32"/>
          <w:szCs w:val="32"/>
          <w14:textFill>
            <w14:solidFill>
              <w14:schemeClr w14:val="tx1"/>
            </w14:solidFill>
          </w14:textFill>
        </w:rPr>
        <w:t>，未</w:t>
      </w:r>
      <w:r>
        <w:rPr>
          <w:rFonts w:ascii="仿宋_GB2312" w:hAnsi="仿宋_GB2312" w:eastAsia="仿宋_GB2312" w:cs="仿宋_GB2312"/>
          <w:color w:val="000000" w:themeColor="text1"/>
          <w:sz w:val="32"/>
          <w:szCs w:val="32"/>
          <w14:textFill>
            <w14:solidFill>
              <w14:schemeClr w14:val="tx1"/>
            </w14:solidFill>
          </w14:textFill>
        </w:rPr>
        <w:t>标明注意事项的不得销售。</w:t>
      </w:r>
      <w:r>
        <w:rPr>
          <w:rFonts w:hint="eastAsia" w:ascii="仿宋_GB2312" w:hAnsi="仿宋_GB2312" w:eastAsia="仿宋_GB2312" w:cs="仿宋_GB2312"/>
          <w:color w:val="000000" w:themeColor="text1"/>
          <w:sz w:val="32"/>
          <w:szCs w:val="32"/>
          <w14:textFill>
            <w14:solidFill>
              <w14:schemeClr w14:val="tx1"/>
            </w14:solidFill>
          </w14:textFill>
        </w:rPr>
        <w:t>强化</w:t>
      </w:r>
      <w:r>
        <w:rPr>
          <w:rFonts w:ascii="仿宋_GB2312" w:hAnsi="仿宋_GB2312" w:eastAsia="仿宋_GB2312" w:cs="仿宋_GB2312"/>
          <w:color w:val="000000" w:themeColor="text1"/>
          <w:sz w:val="32"/>
          <w:szCs w:val="32"/>
          <w14:textFill>
            <w14:solidFill>
              <w14:schemeClr w14:val="tx1"/>
            </w14:solidFill>
          </w14:textFill>
        </w:rPr>
        <w:t>婴幼儿配方乳粉</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ascii="仿宋_GB2312" w:hAnsi="仿宋_GB2312" w:eastAsia="仿宋_GB2312" w:cs="仿宋_GB2312"/>
          <w:color w:val="000000" w:themeColor="text1"/>
          <w:sz w:val="32"/>
          <w:szCs w:val="32"/>
          <w14:textFill>
            <w14:solidFill>
              <w14:schemeClr w14:val="tx1"/>
            </w14:solidFill>
          </w14:textFill>
        </w:rPr>
        <w:t>婴幼儿</w:t>
      </w:r>
      <w:r>
        <w:rPr>
          <w:rFonts w:hint="eastAsia" w:ascii="仿宋_GB2312" w:hAnsi="仿宋_GB2312" w:eastAsia="仿宋_GB2312" w:cs="仿宋_GB2312"/>
          <w:color w:val="000000" w:themeColor="text1"/>
          <w:sz w:val="32"/>
          <w:szCs w:val="32"/>
          <w14:textFill>
            <w14:solidFill>
              <w14:schemeClr w14:val="tx1"/>
            </w14:solidFill>
          </w14:textFill>
        </w:rPr>
        <w:t>辅助</w:t>
      </w:r>
      <w:r>
        <w:rPr>
          <w:rFonts w:ascii="仿宋_GB2312" w:hAnsi="仿宋_GB2312" w:eastAsia="仿宋_GB2312" w:cs="仿宋_GB2312"/>
          <w:color w:val="000000" w:themeColor="text1"/>
          <w:sz w:val="32"/>
          <w:szCs w:val="32"/>
          <w14:textFill>
            <w14:solidFill>
              <w14:schemeClr w14:val="tx1"/>
            </w14:solidFill>
          </w14:textFill>
        </w:rPr>
        <w:t>食品</w:t>
      </w:r>
      <w:r>
        <w:rPr>
          <w:rFonts w:hint="eastAsia" w:ascii="仿宋_GB2312" w:hAnsi="仿宋_GB2312" w:eastAsia="仿宋_GB2312" w:cs="仿宋_GB2312"/>
          <w:color w:val="000000" w:themeColor="text1"/>
          <w:sz w:val="32"/>
          <w:szCs w:val="32"/>
          <w14:textFill>
            <w14:solidFill>
              <w14:schemeClr w14:val="tx1"/>
            </w14:solidFill>
          </w14:textFill>
        </w:rPr>
        <w:t>安全监</w:t>
      </w:r>
      <w:r>
        <w:rPr>
          <w:rFonts w:ascii="仿宋_GB2312" w:hAnsi="仿宋_GB2312" w:eastAsia="仿宋_GB2312" w:cs="仿宋_GB2312"/>
          <w:color w:val="000000" w:themeColor="text1"/>
          <w:sz w:val="32"/>
          <w:szCs w:val="32"/>
          <w14:textFill>
            <w14:solidFill>
              <w14:schemeClr w14:val="tx1"/>
            </w14:solidFill>
          </w14:textFill>
        </w:rPr>
        <w:t>管</w:t>
      </w:r>
      <w:r>
        <w:rPr>
          <w:rFonts w:hint="eastAsia" w:ascii="仿宋_GB2312" w:hAnsi="仿宋_GB2312" w:eastAsia="仿宋_GB2312" w:cs="仿宋_GB2312"/>
          <w:color w:val="000000" w:themeColor="text1"/>
          <w:sz w:val="32"/>
          <w:szCs w:val="32"/>
          <w14:textFill>
            <w14:solidFill>
              <w14:schemeClr w14:val="tx1"/>
            </w14:solidFill>
          </w14:textFill>
        </w:rPr>
        <w:t>，婴幼儿配方食品在</w:t>
      </w:r>
      <w:r>
        <w:rPr>
          <w:rFonts w:ascii="仿宋_GB2312" w:hAnsi="仿宋_GB2312" w:eastAsia="仿宋_GB2312" w:cs="仿宋_GB2312"/>
          <w:color w:val="000000" w:themeColor="text1"/>
          <w:sz w:val="32"/>
          <w:szCs w:val="32"/>
          <w14:textFill>
            <w14:solidFill>
              <w14:schemeClr w14:val="tx1"/>
            </w14:solidFill>
          </w14:textFill>
        </w:rPr>
        <w:t>产企业体系检查</w:t>
      </w:r>
      <w:r>
        <w:rPr>
          <w:rFonts w:hint="eastAsia" w:ascii="仿宋_GB2312" w:hAnsi="仿宋_GB2312" w:eastAsia="仿宋_GB2312" w:cs="仿宋_GB2312"/>
          <w:color w:val="000000" w:themeColor="text1"/>
          <w:sz w:val="32"/>
          <w:szCs w:val="32"/>
          <w14:textFill>
            <w14:solidFill>
              <w14:schemeClr w14:val="tx1"/>
            </w14:solidFill>
          </w14:textFill>
        </w:rPr>
        <w:t>覆盖</w:t>
      </w:r>
      <w:r>
        <w:rPr>
          <w:rFonts w:ascii="仿宋_GB2312" w:hAnsi="仿宋_GB2312" w:eastAsia="仿宋_GB2312" w:cs="仿宋_GB2312"/>
          <w:color w:val="000000" w:themeColor="text1"/>
          <w:sz w:val="32"/>
          <w:szCs w:val="32"/>
          <w14:textFill>
            <w14:solidFill>
              <w14:schemeClr w14:val="tx1"/>
            </w14:solidFill>
          </w14:textFill>
        </w:rPr>
        <w:t>率达到</w:t>
      </w:r>
      <w:r>
        <w:rPr>
          <w:rFonts w:hint="eastAsia" w:ascii="仿宋_GB2312" w:hAnsi="仿宋_GB2312" w:eastAsia="仿宋_GB2312" w:cs="仿宋_GB2312"/>
          <w:color w:val="000000" w:themeColor="text1"/>
          <w:sz w:val="32"/>
          <w:szCs w:val="32"/>
          <w14:textFill>
            <w14:solidFill>
              <w14:schemeClr w14:val="tx1"/>
            </w14:solidFill>
          </w14:textFill>
        </w:rPr>
        <w:t>100%，加大婴幼儿配方乳</w:t>
      </w:r>
      <w:r>
        <w:rPr>
          <w:rFonts w:ascii="仿宋_GB2312" w:hAnsi="仿宋_GB2312" w:eastAsia="仿宋_GB2312" w:cs="仿宋_GB2312"/>
          <w:color w:val="000000" w:themeColor="text1"/>
          <w:sz w:val="32"/>
          <w:szCs w:val="32"/>
          <w14:textFill>
            <w14:solidFill>
              <w14:schemeClr w14:val="tx1"/>
            </w14:solidFill>
          </w14:textFill>
        </w:rPr>
        <w:t>粉产品抽检监测及不合格</w:t>
      </w:r>
      <w:r>
        <w:rPr>
          <w:rFonts w:hint="eastAsia" w:ascii="仿宋_GB2312" w:hAnsi="仿宋_GB2312" w:eastAsia="仿宋_GB2312" w:cs="仿宋_GB2312"/>
          <w:color w:val="000000" w:themeColor="text1"/>
          <w:sz w:val="32"/>
          <w:szCs w:val="32"/>
          <w14:textFill>
            <w14:solidFill>
              <w14:schemeClr w14:val="tx1"/>
            </w14:solidFill>
          </w14:textFill>
        </w:rPr>
        <w:t>食品处罚</w:t>
      </w:r>
      <w:r>
        <w:rPr>
          <w:rFonts w:ascii="仿宋_GB2312" w:hAnsi="仿宋_GB2312" w:eastAsia="仿宋_GB2312" w:cs="仿宋_GB2312"/>
          <w:color w:val="000000" w:themeColor="text1"/>
          <w:sz w:val="32"/>
          <w:szCs w:val="32"/>
          <w14:textFill>
            <w14:solidFill>
              <w14:schemeClr w14:val="tx1"/>
            </w14:solidFill>
          </w14:textFill>
        </w:rPr>
        <w:t>力度</w:t>
      </w:r>
      <w:r>
        <w:rPr>
          <w:rFonts w:hint="eastAsia" w:ascii="仿宋_GB2312" w:hAnsi="仿宋_GB2312" w:eastAsia="仿宋_GB2312" w:cs="仿宋_GB2312"/>
          <w:color w:val="000000" w:themeColor="text1"/>
          <w:sz w:val="32"/>
          <w:szCs w:val="32"/>
          <w14:textFill>
            <w14:solidFill>
              <w14:schemeClr w14:val="tx1"/>
            </w14:solidFill>
          </w14:textFill>
        </w:rPr>
        <w:t>。落实学校、幼儿园、托育机构食品安全管理主体责任，消除儿童集中用餐各环节食品安全隐患，加强校园及周边食品安全监管。加大农村食品、药品安全治理力度，完善对网络销售食品药品的监管，加强食品药品进口监管。依法严厉打击制售假冒伪劣食品、儿童日用品、玩具等的违法犯罪行为。落实儿童日用品、玩具强制性国家标准，完善产品安全警示标识。加强产品造成儿童伤害的信息监测分析、监督检查和缺陷产品召回工作。杜绝“毒跑道”“毒校服”等，保障大型游乐设施安全。加强儿童合理用药监管。</w:t>
      </w:r>
    </w:p>
    <w:p>
      <w:pPr>
        <w:suppressAutoHyphens w:val="0"/>
        <w:overflowPunct w:val="0"/>
        <w:adjustRightInd w:val="0"/>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提高对学生欺凌的综合治理能力。完善落实学生欺凌综合治理多部门合作工作机制，预防、减少、妥善处置学生欺凌。营造文明安全校园环境，加强思想道德教育、法治教育和心理健康教育，培养学生的健全人格和社会交往能力。严格学校日常安全管理，健全学生欺凌早期预警、事中处理、事后干预等工作机制，提高教职员工、家长、学生对学生欺凌的预防和处置能力，及时发现学生的异常行为，疏导化解学生欺凌不良苗头。依法依规调查和处置欺凌事件，发挥教育惩戒作用。强化校园周边综合治理，将学生欺凌专项治理纳入社会治安综合治理工作。</w:t>
      </w:r>
    </w:p>
    <w:p>
      <w:pPr>
        <w:suppressAutoHyphens w:val="0"/>
        <w:overflowPunct w:val="0"/>
        <w:adjustRightInd w:val="0"/>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）加强未成年人网络保护。落实政府、企业、学校、家庭、社会保护责任，为儿童提供安全、健康的网络环境，保障儿童在网络空间的合法权益。加强网络监管和治理，加大对</w:t>
      </w:r>
      <w:r>
        <w:rPr>
          <w:rFonts w:ascii="仿宋_GB2312" w:hAnsi="仿宋_GB2312" w:eastAsia="仿宋_GB2312" w:cs="仿宋_GB2312"/>
          <w:color w:val="000000" w:themeColor="text1"/>
          <w:sz w:val="32"/>
          <w:szCs w:val="32"/>
          <w14:textFill>
            <w14:solidFill>
              <w14:schemeClr w14:val="tx1"/>
            </w14:solidFill>
          </w14:textFill>
        </w:rPr>
        <w:t>封建</w:t>
      </w:r>
      <w:r>
        <w:rPr>
          <w:rFonts w:hint="eastAsia" w:ascii="仿宋_GB2312" w:hAnsi="仿宋_GB2312" w:eastAsia="仿宋_GB2312" w:cs="仿宋_GB2312"/>
          <w:color w:val="000000" w:themeColor="text1"/>
          <w:sz w:val="32"/>
          <w:szCs w:val="32"/>
          <w14:textFill>
            <w14:solidFill>
              <w14:schemeClr w14:val="tx1"/>
            </w14:solidFill>
          </w14:textFill>
        </w:rPr>
        <w:t>迷信、</w:t>
      </w:r>
      <w:r>
        <w:rPr>
          <w:rFonts w:ascii="仿宋_GB2312" w:hAnsi="仿宋_GB2312" w:eastAsia="仿宋_GB2312" w:cs="仿宋_GB2312"/>
          <w:color w:val="000000" w:themeColor="text1"/>
          <w:sz w:val="32"/>
          <w:szCs w:val="32"/>
          <w14:textFill>
            <w14:solidFill>
              <w14:schemeClr w14:val="tx1"/>
            </w14:solidFill>
          </w14:textFill>
        </w:rPr>
        <w:t>淫秽、色情、赌</w:t>
      </w:r>
      <w:r>
        <w:rPr>
          <w:rFonts w:hint="eastAsia" w:ascii="仿宋_GB2312" w:hAnsi="仿宋_GB2312" w:eastAsia="仿宋_GB2312" w:cs="仿宋_GB2312"/>
          <w:color w:val="000000" w:themeColor="text1"/>
          <w:sz w:val="32"/>
          <w:szCs w:val="32"/>
          <w14:textFill>
            <w14:solidFill>
              <w14:schemeClr w14:val="tx1"/>
            </w14:solidFill>
          </w14:textFill>
        </w:rPr>
        <w:t>博</w:t>
      </w:r>
      <w:r>
        <w:rPr>
          <w:rFonts w:ascii="仿宋_GB2312" w:hAnsi="仿宋_GB2312" w:eastAsia="仿宋_GB2312" w:cs="仿宋_GB2312"/>
          <w:color w:val="000000" w:themeColor="text1"/>
          <w:sz w:val="32"/>
          <w:szCs w:val="32"/>
          <w14:textFill>
            <w14:solidFill>
              <w14:schemeClr w14:val="tx1"/>
            </w14:solidFill>
          </w14:textFill>
        </w:rPr>
        <w:t>、暴力、</w:t>
      </w:r>
      <w:r>
        <w:rPr>
          <w:rFonts w:hint="eastAsia" w:ascii="仿宋_GB2312" w:hAnsi="仿宋_GB2312" w:eastAsia="仿宋_GB2312" w:cs="仿宋_GB2312"/>
          <w:color w:val="000000" w:themeColor="text1"/>
          <w:sz w:val="32"/>
          <w:szCs w:val="32"/>
          <w14:textFill>
            <w14:solidFill>
              <w14:schemeClr w14:val="tx1"/>
            </w14:solidFill>
          </w14:textFill>
        </w:rPr>
        <w:t>凶杀、</w:t>
      </w:r>
      <w:r>
        <w:rPr>
          <w:rFonts w:ascii="仿宋_GB2312" w:hAnsi="仿宋_GB2312" w:eastAsia="仿宋_GB2312" w:cs="仿宋_GB2312"/>
          <w:color w:val="000000" w:themeColor="text1"/>
          <w:sz w:val="32"/>
          <w:szCs w:val="32"/>
          <w14:textFill>
            <w14:solidFill>
              <w14:schemeClr w14:val="tx1"/>
            </w14:solidFill>
          </w14:textFill>
        </w:rPr>
        <w:t>恐怖</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教唆</w:t>
      </w:r>
      <w:r>
        <w:rPr>
          <w:rFonts w:hint="eastAsia" w:ascii="仿宋_GB2312" w:hAnsi="仿宋_GB2312" w:eastAsia="仿宋_GB2312" w:cs="仿宋_GB2312"/>
          <w:color w:val="000000" w:themeColor="text1"/>
          <w:sz w:val="32"/>
          <w:szCs w:val="32"/>
          <w14:textFill>
            <w14:solidFill>
              <w14:schemeClr w14:val="tx1"/>
            </w14:solidFill>
          </w14:textFill>
        </w:rPr>
        <w:t>犯罪的</w:t>
      </w:r>
      <w:r>
        <w:rPr>
          <w:rFonts w:ascii="仿宋_GB2312" w:hAnsi="仿宋_GB2312" w:eastAsia="仿宋_GB2312" w:cs="仿宋_GB2312"/>
          <w:color w:val="000000" w:themeColor="text1"/>
          <w:sz w:val="32"/>
          <w:szCs w:val="32"/>
          <w14:textFill>
            <w14:solidFill>
              <w14:schemeClr w14:val="tx1"/>
            </w14:solidFill>
          </w14:textFill>
        </w:rPr>
        <w:t>违法</w:t>
      </w:r>
      <w:r>
        <w:rPr>
          <w:rFonts w:hint="eastAsia" w:ascii="仿宋_GB2312" w:hAnsi="仿宋_GB2312" w:eastAsia="仿宋_GB2312" w:cs="仿宋_GB2312"/>
          <w:color w:val="000000" w:themeColor="text1"/>
          <w:sz w:val="32"/>
          <w:szCs w:val="32"/>
          <w14:textFill>
            <w14:solidFill>
              <w14:schemeClr w14:val="tx1"/>
            </w14:solidFill>
          </w14:textFill>
        </w:rPr>
        <w:t>信息</w:t>
      </w:r>
      <w:r>
        <w:rPr>
          <w:rFonts w:ascii="仿宋_GB2312" w:hAnsi="仿宋_GB2312" w:eastAsia="仿宋_GB2312" w:cs="仿宋_GB2312"/>
          <w:color w:val="000000" w:themeColor="text1"/>
          <w:sz w:val="32"/>
          <w:szCs w:val="32"/>
          <w14:textFill>
            <w14:solidFill>
              <w14:schemeClr w14:val="tx1"/>
            </w14:solidFill>
          </w14:textFill>
        </w:rPr>
        <w:t>整治力度</w:t>
      </w:r>
      <w:r>
        <w:rPr>
          <w:rFonts w:hint="eastAsia" w:ascii="仿宋_GB2312" w:hAnsi="仿宋_GB2312" w:eastAsia="仿宋_GB2312" w:cs="仿宋_GB2312"/>
          <w:color w:val="000000" w:themeColor="text1"/>
          <w:sz w:val="32"/>
          <w:szCs w:val="32"/>
          <w14:textFill>
            <w14:solidFill>
              <w14:schemeClr w14:val="tx1"/>
            </w14:solidFill>
          </w14:textFill>
        </w:rPr>
        <w:t>，开展净网行动，完善和落实网络信息监测、识别、举报、处置制度，依法惩处利用网络散布价值导向不良信息、从事危害未成年人身心健康的行为，治理网络欺凌。网络游戏、网络直播、网络音视频、网络社交等网络服务提供者应针对未成年人使用其服务设置相应的时间、权限、消费等管理功能。不得为未满十六周岁儿童提供网络直播发布者账号注册服务。加强网络语言文明教育，坚决遏阻庸俗暴戾网络语言传播。落实国家统一的未成年人网络游戏电子身份认证系统，加强游戏产品分类、内容审核、时长限制等监管。加强儿童个人信息和隐私权</w:t>
      </w:r>
      <w:r>
        <w:rPr>
          <w:rFonts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安全保护。</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提高儿童遭受意外伤害和暴力伤害的紧急救援、医疗救治、康复服务水平。广泛宣传儿童紧急救援知识，提升监护人及看护人、教师紧急救援技能。完善公共场所急救设施配备。加强各级紧急医学救援网络建设，加大儿童伤害院前急救设备设施配备力度，实现院前急救与院内急诊的有效衔接。加强康复机构能力建设，提高儿童医学救治以及康复服务的效率和水平。</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完善儿童安全监测机制。健全完善区、街镇两级统一的儿童安全监测系统，建立儿童安全统计大数据。通过医疗机构、学校、托育机构、社区、司法机关等多渠道收集儿童伤害等数据，促进数据规范化。建立多部门、多专业参与的数据共享、分析、评估、利用工作机制。</w:t>
      </w:r>
    </w:p>
    <w:p>
      <w:pPr>
        <w:suppressAutoHyphens w:val="0"/>
        <w:overflowPunct w:val="0"/>
        <w:spacing w:line="600" w:lineRule="exact"/>
        <w:ind w:firstLine="640" w:firstLineChars="200"/>
        <w:outlineLvl w:val="1"/>
        <w:rPr>
          <w:rFonts w:ascii="Times New Roman" w:hAnsi="Times New Roman" w:eastAsia="楷体_GB2312"/>
          <w:color w:val="000000" w:themeColor="text1"/>
          <w:sz w:val="32"/>
          <w:szCs w:val="32"/>
          <w14:textFill>
            <w14:solidFill>
              <w14:schemeClr w14:val="tx1"/>
            </w14:solidFill>
          </w14:textFill>
        </w:rPr>
      </w:pPr>
      <w:bookmarkStart w:id="36" w:name="_Toc1650247484"/>
      <w:r>
        <w:rPr>
          <w:rFonts w:ascii="Times New Roman" w:hAnsi="楷体" w:eastAsia="楷体_GB2312"/>
          <w:color w:val="000000" w:themeColor="text1"/>
          <w:sz w:val="32"/>
          <w:szCs w:val="32"/>
          <w14:textFill>
            <w14:solidFill>
              <w14:schemeClr w14:val="tx1"/>
            </w14:solidFill>
          </w14:textFill>
        </w:rPr>
        <w:t>（三）儿童与教育</w:t>
      </w:r>
      <w:bookmarkEnd w:id="36"/>
      <w:r>
        <w:rPr>
          <w:rFonts w:hint="eastAsia" w:ascii="Times New Roman" w:hAnsi="楷体" w:eastAsia="楷体_GB2312"/>
          <w:color w:val="000000" w:themeColor="text1"/>
          <w:sz w:val="32"/>
          <w:szCs w:val="32"/>
          <w14:textFill>
            <w14:solidFill>
              <w14:schemeClr w14:val="tx1"/>
            </w14:solidFill>
          </w14:textFill>
        </w:rPr>
        <w:t>。</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 主要目标。</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（1）全面落实立德树人根本任务，培养德智体美劳全面发展的社会主义建设者和接班人。</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（牵头单位：区教育和体育局，责任单位：团区委、区委宣传部、区融媒中心、区关工委、区妇联）</w:t>
      </w:r>
    </w:p>
    <w:p>
      <w:pPr>
        <w:suppressAutoHyphens w:val="0"/>
        <w:overflowPunct w:val="0"/>
        <w:spacing w:line="600" w:lineRule="exact"/>
        <w:ind w:firstLine="624"/>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（2）适龄儿童普遍接受安全优质的学前教育。学前教育毛入园率保持在9</w:t>
      </w:r>
      <w:r>
        <w:rPr>
          <w:rFonts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以上，普惠性幼儿园覆盖率达到8</w:t>
      </w:r>
      <w:r>
        <w:rPr>
          <w:rFonts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以上，公办幼儿园在园幼儿占比达到5</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%以上。</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（牵头单位：区教育和体育局，责任单位：区发展和改革局、区住房和城乡建设局、区自然资源局、区城市规划建设服务中心、区残联）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（3）适龄儿童依法接受公平优质的义务教育，城乡义务教育均衡发展。九年义务教育巩固率保持在9</w:t>
      </w:r>
      <w:r>
        <w:rPr>
          <w:rFonts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%以</w:t>
      </w:r>
      <w:r>
        <w:rPr>
          <w:rFonts w:ascii="仿宋_GB2312" w:hAnsi="仿宋_GB2312" w:eastAsia="仿宋_GB2312" w:cs="仿宋_GB2312"/>
          <w:color w:val="000000" w:themeColor="text1"/>
          <w:sz w:val="32"/>
          <w:szCs w:val="32"/>
          <w14:textFill>
            <w14:solidFill>
              <w14:schemeClr w14:val="tx1"/>
            </w14:solidFill>
          </w14:textFill>
        </w:rPr>
        <w:t>上</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（牵头单位：区教育和体育局，责任单位：区发展和改革局、区自然资源局、区城市规划建设服务中心、区住房和城乡建设局、区残联）</w:t>
      </w:r>
    </w:p>
    <w:p>
      <w:pPr>
        <w:numPr>
          <w:ilvl w:val="0"/>
          <w:numId w:val="2"/>
        </w:num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适龄儿童普遍接受高质量的高中阶段教育，高中阶段毛入学率达到9</w:t>
      </w:r>
      <w:r>
        <w:rPr>
          <w:rFonts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（牵头单位：区教育和体育局，责任单位：区发展和改革局、区自然资源局、区城市规划建设服务中心、区住房和城乡建设局、区残联）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（5）孤儿、事实无人抚养儿童、残疾儿童、进城务工人随迁子女、农村留守儿童、家庭经济困难儿童等特殊群体受教育权得到保障。残疾儿童接受从学前到高中阶段15年免费教育。</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（牵头单位：区教育和体育局，责任单位：区发展和改革局、区民政局、区残联）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（6）中小学性别平等教育全面推进，学生的性别平等意识明显增强。</w:t>
      </w:r>
      <w:r>
        <w:rPr>
          <w:rFonts w:hint="eastAsia" w:ascii="楷体" w:hAnsi="楷体" w:eastAsia="楷体_GB2312" w:cs="仿宋_GB2312"/>
          <w:color w:val="000000" w:themeColor="text1"/>
          <w:sz w:val="32"/>
          <w:szCs w:val="32"/>
          <w14:textFill>
            <w14:solidFill>
              <w14:schemeClr w14:val="tx1"/>
            </w14:solidFill>
          </w14:textFill>
        </w:rPr>
        <w:t>（牵头单位：区教育和体育局</w:t>
      </w:r>
      <w:bookmarkStart w:id="37" w:name="_Hlk50563686"/>
      <w:r>
        <w:rPr>
          <w:rFonts w:hint="eastAsia" w:ascii="楷体" w:hAnsi="楷体" w:eastAsia="楷体_GB2312" w:cs="仿宋_GB2312"/>
          <w:color w:val="000000" w:themeColor="text1"/>
          <w:sz w:val="32"/>
          <w:szCs w:val="32"/>
          <w14:textFill>
            <w14:solidFill>
              <w14:schemeClr w14:val="tx1"/>
            </w14:solidFill>
          </w14:textFill>
        </w:rPr>
        <w:t>，责任单位：</w:t>
      </w:r>
      <w:bookmarkEnd w:id="37"/>
      <w:r>
        <w:rPr>
          <w:rFonts w:hint="eastAsia" w:ascii="楷体" w:hAnsi="楷体" w:eastAsia="楷体_GB2312" w:cs="仿宋_GB2312"/>
          <w:color w:val="000000" w:themeColor="text1"/>
          <w:sz w:val="32"/>
          <w:szCs w:val="32"/>
          <w14:textFill>
            <w14:solidFill>
              <w14:schemeClr w14:val="tx1"/>
            </w14:solidFill>
          </w14:textFill>
        </w:rPr>
        <w:t>区妇儿工委办公室、区妇联）</w:t>
      </w:r>
    </w:p>
    <w:p>
      <w:pPr>
        <w:suppressAutoHyphens w:val="0"/>
        <w:overflowPunct w:val="0"/>
        <w:spacing w:line="600" w:lineRule="exact"/>
        <w:ind w:firstLine="624"/>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（7）儿童科学素质全面提升，科学兴趣、创新意识、实践能力不断提高。</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（牵头单位：区教育和体育局，责任单位：区科协、区关工委、团区委、区妇联、区融媒中心）</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2.策略措施。</w:t>
      </w:r>
    </w:p>
    <w:p>
      <w:pPr>
        <w:suppressAutoHyphens w:val="0"/>
        <w:overflowPunct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（1）全面贯彻党的教育方针。坚持社会主义办学方向，健全立德树人落实机制，实施素质教育，完善德智体美劳全面培养的教育体系，</w:t>
      </w:r>
      <w:r>
        <w:rPr>
          <w:rFonts w:ascii="仿宋_GB2312" w:hAnsi="仿宋_GB2312" w:eastAsia="仿宋_GB2312" w:cs="仿宋_GB2312"/>
          <w:color w:val="000000" w:themeColor="text1"/>
          <w:sz w:val="32"/>
          <w:szCs w:val="32"/>
          <w14:textFill>
            <w14:solidFill>
              <w14:schemeClr w14:val="tx1"/>
            </w14:solidFill>
          </w14:textFill>
        </w:rPr>
        <w:t>全面加强新时代少</w:t>
      </w:r>
      <w:r>
        <w:rPr>
          <w:rFonts w:hint="eastAsia" w:ascii="仿宋_GB2312" w:hAnsi="仿宋_GB2312" w:eastAsia="仿宋_GB2312" w:cs="仿宋_GB2312"/>
          <w:color w:val="000000" w:themeColor="text1"/>
          <w:sz w:val="32"/>
          <w:szCs w:val="32"/>
          <w14:textFill>
            <w14:solidFill>
              <w14:schemeClr w14:val="tx1"/>
            </w14:solidFill>
          </w14:textFill>
        </w:rPr>
        <w:t>先</w:t>
      </w:r>
      <w:r>
        <w:rPr>
          <w:rFonts w:ascii="仿宋_GB2312" w:hAnsi="仿宋_GB2312" w:eastAsia="仿宋_GB2312" w:cs="仿宋_GB2312"/>
          <w:color w:val="000000" w:themeColor="text1"/>
          <w:sz w:val="32"/>
          <w:szCs w:val="32"/>
          <w14:textFill>
            <w14:solidFill>
              <w14:schemeClr w14:val="tx1"/>
            </w14:solidFill>
          </w14:textFill>
        </w:rPr>
        <w:t>队工作</w:t>
      </w:r>
      <w:r>
        <w:rPr>
          <w:rFonts w:hint="eastAsia" w:ascii="仿宋_GB2312" w:hAnsi="仿宋_GB2312" w:eastAsia="仿宋_GB2312" w:cs="仿宋_GB2312"/>
          <w:color w:val="000000" w:themeColor="text1"/>
          <w:sz w:val="32"/>
          <w:szCs w:val="32"/>
          <w14:textFill>
            <w14:solidFill>
              <w14:schemeClr w14:val="tx1"/>
            </w14:solidFill>
          </w14:textFill>
        </w:rPr>
        <w:t>。提高思想道德素质，加强党史、新中国史、改革开放史、社会主义发展史教育，引领学生坚定理想信念，热爱祖国、热爱人民、热爱中国共产党、热爱社会主义，培育和践行社会主义核心价值观。完善德育工作体系，创新德育工作形式，增强德育工作吸引力。提升智育水平，发展学生</w:t>
      </w:r>
      <w:r>
        <w:rPr>
          <w:rFonts w:ascii="仿宋_GB2312" w:hAnsi="仿宋_GB2312" w:eastAsia="仿宋_GB2312" w:cs="仿宋_GB2312"/>
          <w:color w:val="000000" w:themeColor="text1"/>
          <w:sz w:val="32"/>
          <w:szCs w:val="32"/>
          <w14:textFill>
            <w14:solidFill>
              <w14:schemeClr w14:val="tx1"/>
            </w14:solidFill>
          </w14:textFill>
        </w:rPr>
        <w:t>终身学习能力，</w:t>
      </w:r>
      <w:r>
        <w:rPr>
          <w:rFonts w:hint="eastAsia" w:ascii="仿宋_GB2312" w:hAnsi="仿宋_GB2312" w:eastAsia="仿宋_GB2312" w:cs="仿宋_GB2312"/>
          <w:color w:val="000000" w:themeColor="text1"/>
          <w:sz w:val="32"/>
          <w:szCs w:val="32"/>
          <w14:textFill>
            <w14:solidFill>
              <w14:schemeClr w14:val="tx1"/>
            </w14:solidFill>
          </w14:textFill>
        </w:rPr>
        <w:t>促进思维发展，激发创新意识。坚持健康第一，深化体教融合，帮助学生磨练坚强意志、锻炼强健体魄。改进美育教学，提升学生审美和人文素养。加强劳动教育，引导学生树立正确的劳动观，培养基本劳动能力，形成良好劳动习惯。完善以素质教育为导向的教育评价体系，坚决克服唯分数、唯升学倾向，提高教育治理能力和水平。</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（2）全面落实教育优先发展战略。</w:t>
      </w:r>
      <w:r>
        <w:rPr>
          <w:rFonts w:hint="eastAsia" w:ascii="仿宋_GB2312" w:hAnsi="Tahoma" w:eastAsia="仿宋_GB2312"/>
          <w:color w:val="000000" w:themeColor="text1"/>
          <w:kern w:val="0"/>
          <w:sz w:val="32"/>
          <w:szCs w:val="32"/>
          <w14:textFill>
            <w14:solidFill>
              <w14:schemeClr w14:val="tx1"/>
            </w14:solidFill>
          </w14:textFill>
        </w:rPr>
        <w:t>在经济社会发展规划上优先安排教育，</w:t>
      </w:r>
      <w:r>
        <w:rPr>
          <w:rFonts w:hint="eastAsia" w:ascii="仿宋_GB2312" w:hAnsi="仿宋_GB2312" w:eastAsia="仿宋_GB2312" w:cs="仿宋_GB2312"/>
          <w:color w:val="000000" w:themeColor="text1"/>
          <w:sz w:val="32"/>
          <w:szCs w:val="32"/>
          <w14:textFill>
            <w14:solidFill>
              <w14:schemeClr w14:val="tx1"/>
            </w14:solidFill>
          </w14:textFill>
        </w:rPr>
        <w:t>财政资金投入上优先支持教育，</w:t>
      </w:r>
      <w:r>
        <w:rPr>
          <w:rFonts w:hint="eastAsia" w:ascii="仿宋_GB2312" w:hAnsi="仿宋_GB2312" w:eastAsia="仿宋_GB2312" w:cs="仿宋_GB2312"/>
          <w:color w:val="000000" w:themeColor="text1"/>
          <w:kern w:val="0"/>
          <w:sz w:val="32"/>
          <w:szCs w:val="32"/>
          <w14:textFill>
            <w14:solidFill>
              <w14:schemeClr w14:val="tx1"/>
            </w14:solidFill>
          </w14:textFill>
        </w:rPr>
        <w:t>公共资源配置上优先满足教育。健全保证财政教育投入持续稳定增长的长效机制。依法落实政府教育支出责任，完善各教育阶段生均预算拨款制度，支持和规范社会力量办</w:t>
      </w:r>
      <w:r>
        <w:rPr>
          <w:rFonts w:hint="eastAsia" w:ascii="仿宋_GB2312" w:hAnsi="仿宋_GB2312" w:eastAsia="仿宋_GB2312" w:cs="仿宋_GB2312"/>
          <w:color w:val="000000" w:themeColor="text1"/>
          <w:sz w:val="32"/>
          <w:szCs w:val="32"/>
          <w14:textFill>
            <w14:solidFill>
              <w14:schemeClr w14:val="tx1"/>
            </w14:solidFill>
          </w14:textFill>
        </w:rPr>
        <w:t>学。</w:t>
      </w:r>
    </w:p>
    <w:p>
      <w:pPr>
        <w:suppressAutoHyphens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全面推进教育理念、体系、制度、内容、方法创新。严格落实课程方案和课程标准，遵循教育规律和学生身心发展规律，尊重个体差异，因材施教，推行启发式、探究式、参与式、合作式教学，提高教学质量。落实《山东省普通中小学办学基本规范》，</w:t>
      </w:r>
      <w:r>
        <w:rPr>
          <w:rFonts w:ascii="仿宋_GB2312" w:hAnsi="仿宋_GB2312" w:eastAsia="仿宋_GB2312" w:cs="仿宋_GB2312"/>
          <w:color w:val="000000" w:themeColor="text1"/>
          <w:sz w:val="32"/>
          <w:szCs w:val="32"/>
          <w14:textFill>
            <w14:solidFill>
              <w14:schemeClr w14:val="tx1"/>
            </w14:solidFill>
          </w14:textFill>
        </w:rPr>
        <w:t>建立</w:t>
      </w:r>
      <w:r>
        <w:rPr>
          <w:rFonts w:hint="eastAsia" w:ascii="仿宋_GB2312" w:hAnsi="仿宋_GB2312" w:eastAsia="仿宋_GB2312" w:cs="仿宋_GB2312"/>
          <w:color w:val="000000" w:themeColor="text1"/>
          <w:sz w:val="32"/>
          <w:szCs w:val="32"/>
          <w14:textFill>
            <w14:solidFill>
              <w14:schemeClr w14:val="tx1"/>
            </w14:solidFill>
          </w14:textFill>
        </w:rPr>
        <w:t>拔尖</w:t>
      </w:r>
      <w:r>
        <w:rPr>
          <w:rFonts w:ascii="仿宋_GB2312" w:hAnsi="仿宋_GB2312" w:eastAsia="仿宋_GB2312" w:cs="仿宋_GB2312"/>
          <w:color w:val="000000" w:themeColor="text1"/>
          <w:sz w:val="32"/>
          <w:szCs w:val="32"/>
          <w14:textFill>
            <w14:solidFill>
              <w14:schemeClr w14:val="tx1"/>
            </w14:solidFill>
          </w14:textFill>
        </w:rPr>
        <w:t>创新后备人才培养体系，提升校园智能化水平，提高信息化服务教育教学</w:t>
      </w:r>
      <w:r>
        <w:rPr>
          <w:rFonts w:hint="eastAsia" w:ascii="仿宋_GB2312" w:hAnsi="仿宋_GB2312" w:eastAsia="仿宋_GB2312" w:cs="仿宋_GB2312"/>
          <w:color w:val="000000" w:themeColor="text1"/>
          <w:sz w:val="32"/>
          <w:szCs w:val="32"/>
          <w14:textFill>
            <w14:solidFill>
              <w14:schemeClr w14:val="tx1"/>
            </w14:solidFill>
          </w14:textFill>
        </w:rPr>
        <w:t>、管理能力水平</w:t>
      </w:r>
      <w:r>
        <w:rPr>
          <w:rFonts w:ascii="仿宋_GB2312" w:hAnsi="仿宋_GB2312" w:eastAsia="仿宋_GB2312" w:cs="仿宋_GB2312"/>
          <w:color w:val="000000" w:themeColor="text1"/>
          <w:sz w:val="32"/>
          <w:szCs w:val="32"/>
          <w14:textFill>
            <w14:solidFill>
              <w14:schemeClr w14:val="tx1"/>
            </w14:solidFill>
          </w14:textFill>
        </w:rPr>
        <w:t>，加强发展</w:t>
      </w:r>
      <w:r>
        <w:rPr>
          <w:rFonts w:hint="eastAsia" w:ascii="仿宋_GB2312" w:hAnsi="仿宋_GB2312" w:eastAsia="仿宋_GB2312" w:cs="仿宋_GB2312"/>
          <w:color w:val="000000" w:themeColor="text1"/>
          <w:sz w:val="32"/>
          <w:szCs w:val="32"/>
          <w14:textFill>
            <w14:solidFill>
              <w14:schemeClr w14:val="tx1"/>
            </w14:solidFill>
          </w14:textFill>
        </w:rPr>
        <w:t>适合</w:t>
      </w:r>
      <w:r>
        <w:rPr>
          <w:rFonts w:ascii="仿宋_GB2312" w:hAnsi="仿宋_GB2312" w:eastAsia="仿宋_GB2312" w:cs="仿宋_GB2312"/>
          <w:color w:val="000000" w:themeColor="text1"/>
          <w:sz w:val="32"/>
          <w:szCs w:val="32"/>
          <w14:textFill>
            <w14:solidFill>
              <w14:schemeClr w14:val="tx1"/>
            </w14:solidFill>
          </w14:textFill>
        </w:rPr>
        <w:t>不同学生的信息化自</w:t>
      </w:r>
      <w:r>
        <w:rPr>
          <w:rFonts w:hint="eastAsia" w:ascii="仿宋_GB2312" w:hAnsi="仿宋_GB2312" w:eastAsia="仿宋_GB2312" w:cs="仿宋_GB2312"/>
          <w:color w:val="000000" w:themeColor="text1"/>
          <w:sz w:val="32"/>
          <w:szCs w:val="32"/>
          <w14:textFill>
            <w14:solidFill>
              <w14:schemeClr w14:val="tx1"/>
            </w14:solidFill>
          </w14:textFill>
        </w:rPr>
        <w:t>主</w:t>
      </w:r>
      <w:r>
        <w:rPr>
          <w:rFonts w:ascii="仿宋_GB2312" w:hAnsi="仿宋_GB2312" w:eastAsia="仿宋_GB2312" w:cs="仿宋_GB2312"/>
          <w:color w:val="000000" w:themeColor="text1"/>
          <w:sz w:val="32"/>
          <w:szCs w:val="32"/>
          <w14:textFill>
            <w14:solidFill>
              <w14:schemeClr w14:val="tx1"/>
            </w14:solidFill>
          </w14:textFill>
        </w:rPr>
        <w:t>学习方式</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满足个性化</w:t>
      </w:r>
      <w:r>
        <w:rPr>
          <w:rFonts w:hint="eastAsia" w:ascii="仿宋_GB2312" w:hAnsi="仿宋_GB2312" w:eastAsia="仿宋_GB2312" w:cs="仿宋_GB2312"/>
          <w:color w:val="000000" w:themeColor="text1"/>
          <w:sz w:val="32"/>
          <w:szCs w:val="32"/>
          <w14:textFill>
            <w14:solidFill>
              <w14:schemeClr w14:val="tx1"/>
            </w14:solidFill>
          </w14:textFill>
        </w:rPr>
        <w:t>发展</w:t>
      </w:r>
      <w:r>
        <w:rPr>
          <w:rFonts w:ascii="仿宋_GB2312" w:hAnsi="仿宋_GB2312" w:eastAsia="仿宋_GB2312" w:cs="仿宋_GB2312"/>
          <w:color w:val="000000" w:themeColor="text1"/>
          <w:sz w:val="32"/>
          <w:szCs w:val="32"/>
          <w14:textFill>
            <w14:solidFill>
              <w14:schemeClr w14:val="tx1"/>
            </w14:solidFill>
          </w14:textFill>
        </w:rPr>
        <w:t>需求</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完善</w:t>
      </w:r>
      <w:r>
        <w:rPr>
          <w:rFonts w:ascii="仿宋_GB2312" w:hAnsi="仿宋_GB2312" w:eastAsia="仿宋_GB2312" w:cs="仿宋_GB2312"/>
          <w:color w:val="000000" w:themeColor="text1"/>
          <w:sz w:val="32"/>
          <w:szCs w:val="32"/>
          <w14:textFill>
            <w14:solidFill>
              <w14:schemeClr w14:val="tx1"/>
            </w14:solidFill>
          </w14:textFill>
        </w:rPr>
        <w:t>学校</w:t>
      </w:r>
      <w:r>
        <w:rPr>
          <w:rFonts w:hint="eastAsia" w:ascii="仿宋_GB2312" w:hAnsi="仿宋_GB2312" w:eastAsia="仿宋_GB2312" w:cs="仿宋_GB2312"/>
          <w:color w:val="000000" w:themeColor="text1"/>
          <w:sz w:val="32"/>
          <w:szCs w:val="32"/>
          <w14:textFill>
            <w14:solidFill>
              <w14:schemeClr w14:val="tx1"/>
            </w14:solidFill>
          </w14:textFill>
        </w:rPr>
        <w:t>家庭</w:t>
      </w:r>
      <w:r>
        <w:rPr>
          <w:rFonts w:ascii="仿宋_GB2312" w:hAnsi="仿宋_GB2312" w:eastAsia="仿宋_GB2312" w:cs="仿宋_GB2312"/>
          <w:color w:val="000000" w:themeColor="text1"/>
          <w:sz w:val="32"/>
          <w:szCs w:val="32"/>
          <w14:textFill>
            <w14:solidFill>
              <w14:schemeClr w14:val="tx1"/>
            </w14:solidFill>
          </w14:textFill>
        </w:rPr>
        <w:t>社会协同育人机制。</w:t>
      </w:r>
      <w:r>
        <w:rPr>
          <w:rFonts w:hint="eastAsia" w:ascii="仿宋_GB2312" w:hAnsi="仿宋_GB2312" w:eastAsia="仿宋_GB2312" w:cs="仿宋_GB2312"/>
          <w:color w:val="000000" w:themeColor="text1"/>
          <w:sz w:val="32"/>
          <w:szCs w:val="32"/>
          <w14:textFill>
            <w14:solidFill>
              <w14:schemeClr w14:val="tx1"/>
            </w14:solidFill>
          </w14:textFill>
        </w:rPr>
        <w:t>落实“双</w:t>
      </w:r>
      <w:r>
        <w:rPr>
          <w:rFonts w:ascii="仿宋_GB2312" w:hAnsi="仿宋_GB2312" w:eastAsia="仿宋_GB2312" w:cs="仿宋_GB2312"/>
          <w:color w:val="000000" w:themeColor="text1"/>
          <w:sz w:val="32"/>
          <w:szCs w:val="32"/>
          <w14:textFill>
            <w14:solidFill>
              <w14:schemeClr w14:val="tx1"/>
            </w14:solidFill>
          </w14:textFill>
        </w:rPr>
        <w:t>减”</w:t>
      </w:r>
      <w:r>
        <w:rPr>
          <w:rFonts w:hint="eastAsia" w:ascii="仿宋_GB2312" w:hAnsi="仿宋_GB2312" w:eastAsia="仿宋_GB2312" w:cs="仿宋_GB2312"/>
          <w:color w:val="000000" w:themeColor="text1"/>
          <w:sz w:val="32"/>
          <w:szCs w:val="32"/>
          <w14:textFill>
            <w14:solidFill>
              <w14:schemeClr w14:val="tx1"/>
            </w14:solidFill>
          </w14:textFill>
        </w:rPr>
        <w:t>政策</w:t>
      </w:r>
      <w:r>
        <w:rPr>
          <w:rFonts w:ascii="仿宋_GB2312" w:hAnsi="仿宋_GB2312" w:eastAsia="仿宋_GB2312" w:cs="仿宋_GB2312"/>
          <w:color w:val="000000" w:themeColor="text1"/>
          <w:sz w:val="32"/>
          <w:szCs w:val="32"/>
          <w14:textFill>
            <w14:solidFill>
              <w14:schemeClr w14:val="tx1"/>
            </w14:solidFill>
          </w14:textFill>
        </w:rPr>
        <w:t>，深入实施《</w:t>
      </w:r>
      <w:r>
        <w:rPr>
          <w:rFonts w:hint="eastAsia" w:ascii="仿宋_GB2312" w:hAnsi="仿宋_GB2312" w:eastAsia="仿宋_GB2312" w:cs="仿宋_GB2312"/>
          <w:color w:val="000000" w:themeColor="text1"/>
          <w:sz w:val="32"/>
          <w:szCs w:val="32"/>
          <w14:textFill>
            <w14:solidFill>
              <w14:schemeClr w14:val="tx1"/>
            </w14:solidFill>
          </w14:textFill>
        </w:rPr>
        <w:t>中华人民共和国家庭</w:t>
      </w:r>
      <w:r>
        <w:rPr>
          <w:rFonts w:ascii="仿宋_GB2312" w:hAnsi="仿宋_GB2312" w:eastAsia="仿宋_GB2312" w:cs="仿宋_GB2312"/>
          <w:color w:val="000000" w:themeColor="text1"/>
          <w:sz w:val="32"/>
          <w:szCs w:val="32"/>
          <w14:textFill>
            <w14:solidFill>
              <w14:schemeClr w14:val="tx1"/>
            </w14:solidFill>
          </w14:textFill>
        </w:rPr>
        <w:t>教育促进法》</w:t>
      </w:r>
      <w:r>
        <w:rPr>
          <w:rFonts w:hint="eastAsia" w:ascii="仿宋_GB2312" w:hAnsi="仿宋_GB2312" w:eastAsia="仿宋_GB2312" w:cs="仿宋_GB2312"/>
          <w:color w:val="000000" w:themeColor="text1"/>
          <w:sz w:val="32"/>
          <w:szCs w:val="32"/>
          <w14:textFill>
            <w14:solidFill>
              <w14:schemeClr w14:val="tx1"/>
            </w14:solidFill>
          </w14:textFill>
        </w:rPr>
        <w:t>，切实发挥家庭教育在生活、生存、生命教育中促进孩子身心健康发展的</w:t>
      </w:r>
      <w:r>
        <w:rPr>
          <w:rFonts w:ascii="仿宋_GB2312" w:hAnsi="仿宋_GB2312" w:eastAsia="仿宋_GB2312" w:cs="仿宋_GB2312"/>
          <w:color w:val="000000" w:themeColor="text1"/>
          <w:sz w:val="32"/>
          <w:szCs w:val="32"/>
          <w14:textFill>
            <w14:solidFill>
              <w14:schemeClr w14:val="tx1"/>
            </w14:solidFill>
          </w14:textFill>
        </w:rPr>
        <w:t>作用</w:t>
      </w:r>
      <w:r>
        <w:rPr>
          <w:rFonts w:hint="eastAsia" w:ascii="仿宋_GB2312" w:hAnsi="仿宋_GB2312" w:eastAsia="仿宋_GB2312" w:cs="仿宋_GB2312"/>
          <w:color w:val="000000" w:themeColor="text1"/>
          <w:sz w:val="32"/>
          <w:szCs w:val="32"/>
          <w14:textFill>
            <w14:solidFill>
              <w14:schemeClr w14:val="tx1"/>
            </w14:solidFill>
          </w14:textFill>
        </w:rPr>
        <w:t>。提升中小学、幼儿园家长学校、家长委员会建设水平，优化运行机制，提高家长参与学校教育的主动性、有效性。依托家长学校、社区家长课堂等载体，系统开展家庭教育指导与培训活动。深化“泉家共成长”家庭教育服务平台建设，确保公益普惠，扩大覆盖范围，提升家庭教育素养和水平。健全家庭教育社会组织准入和监管评估机制，促进家庭教育指导服务专业化规范化。健全学校周边环境综合治理机制，净化学生成长环境。</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加强教师队伍建设。完善师德师风建设长效机制，师德师风成为评价教师队伍素质的第一标准。公办幼儿园在编专任教师比例逐步达到50%，幼儿园专任教师专科及以上学历比例、义务教育阶段本科及以上学历专任教师比例、高中阶段教育专任教师中研究生学历比例分别提升到85%、96%、26%，中小学教师区管校聘、校长职级制实施机制不断完善。企业工程技术人员、高技能人才和职业院校教师双向流动的格局基本形成。教育干部队伍年轻化、专业化进程持续加快。</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开展民主、文明、和谐、平等的友好型学校建设。构建尊师爱生的师生关系和团结友爱的同学关系。推进校园无障碍环境建设和改造，为学生提供适合身高的课桌椅、安全饮用水和卫生厕所，改善学校用餐和学生寄宿条件。</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（7）促进学前教育普及普惠安全优质发展。加强学前教育服务供给的合理布局，增加普惠性学前教育服务供给。持续扩大 3-6 岁学前教育优质资源供给，创新学前教育资源供给与服务方式，通过新建、改扩建等举措，持续扩充学前教育资源总量，办好每一所家门口幼儿园。立足学龄前儿童身心全面发展，健全学前教育保教质量标准，以游戏为基本活动，保障在园幼儿健康成长。加强幼儿园与小学的双向科学衔接，防止和纠正幼儿园小学化倾向。</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推动义务教育优质均衡发展和城乡一体化。实施教育强镇筑基行动计划，坚持条件改善和质量提升两手抓，推进乡村教育振兴，集中优势资源大力提高镇（街）驻地学校的办学条件和教育水平。实施镇（街）寄宿制学校建设工程，改善食宿条件、文化生活条件，高标准提供校车、午餐等配套服务。完善“以城带乡、城乡一体”协同发展机制，深入推进学区制改革、城乡联盟、名校托管、集团化办学等模式，推动优质学校向薄弱学校输入核心管理团队、优质教师资源和先进办学理念，努力办好每一所家门口的学校。争取到“十四五”末，镇驻地学校与城区学校办学水平相对均衡，其教育服务承载能力、吸附能力明显增强。</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推动高中阶段学校多样化发展。统筹推进普通高中和中等职业教育协调发展，落实职普比大体相当的政策要求。推进普职融通，探索开展普通高中与中等职业学校课程互选、资源互通、学籍互转。完善普通高中发展保障机制，所有普通高中实现办学条件标准化，布局建设一批课程特色鲜明、布局科学合理、充分满足多样化学习需求的特色普通高中。夯实中等职业教育在现代职业教育体系中的基础地位，支持职业中等专业学校优化升级，优势专业（群）的设施设备配置达到全市领先水平。</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10</w:t>
      </w:r>
      <w:r>
        <w:rPr>
          <w:rFonts w:hint="eastAsia" w:ascii="仿宋_GB2312" w:hAnsi="仿宋_GB2312" w:eastAsia="仿宋_GB2312" w:cs="仿宋_GB2312"/>
          <w:color w:val="000000" w:themeColor="text1"/>
          <w:kern w:val="0"/>
          <w:sz w:val="32"/>
          <w:szCs w:val="32"/>
          <w14:textFill>
            <w14:solidFill>
              <w14:schemeClr w14:val="tx1"/>
            </w14:solidFill>
          </w14:textFill>
        </w:rPr>
        <w:t>）保障特殊儿童群体受教育权利。加强特殊教育学校建设，加大小规模、专门化特殊教育学校建设力度，增进民生福祉。推动特殊教育学校实行十五年一贯制办学，实行残疾学生从学前教育到高中阶段教育的15年免费教育。实施随班就读示范校（园）建设工程，积极推广医教、康教一体化模式，加强残疾学生职业技能提升和创业培训，积极探索超常儿童鉴别发现、培养评价机制。提高特殊教育教师津贴标准，全面落实高级职称评聘比例政策，实行适当倾斜。加强农村寄宿制学校建设和家庭经济困难学生精准资助，完善奖学金、助学金和助学贷款政策。</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11）推动中小学普遍开展性别平等教育。将性别平等教育融入学校教学内容、校园文化、社团活动和社会实践活动。加强师资培训，建设性别平等师资队伍。探索构建学校教育、家庭教育、社会教育相结合的性别平等教育模式。</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全面提升儿童科学素质。实施未成年人科学素质提升行动。开展学前科学启蒙教育。提高学校科学教育质量，完善课程标准和课程体系，丰富课程资源，培养儿童创新精神和实践能力。加强社会协同，注重利用科技馆、儿童活动中心、青少年宫、博物馆等校外场所开展校外科学学习和实践活动，增强儿童对科学技术的兴趣爱好和探究能力。广泛开展社区科普活动。加强专兼职科学教师和科技辅导员队伍建设。建立完善科学</w:t>
      </w:r>
      <w:r>
        <w:rPr>
          <w:rFonts w:ascii="仿宋_GB2312" w:hAnsi="仿宋_GB2312" w:eastAsia="仿宋_GB2312" w:cs="仿宋_GB2312"/>
          <w:color w:val="000000" w:themeColor="text1"/>
          <w:sz w:val="32"/>
          <w:szCs w:val="32"/>
          <w14:textFill>
            <w14:solidFill>
              <w14:schemeClr w14:val="tx1"/>
            </w14:solidFill>
          </w14:textFill>
        </w:rPr>
        <w:t>教育质量和未成年人</w:t>
      </w:r>
      <w:r>
        <w:rPr>
          <w:rFonts w:hint="eastAsia" w:ascii="仿宋_GB2312" w:hAnsi="仿宋_GB2312" w:eastAsia="仿宋_GB2312" w:cs="仿宋_GB2312"/>
          <w:color w:val="000000" w:themeColor="text1"/>
          <w:sz w:val="32"/>
          <w:szCs w:val="32"/>
          <w14:textFill>
            <w14:solidFill>
              <w14:schemeClr w14:val="tx1"/>
            </w14:solidFill>
          </w14:textFill>
        </w:rPr>
        <w:t>科学素质监测评估体系。</w:t>
      </w:r>
    </w:p>
    <w:p>
      <w:pPr>
        <w:suppressAutoHyphens w:val="0"/>
        <w:overflowPunct w:val="0"/>
        <w:spacing w:line="600" w:lineRule="exact"/>
        <w:ind w:firstLine="640" w:firstLineChars="200"/>
        <w:outlineLvl w:val="1"/>
        <w:rPr>
          <w:rFonts w:ascii="Times New Roman" w:hAnsi="Times New Roman" w:eastAsia="楷体_GB2312"/>
          <w:color w:val="000000" w:themeColor="text1"/>
          <w:sz w:val="32"/>
          <w:szCs w:val="32"/>
          <w14:textFill>
            <w14:solidFill>
              <w14:schemeClr w14:val="tx1"/>
            </w14:solidFill>
          </w14:textFill>
        </w:rPr>
      </w:pPr>
      <w:bookmarkStart w:id="38" w:name="_Toc2132386342"/>
      <w:r>
        <w:rPr>
          <w:rFonts w:ascii="Times New Roman" w:hAnsi="楷体" w:eastAsia="楷体_GB2312"/>
          <w:color w:val="000000" w:themeColor="text1"/>
          <w:sz w:val="32"/>
          <w:szCs w:val="32"/>
          <w14:textFill>
            <w14:solidFill>
              <w14:schemeClr w14:val="tx1"/>
            </w14:solidFill>
          </w14:textFill>
        </w:rPr>
        <w:t>（四）儿童与福利</w:t>
      </w:r>
      <w:bookmarkEnd w:id="38"/>
      <w:r>
        <w:rPr>
          <w:rFonts w:hint="eastAsia" w:ascii="Times New Roman" w:hAnsi="楷体" w:eastAsia="楷体_GB2312"/>
          <w:color w:val="000000" w:themeColor="text1"/>
          <w:sz w:val="32"/>
          <w:szCs w:val="32"/>
          <w14:textFill>
            <w14:solidFill>
              <w14:schemeClr w14:val="tx1"/>
            </w14:solidFill>
          </w14:textFill>
        </w:rPr>
        <w:t>。</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1.主要目标。</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（1）提升儿童福利水平，基本建成</w:t>
      </w:r>
      <w:r>
        <w:rPr>
          <w:rFonts w:hint="eastAsia" w:ascii="仿宋_GB2312" w:hAnsi="仿宋_GB2312" w:eastAsia="仿宋_GB2312" w:cs="仿宋_GB2312"/>
          <w:color w:val="000000" w:themeColor="text1"/>
          <w:sz w:val="32"/>
          <w:szCs w:val="32"/>
          <w14:textFill>
            <w14:solidFill>
              <w14:schemeClr w14:val="tx1"/>
            </w14:solidFill>
          </w14:textFill>
        </w:rPr>
        <w:t>与经济社会发展水平相适应的适度普惠型儿童福利制度体系。</w:t>
      </w:r>
      <w:r>
        <w:rPr>
          <w:rFonts w:hint="eastAsia" w:ascii="楷体" w:hAnsi="楷体" w:eastAsia="楷体_GB2312" w:cs="仿宋_GB2312"/>
          <w:color w:val="000000" w:themeColor="text1"/>
          <w:sz w:val="32"/>
          <w:szCs w:val="32"/>
          <w14:textFill>
            <w14:solidFill>
              <w14:schemeClr w14:val="tx1"/>
            </w14:solidFill>
          </w14:textFill>
        </w:rPr>
        <w:t>（牵头单位：区民政局，责任单位：区财政局、区发展和改革局、区卫生健康局、区残联）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shd w:val="clear" w:color="FFFFFF" w:fill="D9D9D9"/>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（2）扩大儿童基本公共服务供给，城乡、区域和群体间儿童公平享有基本公共服务。</w:t>
      </w:r>
      <w:r>
        <w:rPr>
          <w:rFonts w:hint="eastAsia" w:ascii="楷体" w:hAnsi="楷体" w:eastAsia="楷体_GB2312" w:cs="仿宋_GB2312"/>
          <w:color w:val="000000" w:themeColor="text1"/>
          <w:sz w:val="32"/>
          <w:szCs w:val="32"/>
          <w14:textFill>
            <w14:solidFill>
              <w14:schemeClr w14:val="tx1"/>
            </w14:solidFill>
          </w14:textFill>
        </w:rPr>
        <w:t>（牵头单位： 区发展和改革局、区妇儿工委办公室，责任单位：区卫生健康局、区民政局、区市场监管局、区文化和旅游局、 区城乡交通运输局、区教育和体育局）</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（3）巩固提高儿童基本医疗保障水平，保障儿童基本医疗权益。</w:t>
      </w:r>
      <w:r>
        <w:rPr>
          <w:rFonts w:hint="eastAsia" w:ascii="楷体" w:hAnsi="楷体" w:eastAsia="楷体_GB2312" w:cs="仿宋_GB2312"/>
          <w:color w:val="000000" w:themeColor="text1"/>
          <w:sz w:val="32"/>
          <w:szCs w:val="32"/>
          <w14:textFill>
            <w14:solidFill>
              <w14:schemeClr w14:val="tx1"/>
            </w14:solidFill>
          </w14:textFill>
        </w:rPr>
        <w:t>（牵头单位：区医保局，责任单位：区卫生健康局、区财政局、区民政局、区残联）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（4）全区婴幼儿照护服务政策</w:t>
      </w:r>
      <w:r>
        <w:rPr>
          <w:rFonts w:ascii="仿宋_GB2312" w:hAnsi="仿宋_GB2312" w:eastAsia="仿宋_GB2312" w:cs="仿宋_GB2312"/>
          <w:color w:val="000000" w:themeColor="text1"/>
          <w:sz w:val="32"/>
          <w:szCs w:val="32"/>
          <w14:textFill>
            <w14:solidFill>
              <w14:schemeClr w14:val="tx1"/>
            </w14:solidFill>
          </w14:textFill>
        </w:rPr>
        <w:t>、供给和监督管理</w:t>
      </w:r>
      <w:r>
        <w:rPr>
          <w:rFonts w:hint="eastAsia" w:ascii="仿宋_GB2312" w:hAnsi="仿宋_GB2312" w:eastAsia="仿宋_GB2312" w:cs="仿宋_GB2312"/>
          <w:color w:val="000000" w:themeColor="text1"/>
          <w:sz w:val="32"/>
          <w:szCs w:val="32"/>
          <w14:textFill>
            <w14:solidFill>
              <w14:schemeClr w14:val="tx1"/>
            </w14:solidFill>
          </w14:textFill>
        </w:rPr>
        <w:t>体系健全，</w:t>
      </w:r>
      <w:r>
        <w:rPr>
          <w:rFonts w:ascii="仿宋_GB2312" w:hAnsi="仿宋_GB2312" w:eastAsia="仿宋_GB2312" w:cs="仿宋_GB2312"/>
          <w:color w:val="000000" w:themeColor="text1"/>
          <w:sz w:val="32"/>
          <w:szCs w:val="32"/>
          <w14:textFill>
            <w14:solidFill>
              <w14:schemeClr w14:val="tx1"/>
            </w14:solidFill>
          </w14:textFill>
        </w:rPr>
        <w:t>普惠托育服务机构和托位数量持续增加，</w:t>
      </w:r>
      <w:r>
        <w:rPr>
          <w:rFonts w:hint="eastAsia" w:ascii="仿宋_GB2312" w:hAnsi="仿宋_GB2312" w:eastAsia="仿宋_GB2312" w:cs="仿宋_GB2312"/>
          <w:color w:val="000000" w:themeColor="text1"/>
          <w:sz w:val="32"/>
          <w:szCs w:val="32"/>
          <w14:textFill>
            <w14:solidFill>
              <w14:schemeClr w14:val="tx1"/>
            </w14:solidFill>
          </w14:textFill>
        </w:rPr>
        <w:t>确保我区2025年</w:t>
      </w:r>
      <w:r>
        <w:rPr>
          <w:rFonts w:ascii="仿宋_GB2312" w:hAnsi="仿宋_GB2312" w:eastAsia="仿宋_GB2312" w:cs="仿宋_GB2312"/>
          <w:color w:val="000000" w:themeColor="text1"/>
          <w:sz w:val="32"/>
          <w:szCs w:val="32"/>
          <w14:textFill>
            <w14:solidFill>
              <w14:schemeClr w14:val="tx1"/>
            </w14:solidFill>
          </w14:textFill>
        </w:rPr>
        <w:t>每</w:t>
      </w:r>
      <w:r>
        <w:rPr>
          <w:rFonts w:hint="eastAsia" w:ascii="仿宋_GB2312" w:hAnsi="仿宋_GB2312" w:eastAsia="仿宋_GB2312" w:cs="仿宋_GB2312"/>
          <w:color w:val="000000" w:themeColor="text1"/>
          <w:sz w:val="32"/>
          <w:szCs w:val="32"/>
          <w14:textFill>
            <w14:solidFill>
              <w14:schemeClr w14:val="tx1"/>
            </w14:solidFill>
          </w14:textFill>
        </w:rPr>
        <w:t>千</w:t>
      </w:r>
      <w:r>
        <w:rPr>
          <w:rFonts w:ascii="仿宋_GB2312" w:hAnsi="仿宋_GB2312" w:eastAsia="仿宋_GB2312" w:cs="仿宋_GB2312"/>
          <w:color w:val="000000" w:themeColor="text1"/>
          <w:sz w:val="32"/>
          <w:szCs w:val="32"/>
          <w14:textFill>
            <w14:solidFill>
              <w14:schemeClr w14:val="tx1"/>
            </w14:solidFill>
          </w14:textFill>
        </w:rPr>
        <w:t>人口</w:t>
      </w:r>
      <w:r>
        <w:rPr>
          <w:rFonts w:hint="eastAsia" w:ascii="仿宋_GB2312" w:hAnsi="仿宋_GB2312" w:eastAsia="仿宋_GB2312" w:cs="仿宋_GB2312"/>
          <w:color w:val="000000" w:themeColor="text1"/>
          <w:sz w:val="32"/>
          <w:szCs w:val="32"/>
          <w14:textFill>
            <w14:solidFill>
              <w14:schemeClr w14:val="tx1"/>
            </w14:solidFill>
          </w14:textFill>
        </w:rPr>
        <w:t>3岁以</w:t>
      </w:r>
      <w:r>
        <w:rPr>
          <w:rFonts w:ascii="仿宋_GB2312" w:hAnsi="仿宋_GB2312" w:eastAsia="仿宋_GB2312" w:cs="仿宋_GB2312"/>
          <w:color w:val="000000" w:themeColor="text1"/>
          <w:sz w:val="32"/>
          <w:szCs w:val="32"/>
          <w14:textFill>
            <w14:solidFill>
              <w14:schemeClr w14:val="tx1"/>
            </w14:solidFill>
          </w14:textFill>
        </w:rPr>
        <w:t>下</w:t>
      </w:r>
      <w:r>
        <w:rPr>
          <w:rFonts w:hint="eastAsia" w:ascii="仿宋_GB2312" w:hAnsi="仿宋_GB2312" w:eastAsia="仿宋_GB2312" w:cs="仿宋_GB2312"/>
          <w:color w:val="000000" w:themeColor="text1"/>
          <w:sz w:val="32"/>
          <w:szCs w:val="32"/>
          <w14:textFill>
            <w14:solidFill>
              <w14:schemeClr w14:val="tx1"/>
            </w14:solidFill>
          </w14:textFill>
        </w:rPr>
        <w:t>婴幼儿托</w:t>
      </w:r>
      <w:r>
        <w:rPr>
          <w:rFonts w:ascii="仿宋_GB2312" w:hAnsi="仿宋_GB2312" w:eastAsia="仿宋_GB2312" w:cs="仿宋_GB2312"/>
          <w:color w:val="000000" w:themeColor="text1"/>
          <w:sz w:val="32"/>
          <w:szCs w:val="32"/>
          <w14:textFill>
            <w14:solidFill>
              <w14:schemeClr w14:val="tx1"/>
            </w14:solidFill>
          </w14:textFill>
        </w:rPr>
        <w:t>位</w:t>
      </w:r>
      <w:r>
        <w:rPr>
          <w:rFonts w:hint="eastAsia" w:ascii="仿宋_GB2312" w:hAnsi="仿宋_GB2312" w:eastAsia="仿宋_GB2312" w:cs="仿宋_GB2312"/>
          <w:color w:val="000000" w:themeColor="text1"/>
          <w:sz w:val="32"/>
          <w:szCs w:val="32"/>
          <w14:textFill>
            <w14:solidFill>
              <w14:schemeClr w14:val="tx1"/>
            </w14:solidFill>
          </w14:textFill>
        </w:rPr>
        <w:t>数</w:t>
      </w:r>
      <w:r>
        <w:rPr>
          <w:rFonts w:ascii="仿宋_GB2312" w:hAnsi="仿宋_GB2312" w:eastAsia="仿宋_GB2312" w:cs="仿宋_GB2312"/>
          <w:color w:val="000000" w:themeColor="text1"/>
          <w:sz w:val="32"/>
          <w:szCs w:val="32"/>
          <w14:textFill>
            <w14:solidFill>
              <w14:schemeClr w14:val="tx1"/>
            </w14:solidFill>
          </w14:textFill>
        </w:rPr>
        <w:t>达到</w:t>
      </w:r>
      <w:r>
        <w:rPr>
          <w:rFonts w:hint="eastAsia" w:ascii="仿宋_GB2312" w:hAnsi="仿宋_GB2312" w:eastAsia="仿宋_GB2312" w:cs="仿宋_GB2312"/>
          <w:color w:val="000000" w:themeColor="text1"/>
          <w:sz w:val="32"/>
          <w:szCs w:val="32"/>
          <w14:textFill>
            <w14:solidFill>
              <w14:schemeClr w14:val="tx1"/>
            </w14:solidFill>
          </w14:textFill>
        </w:rPr>
        <w:t>5个</w:t>
      </w:r>
      <w:r>
        <w:rPr>
          <w:rFonts w:ascii="仿宋_GB2312" w:hAnsi="仿宋_GB2312" w:eastAsia="仿宋_GB2312" w:cs="仿宋_GB2312"/>
          <w:color w:val="000000" w:themeColor="text1"/>
          <w:sz w:val="32"/>
          <w:szCs w:val="32"/>
          <w14:textFill>
            <w14:solidFill>
              <w14:schemeClr w14:val="tx1"/>
            </w14:solidFill>
          </w14:textFill>
        </w:rPr>
        <w:t>，家庭</w:t>
      </w:r>
      <w:r>
        <w:rPr>
          <w:rFonts w:hint="eastAsia" w:ascii="仿宋_GB2312" w:hAnsi="仿宋_GB2312" w:eastAsia="仿宋_GB2312" w:cs="仿宋_GB2312"/>
          <w:color w:val="000000" w:themeColor="text1"/>
          <w:sz w:val="32"/>
          <w:szCs w:val="32"/>
          <w14:textFill>
            <w14:solidFill>
              <w14:schemeClr w14:val="tx1"/>
            </w14:solidFill>
          </w14:textFill>
        </w:rPr>
        <w:t>婴幼儿</w:t>
      </w:r>
      <w:r>
        <w:rPr>
          <w:rFonts w:ascii="仿宋_GB2312" w:hAnsi="仿宋_GB2312" w:eastAsia="仿宋_GB2312" w:cs="仿宋_GB2312"/>
          <w:color w:val="000000" w:themeColor="text1"/>
          <w:sz w:val="32"/>
          <w:szCs w:val="32"/>
          <w14:textFill>
            <w14:solidFill>
              <w14:schemeClr w14:val="tx1"/>
            </w14:solidFill>
          </w14:textFill>
        </w:rPr>
        <w:t>照护服务规范开展</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（牵头单位：区卫生健康局，责任单位：区发展和改革局、区民政局、区人力资源和社会保障局、区自然资源局、区城市规划建设服务中心、区市场监管局、区总工会、区妇联）</w:t>
      </w:r>
    </w:p>
    <w:p>
      <w:pPr>
        <w:suppressAutoHyphens w:val="0"/>
        <w:overflowPunct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（5）孤儿和事实无人抚养儿童、残疾儿童、流浪儿童的生存、发展、安全权益有</w:t>
      </w:r>
      <w:r>
        <w:rPr>
          <w:rFonts w:ascii="仿宋_GB2312" w:hAnsi="仿宋_GB2312" w:eastAsia="仿宋_GB2312" w:cs="仿宋_GB2312"/>
          <w:color w:val="000000" w:themeColor="text1"/>
          <w:sz w:val="32"/>
          <w:szCs w:val="32"/>
          <w14:textFill>
            <w14:solidFill>
              <w14:schemeClr w14:val="tx1"/>
            </w14:solidFill>
          </w14:textFill>
        </w:rPr>
        <w:t>效</w:t>
      </w:r>
      <w:r>
        <w:rPr>
          <w:rFonts w:hint="eastAsia" w:ascii="仿宋_GB2312" w:hAnsi="仿宋_GB2312" w:eastAsia="仿宋_GB2312" w:cs="仿宋_GB2312"/>
          <w:color w:val="000000" w:themeColor="text1"/>
          <w:sz w:val="32"/>
          <w:szCs w:val="32"/>
          <w14:textFill>
            <w14:solidFill>
              <w14:schemeClr w14:val="tx1"/>
            </w14:solidFill>
          </w14:textFill>
        </w:rPr>
        <w:t>保障。有康复需求的残疾儿童基</w:t>
      </w:r>
      <w:r>
        <w:rPr>
          <w:rFonts w:hint="eastAsia" w:ascii="仿宋_GB2312" w:hAnsi="仿宋_GB2312" w:eastAsia="仿宋_GB2312" w:cs="仿宋_GB2312"/>
          <w:color w:val="000000" w:themeColor="text1"/>
          <w:kern w:val="0"/>
          <w:sz w:val="32"/>
          <w:szCs w:val="32"/>
          <w14:textFill>
            <w14:solidFill>
              <w14:schemeClr w14:val="tx1"/>
            </w14:solidFill>
          </w14:textFill>
        </w:rPr>
        <w:t>本康复服务全覆盖。孤儿、事实无人抚养儿童、重点困境儿童基本生活费标准进一步提高。</w:t>
      </w:r>
      <w:r>
        <w:rPr>
          <w:rFonts w:hint="eastAsia" w:ascii="楷体" w:hAnsi="楷体" w:eastAsia="楷体_GB2312" w:cs="仿宋_GB2312"/>
          <w:color w:val="000000" w:themeColor="text1"/>
          <w:sz w:val="32"/>
          <w:szCs w:val="32"/>
          <w14:textFill>
            <w14:solidFill>
              <w14:schemeClr w14:val="tx1"/>
            </w14:solidFill>
          </w14:textFill>
        </w:rPr>
        <w:t>（牵头单位：区民政局、区残联，责任单位：区财政局、 区卫生健康局、区关工委）</w:t>
      </w:r>
    </w:p>
    <w:p>
      <w:pPr>
        <w:suppressAutoHyphens w:val="0"/>
        <w:overflowPunct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（6）农村留守儿童关爱服务体系不</w:t>
      </w:r>
      <w:r>
        <w:rPr>
          <w:rFonts w:ascii="仿宋_GB2312" w:hAnsi="仿宋_GB2312" w:eastAsia="仿宋_GB2312" w:cs="仿宋_GB2312"/>
          <w:color w:val="000000" w:themeColor="text1"/>
          <w:kern w:val="0"/>
          <w:sz w:val="32"/>
          <w:szCs w:val="32"/>
          <w14:textFill>
            <w14:solidFill>
              <w14:schemeClr w14:val="tx1"/>
            </w14:solidFill>
          </w14:textFill>
        </w:rPr>
        <w:t>断</w:t>
      </w:r>
      <w:r>
        <w:rPr>
          <w:rFonts w:hint="eastAsia" w:ascii="仿宋_GB2312" w:hAnsi="仿宋_GB2312" w:eastAsia="仿宋_GB2312" w:cs="仿宋_GB2312"/>
          <w:color w:val="000000" w:themeColor="text1"/>
          <w:kern w:val="0"/>
          <w:sz w:val="32"/>
          <w:szCs w:val="32"/>
          <w14:textFill>
            <w14:solidFill>
              <w14:schemeClr w14:val="tx1"/>
            </w14:solidFill>
          </w14:textFill>
        </w:rPr>
        <w:t>完善，</w:t>
      </w:r>
      <w:r>
        <w:rPr>
          <w:rFonts w:ascii="仿宋_GB2312" w:hAnsi="仿宋_GB2312" w:eastAsia="仿宋_GB2312" w:cs="仿宋_GB2312"/>
          <w:color w:val="000000" w:themeColor="text1"/>
          <w:kern w:val="0"/>
          <w:sz w:val="32"/>
          <w:szCs w:val="32"/>
          <w14:textFill>
            <w14:solidFill>
              <w14:schemeClr w14:val="tx1"/>
            </w14:solidFill>
          </w14:textFill>
        </w:rPr>
        <w:t>流动儿童服务机制更加健全</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（牵头单位：区民政局、区教育和体育局、区卫生健康局，责任单位：区发展和改革局、区财政局、区人力资源和社会保障局、区法院、区检察院、 区公安分局、区</w:t>
      </w:r>
      <w:r>
        <w:rPr>
          <w:rFonts w:ascii="楷体" w:hAnsi="楷体" w:eastAsia="楷体_GB2312" w:cs="仿宋_GB2312"/>
          <w:color w:val="000000" w:themeColor="text1"/>
          <w:sz w:val="32"/>
          <w:szCs w:val="32"/>
          <w14:textFill>
            <w14:solidFill>
              <w14:schemeClr w14:val="tx1"/>
            </w14:solidFill>
          </w14:textFill>
        </w:rPr>
        <w:t>司法局、</w:t>
      </w:r>
      <w:r>
        <w:rPr>
          <w:rFonts w:hint="eastAsia" w:ascii="楷体" w:hAnsi="楷体" w:eastAsia="楷体_GB2312" w:cs="仿宋_GB2312"/>
          <w:color w:val="000000" w:themeColor="text1"/>
          <w:sz w:val="32"/>
          <w:szCs w:val="32"/>
          <w14:textFill>
            <w14:solidFill>
              <w14:schemeClr w14:val="tx1"/>
            </w14:solidFill>
          </w14:textFill>
        </w:rPr>
        <w:t>区委宣传部、区融媒中心、区妇联、团区委、区关工委）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（7）基层儿童福利工作阵地和队伍建设进</w:t>
      </w:r>
      <w:r>
        <w:rPr>
          <w:rFonts w:ascii="仿宋_GB2312" w:hAnsi="仿宋_GB2312" w:eastAsia="仿宋_GB2312" w:cs="仿宋_GB2312"/>
          <w:color w:val="000000" w:themeColor="text1"/>
          <w:sz w:val="32"/>
          <w:szCs w:val="32"/>
          <w14:textFill>
            <w14:solidFill>
              <w14:schemeClr w14:val="tx1"/>
            </w14:solidFill>
          </w14:textFill>
        </w:rPr>
        <w:t>一步</w:t>
      </w:r>
      <w:r>
        <w:rPr>
          <w:rFonts w:hint="eastAsia" w:ascii="仿宋_GB2312" w:hAnsi="仿宋_GB2312" w:eastAsia="仿宋_GB2312" w:cs="仿宋_GB2312"/>
          <w:color w:val="000000" w:themeColor="text1"/>
          <w:sz w:val="32"/>
          <w:szCs w:val="32"/>
          <w14:textFill>
            <w14:solidFill>
              <w14:schemeClr w14:val="tx1"/>
            </w14:solidFill>
          </w14:textFill>
        </w:rPr>
        <w:t>加强。（街道）镇配备儿童督导员，村（居）配备儿童主任。</w:t>
      </w:r>
      <w:r>
        <w:rPr>
          <w:rFonts w:hint="eastAsia" w:ascii="楷体" w:hAnsi="楷体" w:eastAsia="楷体_GB2312" w:cs="仿宋_GB2312"/>
          <w:color w:val="000000" w:themeColor="text1"/>
          <w:sz w:val="32"/>
          <w:szCs w:val="32"/>
          <w14:textFill>
            <w14:solidFill>
              <w14:schemeClr w14:val="tx1"/>
            </w14:solidFill>
          </w14:textFill>
        </w:rPr>
        <w:t>（牵头单位：区民政局，责任单位：区发展和改革局、区财政局、 区自然资源局、区城市规划建设服务中心、团区委、区妇联、区关工委）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（8）监测预防、强制报告、应急处置、评估帮扶、监护干预“五位一体”的基层儿童保护机制有</w:t>
      </w:r>
      <w:r>
        <w:rPr>
          <w:rFonts w:ascii="仿宋_GB2312" w:hAnsi="仿宋_GB2312" w:eastAsia="仿宋_GB2312" w:cs="仿宋_GB2312"/>
          <w:color w:val="000000" w:themeColor="text1"/>
          <w:sz w:val="32"/>
          <w:szCs w:val="32"/>
          <w14:textFill>
            <w14:solidFill>
              <w14:schemeClr w14:val="tx1"/>
            </w14:solidFill>
          </w14:textFill>
        </w:rPr>
        <w:t>效运行</w:t>
      </w:r>
      <w:r>
        <w:rPr>
          <w:rFonts w:hint="eastAsia" w:ascii="仿宋_GB2312" w:hAnsi="仿宋_GB2312" w:eastAsia="仿宋_GB2312" w:cs="仿宋_GB2312"/>
          <w:color w:val="000000" w:themeColor="text1"/>
          <w:sz w:val="32"/>
          <w:szCs w:val="32"/>
          <w14:textFill>
            <w14:solidFill>
              <w14:schemeClr w14:val="tx1"/>
            </w14:solidFill>
          </w14:textFill>
        </w:rPr>
        <w:t>。有效运行“未保专席”。</w:t>
      </w:r>
      <w:r>
        <w:rPr>
          <w:rFonts w:hint="eastAsia" w:ascii="楷体" w:hAnsi="楷体" w:eastAsia="楷体_GB2312" w:cs="仿宋_GB2312"/>
          <w:color w:val="000000" w:themeColor="text1"/>
          <w:sz w:val="32"/>
          <w:szCs w:val="32"/>
          <w14:textFill>
            <w14:solidFill>
              <w14:schemeClr w14:val="tx1"/>
            </w14:solidFill>
          </w14:textFill>
        </w:rPr>
        <w:t>（牵头单位：区民政局，责任单位：区公安分局、区检察院、 区法院、区教育和体育局、区司法局、区卫生健康局、区财政局、团区委、区妇联、区关工委）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2.策略措施。</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（1）完善儿童福利制度体系。</w:t>
      </w:r>
      <w:r>
        <w:rPr>
          <w:rFonts w:hint="eastAsia" w:ascii="仿宋_GB2312" w:hAnsi="仿宋_GB2312" w:eastAsia="仿宋_GB2312" w:cs="仿宋_GB2312"/>
          <w:color w:val="000000" w:themeColor="text1"/>
          <w:sz w:val="32"/>
          <w:szCs w:val="32"/>
          <w14:textFill>
            <w14:solidFill>
              <w14:schemeClr w14:val="tx1"/>
            </w14:solidFill>
          </w14:textFill>
        </w:rPr>
        <w:t>重点围绕养护、教育、医疗、安全保障等方面，衔接相关福利制度，不</w:t>
      </w:r>
      <w:r>
        <w:rPr>
          <w:rFonts w:ascii="仿宋_GB2312" w:hAnsi="仿宋_GB2312" w:eastAsia="仿宋_GB2312" w:cs="仿宋_GB2312"/>
          <w:color w:val="000000" w:themeColor="text1"/>
          <w:sz w:val="32"/>
          <w:szCs w:val="32"/>
          <w14:textFill>
            <w14:solidFill>
              <w14:schemeClr w14:val="tx1"/>
            </w14:solidFill>
          </w14:textFill>
        </w:rPr>
        <w:t>断完善</w:t>
      </w:r>
      <w:r>
        <w:rPr>
          <w:rFonts w:hint="eastAsia" w:ascii="仿宋_GB2312" w:hAnsi="仿宋_GB2312" w:eastAsia="仿宋_GB2312" w:cs="仿宋_GB2312"/>
          <w:color w:val="000000" w:themeColor="text1"/>
          <w:sz w:val="32"/>
          <w:szCs w:val="32"/>
          <w14:textFill>
            <w14:solidFill>
              <w14:schemeClr w14:val="tx1"/>
            </w14:solidFill>
          </w14:textFill>
        </w:rPr>
        <w:t>适度普惠型儿童福利制度体系。规范认定标准和程序，简化申请审批流程，确保符合条件的孤困儿童应保尽保。实行主动发现机制，加强动态管理和定期核查，建立完备信息台账和档案。立足</w:t>
      </w:r>
      <w:r>
        <w:rPr>
          <w:rFonts w:ascii="仿宋_GB2312" w:hAnsi="仿宋_GB2312" w:eastAsia="仿宋_GB2312" w:cs="仿宋_GB2312"/>
          <w:color w:val="000000" w:themeColor="text1"/>
          <w:sz w:val="32"/>
          <w:szCs w:val="32"/>
          <w14:textFill>
            <w14:solidFill>
              <w14:schemeClr w14:val="tx1"/>
            </w14:solidFill>
          </w14:textFill>
        </w:rPr>
        <w:t>于儿童</w:t>
      </w:r>
      <w:r>
        <w:rPr>
          <w:rFonts w:hint="eastAsia" w:ascii="仿宋_GB2312" w:hAnsi="仿宋_GB2312" w:eastAsia="仿宋_GB2312" w:cs="仿宋_GB2312"/>
          <w:color w:val="000000" w:themeColor="text1"/>
          <w:sz w:val="32"/>
          <w:szCs w:val="32"/>
          <w14:textFill>
            <w14:solidFill>
              <w14:schemeClr w14:val="tx1"/>
            </w14:solidFill>
          </w14:textFill>
        </w:rPr>
        <w:t>及我区经济社会发展</w:t>
      </w:r>
      <w:r>
        <w:rPr>
          <w:rFonts w:ascii="仿宋_GB2312" w:hAnsi="仿宋_GB2312" w:eastAsia="仿宋_GB2312" w:cs="仿宋_GB2312"/>
          <w:color w:val="000000" w:themeColor="text1"/>
          <w:sz w:val="32"/>
          <w:szCs w:val="32"/>
          <w14:textFill>
            <w14:solidFill>
              <w14:schemeClr w14:val="tx1"/>
            </w14:solidFill>
          </w14:textFill>
        </w:rPr>
        <w:t>实际，</w:t>
      </w:r>
      <w:r>
        <w:rPr>
          <w:rFonts w:hint="eastAsia" w:ascii="仿宋_GB2312" w:hAnsi="仿宋_GB2312" w:eastAsia="仿宋_GB2312" w:cs="仿宋_GB2312"/>
          <w:color w:val="000000" w:themeColor="text1"/>
          <w:sz w:val="32"/>
          <w:szCs w:val="32"/>
          <w14:textFill>
            <w14:solidFill>
              <w14:schemeClr w14:val="tx1"/>
            </w14:solidFill>
          </w14:textFill>
        </w:rPr>
        <w:t>建立长效动态增长机制，落实儿童基本</w:t>
      </w:r>
      <w:r>
        <w:rPr>
          <w:rFonts w:ascii="仿宋_GB2312" w:hAnsi="仿宋_GB2312" w:eastAsia="仿宋_GB2312" w:cs="仿宋_GB2312"/>
          <w:color w:val="000000" w:themeColor="text1"/>
          <w:sz w:val="32"/>
          <w:szCs w:val="32"/>
          <w14:textFill>
            <w14:solidFill>
              <w14:schemeClr w14:val="tx1"/>
            </w14:solidFill>
          </w14:textFill>
        </w:rPr>
        <w:t>生活兜底保障。</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（2）提高面向儿童的基本公共服务供给水平。</w:t>
      </w:r>
      <w:r>
        <w:rPr>
          <w:rFonts w:hint="eastAsia" w:ascii="仿宋_GB2312" w:hAnsi="仿宋_GB2312" w:eastAsia="仿宋_GB2312" w:cs="仿宋_GB2312"/>
          <w:color w:val="000000" w:themeColor="text1"/>
          <w:sz w:val="32"/>
          <w:szCs w:val="32"/>
          <w14:textFill>
            <w14:solidFill>
              <w14:schemeClr w14:val="tx1"/>
            </w14:solidFill>
          </w14:textFill>
        </w:rPr>
        <w:t>提高基本公共服务可及性和均等化水平，将儿童教育、医疗卫生、福利保障事项优先纳入基本公共服务清单。加强儿童基本公共服务标准化建设，基本公共服务投入向薄弱环节、特殊儿童群体倾斜。扩大公共服务覆盖面，全面落实儿童乘坐公共交通工具和游览参观票价优惠政策，推进采取年龄标准优先、身高标准补充的方式执行。</w:t>
      </w:r>
    </w:p>
    <w:p>
      <w:pPr>
        <w:suppressAutoHyphens w:val="0"/>
        <w:overflowPunct w:val="0"/>
        <w:adjustRightInd w:val="0"/>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（3）健全儿童医疗保障。强化基本医疗保险、大病保险与医疗救助三重保障功能，巩固提高儿童参加城乡居民基本医疗保险覆盖率。完善</w:t>
      </w:r>
      <w:r>
        <w:rPr>
          <w:rFonts w:ascii="仿宋_GB2312" w:hAnsi="仿宋_GB2312" w:eastAsia="仿宋_GB2312" w:cs="仿宋_GB2312"/>
          <w:color w:val="000000" w:themeColor="text1"/>
          <w:sz w:val="32"/>
          <w:szCs w:val="32"/>
          <w14:textFill>
            <w14:solidFill>
              <w14:schemeClr w14:val="tx1"/>
            </w14:solidFill>
          </w14:textFill>
        </w:rPr>
        <w:t>儿童医疗服务价格动态</w:t>
      </w:r>
      <w:r>
        <w:rPr>
          <w:rFonts w:hint="eastAsia" w:ascii="仿宋_GB2312" w:hAnsi="仿宋_GB2312" w:eastAsia="仿宋_GB2312" w:cs="仿宋_GB2312"/>
          <w:color w:val="000000" w:themeColor="text1"/>
          <w:sz w:val="32"/>
          <w:szCs w:val="32"/>
          <w14:textFill>
            <w14:solidFill>
              <w14:schemeClr w14:val="tx1"/>
            </w14:solidFill>
          </w14:textFill>
        </w:rPr>
        <w:t>调整机制。落实孤儿、困境儿童和</w:t>
      </w:r>
      <w:r>
        <w:rPr>
          <w:rFonts w:ascii="仿宋_GB2312" w:hAnsi="仿宋_GB2312" w:eastAsia="仿宋_GB2312" w:cs="仿宋_GB2312"/>
          <w:color w:val="000000" w:themeColor="text1"/>
          <w:sz w:val="32"/>
          <w:szCs w:val="32"/>
          <w14:textFill>
            <w14:solidFill>
              <w14:schemeClr w14:val="tx1"/>
            </w14:solidFill>
          </w14:textFill>
        </w:rPr>
        <w:t>残疾儿童</w:t>
      </w:r>
      <w:r>
        <w:rPr>
          <w:rFonts w:hint="eastAsia" w:ascii="仿宋_GB2312" w:hAnsi="仿宋_GB2312" w:eastAsia="仿宋_GB2312" w:cs="仿宋_GB2312"/>
          <w:color w:val="000000" w:themeColor="text1"/>
          <w:sz w:val="32"/>
          <w:szCs w:val="32"/>
          <w14:textFill>
            <w14:solidFill>
              <w14:schemeClr w14:val="tx1"/>
            </w14:solidFill>
          </w14:textFill>
        </w:rPr>
        <w:t>医疗保障政策，着力解决困难家庭、流动人口家庭断保、漏保问题。加强对符合条件的儿童重大疾病的医疗救助。促进各类医疗保障互补衔接，支持商业保险机构开发推广适宜不同年龄阶段儿童的大病和意外伤害险产品，统筹调动慈善医疗救助力量，支持医疗互助有序发展，合力降低患儿家庭医疗费用负担。</w:t>
      </w:r>
    </w:p>
    <w:p>
      <w:pPr>
        <w:suppressAutoHyphens w:val="0"/>
        <w:spacing w:line="600" w:lineRule="exact"/>
        <w:ind w:firstLine="640" w:firstLineChars="200"/>
        <w:rPr>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多元化促进3岁以下婴幼儿照护服务。开展涵盖良好健康、充足营养、回应性照护、早期学习、安全保障等多维度的城乡儿童早期综合服务。建立完善有利于婴幼儿照护服务发展的政策支持、管理规范、服务供给体系。大力发展普惠托育服务体系，促进3岁以下婴幼儿照护服务专业化、规范化发展，支持事业单位和社会力量提供普惠托育服务，鼓励幼儿园发展托幼一体化服务。区级建有示范引领作用的托育服务机构。鼓励用人单位在工作场所为职工提供福利性婴幼儿照护服务。健全托育机构备案登记管理制度。完善监督体系，运用互联网等信息化手段对婴幼儿照护服务机构的服务过程加强监管。成立婴幼儿照护服务协会，做好托育服务从业人员培训工作，不断提升托育机构服务水平。</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加强孤儿和事实无人抚养儿童、重点困境儿童保障。不断完善孤儿、事实无人抚养儿童、重点困境儿童、受艾滋病影响儿童基本生活保障制度，扩大事实无人抚养儿童保障范围。持续开展“孤儿医疗康复明天计划”“福彩圆梦·孤儿助学工程”，提升孤儿健康关爱水平。开展符合条件的事实无人抚养儿童集中养育试点，稳步开展儿童福利机构内残疾孤儿、残疾弃婴依法收养后基本生活补贴延续政策。落实</w:t>
      </w:r>
      <w:r>
        <w:rPr>
          <w:rFonts w:ascii="仿宋_GB2312" w:hAnsi="仿宋_GB2312" w:eastAsia="仿宋_GB2312" w:cs="仿宋_GB2312"/>
          <w:color w:val="000000" w:themeColor="text1"/>
          <w:sz w:val="32"/>
          <w:szCs w:val="32"/>
          <w14:textFill>
            <w14:solidFill>
              <w14:schemeClr w14:val="tx1"/>
            </w14:solidFill>
          </w14:textFill>
        </w:rPr>
        <w:t>收养政策，</w:t>
      </w:r>
      <w:r>
        <w:rPr>
          <w:rFonts w:hint="eastAsia" w:ascii="仿宋_GB2312" w:hAnsi="仿宋_GB2312" w:eastAsia="仿宋_GB2312" w:cs="仿宋_GB2312"/>
          <w:color w:val="000000" w:themeColor="text1"/>
          <w:sz w:val="32"/>
          <w:szCs w:val="32"/>
          <w14:textFill>
            <w14:solidFill>
              <w14:schemeClr w14:val="tx1"/>
            </w14:solidFill>
          </w14:textFill>
        </w:rPr>
        <w:t>健全收养评估制度，建立收养状况回访监督制度。</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落实残疾儿童康复救助制度。完善残疾儿童筛查、诊断、治疗、康复一体化工作机制，建立残疾报告和信息共享制度。提高残疾儿童康复服务覆盖率，为有需求的残疾儿童提供康复医疗、辅助器具、康复训练等基本康复服务。优化</w:t>
      </w:r>
      <w:r>
        <w:rPr>
          <w:rFonts w:ascii="仿宋_GB2312" w:hAnsi="仿宋_GB2312" w:eastAsia="仿宋_GB2312" w:cs="仿宋_GB2312"/>
          <w:color w:val="000000" w:themeColor="text1"/>
          <w:sz w:val="32"/>
          <w:szCs w:val="32"/>
          <w14:textFill>
            <w14:solidFill>
              <w14:schemeClr w14:val="tx1"/>
            </w14:solidFill>
          </w14:textFill>
        </w:rPr>
        <w:t>康复辅助器具产业布局，促进与科技、金融</w:t>
      </w:r>
      <w:r>
        <w:rPr>
          <w:rFonts w:hint="eastAsia" w:ascii="仿宋_GB2312" w:hAnsi="仿宋_GB2312" w:eastAsia="仿宋_GB2312" w:cs="仿宋_GB2312"/>
          <w:color w:val="000000" w:themeColor="text1"/>
          <w:sz w:val="32"/>
          <w:szCs w:val="32"/>
          <w14:textFill>
            <w14:solidFill>
              <w14:schemeClr w14:val="tx1"/>
            </w14:solidFill>
          </w14:textFill>
        </w:rPr>
        <w:t>及</w:t>
      </w:r>
      <w:r>
        <w:rPr>
          <w:rFonts w:ascii="仿宋_GB2312" w:hAnsi="仿宋_GB2312" w:eastAsia="仿宋_GB2312" w:cs="仿宋_GB2312"/>
          <w:color w:val="000000" w:themeColor="text1"/>
          <w:sz w:val="32"/>
          <w:szCs w:val="32"/>
          <w14:textFill>
            <w14:solidFill>
              <w14:schemeClr w14:val="tx1"/>
            </w14:solidFill>
          </w14:textFill>
        </w:rPr>
        <w:t>其它产业融合发展，互促共赢，构建多元化的辅助器具服务网络</w:t>
      </w:r>
      <w:r>
        <w:rPr>
          <w:rFonts w:hint="eastAsia" w:ascii="仿宋_GB2312" w:hAnsi="仿宋_GB2312" w:eastAsia="仿宋_GB2312" w:cs="仿宋_GB2312"/>
          <w:color w:val="000000" w:themeColor="text1"/>
          <w:sz w:val="32"/>
          <w:szCs w:val="32"/>
          <w14:textFill>
            <w14:solidFill>
              <w14:schemeClr w14:val="tx1"/>
            </w14:solidFill>
          </w14:textFill>
        </w:rPr>
        <w:t>，增强残疾儿童康复服务供给能力。支持儿童福利机构面向社会残疾儿童开展替代照料、养育教育辅导、康复训练等服务。</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（7）加强流浪儿童救助保护工作。落实流浪儿童街面巡查和转</w:t>
      </w:r>
      <w:r>
        <w:rPr>
          <w:rFonts w:ascii="仿宋_GB2312" w:hAnsi="仿宋_GB2312" w:eastAsia="仿宋_GB2312" w:cs="仿宋_GB2312"/>
          <w:color w:val="000000" w:themeColor="text1"/>
          <w:sz w:val="32"/>
          <w:szCs w:val="32"/>
          <w14:textFill>
            <w14:solidFill>
              <w14:schemeClr w14:val="tx1"/>
            </w14:solidFill>
          </w14:textFill>
        </w:rPr>
        <w:t>介处置职责、</w:t>
      </w:r>
      <w:r>
        <w:rPr>
          <w:rFonts w:hint="eastAsia" w:ascii="仿宋_GB2312" w:hAnsi="仿宋_GB2312" w:eastAsia="仿宋_GB2312" w:cs="仿宋_GB2312"/>
          <w:color w:val="000000" w:themeColor="text1"/>
          <w:sz w:val="32"/>
          <w:szCs w:val="32"/>
          <w14:textFill>
            <w14:solidFill>
              <w14:schemeClr w14:val="tx1"/>
            </w14:solidFill>
          </w14:textFill>
        </w:rPr>
        <w:t>依法依规为流浪儿童提供照料、身份查询、接送返回等服务。流出地政府建立源头治理和回归稳固机制，落实流浪儿童相关社会保障和义务教育等政策，教育督促流浪儿童父母或其他监护人履行抚养义务。依法</w:t>
      </w:r>
      <w:r>
        <w:rPr>
          <w:rFonts w:ascii="仿宋_GB2312" w:hAnsi="仿宋_GB2312" w:eastAsia="仿宋_GB2312" w:cs="仿宋_GB2312"/>
          <w:color w:val="000000" w:themeColor="text1"/>
          <w:sz w:val="32"/>
          <w:szCs w:val="32"/>
          <w14:textFill>
            <w14:solidFill>
              <w14:schemeClr w14:val="tx1"/>
            </w14:solidFill>
          </w14:textFill>
        </w:rPr>
        <w:t>严厉</w:t>
      </w:r>
      <w:r>
        <w:rPr>
          <w:rFonts w:hint="eastAsia" w:ascii="仿宋_GB2312" w:hAnsi="仿宋_GB2312" w:eastAsia="仿宋_GB2312" w:cs="仿宋_GB2312"/>
          <w:color w:val="000000" w:themeColor="text1"/>
          <w:sz w:val="32"/>
          <w:szCs w:val="32"/>
          <w14:textFill>
            <w14:solidFill>
              <w14:schemeClr w14:val="tx1"/>
            </w14:solidFill>
          </w14:textFill>
        </w:rPr>
        <w:t>打击遗弃</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虐待</w:t>
      </w:r>
      <w:r>
        <w:rPr>
          <w:rFonts w:ascii="仿宋_GB2312" w:hAnsi="仿宋_GB2312" w:eastAsia="仿宋_GB2312" w:cs="仿宋_GB2312"/>
          <w:color w:val="000000" w:themeColor="text1"/>
          <w:sz w:val="32"/>
          <w:szCs w:val="32"/>
          <w14:textFill>
            <w14:solidFill>
              <w14:schemeClr w14:val="tx1"/>
            </w14:solidFill>
          </w14:textFill>
        </w:rPr>
        <w:t>未成年人违法</w:t>
      </w:r>
      <w:r>
        <w:rPr>
          <w:rFonts w:hint="eastAsia" w:ascii="仿宋_GB2312" w:hAnsi="仿宋_GB2312" w:eastAsia="仿宋_GB2312" w:cs="仿宋_GB2312"/>
          <w:color w:val="000000" w:themeColor="text1"/>
          <w:sz w:val="32"/>
          <w:szCs w:val="32"/>
          <w14:textFill>
            <w14:solidFill>
              <w14:schemeClr w14:val="tx1"/>
            </w14:solidFill>
          </w14:textFill>
        </w:rPr>
        <w:t>犯罪行</w:t>
      </w:r>
      <w:r>
        <w:rPr>
          <w:rFonts w:ascii="仿宋_GB2312" w:hAnsi="仿宋_GB2312" w:eastAsia="仿宋_GB2312" w:cs="仿宋_GB2312"/>
          <w:color w:val="000000" w:themeColor="text1"/>
          <w:sz w:val="32"/>
          <w:szCs w:val="32"/>
          <w14:textFill>
            <w14:solidFill>
              <w14:schemeClr w14:val="tx1"/>
            </w14:solidFill>
          </w14:textFill>
        </w:rPr>
        <w:t>为。</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加强农村留守儿童关爱保护。进一步完善农村留守儿童和困境儿童关爱保护服务体系。开展“合力监护、相伴成长”专项行动。强化家庭监护责任，提高监护能力。强化区、（街道）镇属地责任，做好农村留守儿童信息动态管理，落实关爱帮扶政策措施。充分发挥群团组织以及社会组织、专业社会工作者、志愿者等作用，实施“春蕾计划”“希望小</w:t>
      </w:r>
      <w:r>
        <w:rPr>
          <w:rFonts w:ascii="仿宋_GB2312" w:hAnsi="仿宋_GB2312" w:eastAsia="仿宋_GB2312" w:cs="仿宋_GB2312"/>
          <w:color w:val="000000" w:themeColor="text1"/>
          <w:sz w:val="32"/>
          <w:szCs w:val="32"/>
          <w14:textFill>
            <w14:solidFill>
              <w14:schemeClr w14:val="tx1"/>
            </w14:solidFill>
          </w14:textFill>
        </w:rPr>
        <w:t>屋</w:t>
      </w:r>
      <w:r>
        <w:rPr>
          <w:rFonts w:hint="eastAsia" w:ascii="仿宋_GB2312" w:hAnsi="仿宋_GB2312" w:eastAsia="仿宋_GB2312" w:cs="仿宋_GB2312"/>
          <w:color w:val="000000" w:themeColor="text1"/>
          <w:sz w:val="32"/>
          <w:szCs w:val="32"/>
          <w14:textFill>
            <w14:solidFill>
              <w14:schemeClr w14:val="tx1"/>
            </w14:solidFill>
          </w14:textFill>
        </w:rPr>
        <w:t>”“助童出彩”</w:t>
      </w:r>
      <w:r>
        <w:rPr>
          <w:rFonts w:ascii="仿宋_GB2312" w:hAnsi="仿宋_GB2312" w:eastAsia="仿宋_GB2312" w:cs="仿宋_GB2312"/>
          <w:color w:val="000000" w:themeColor="text1"/>
          <w:sz w:val="32"/>
          <w:szCs w:val="32"/>
          <w14:textFill>
            <w14:solidFill>
              <w14:schemeClr w14:val="tx1"/>
            </w14:solidFill>
          </w14:textFill>
        </w:rPr>
        <w:t>等儿童</w:t>
      </w:r>
      <w:r>
        <w:rPr>
          <w:rFonts w:hint="eastAsia" w:ascii="仿宋_GB2312" w:hAnsi="仿宋_GB2312" w:eastAsia="仿宋_GB2312" w:cs="仿宋_GB2312"/>
          <w:color w:val="000000" w:themeColor="text1"/>
          <w:sz w:val="32"/>
          <w:szCs w:val="32"/>
          <w14:textFill>
            <w14:solidFill>
              <w14:schemeClr w14:val="tx1"/>
            </w14:solidFill>
          </w14:textFill>
        </w:rPr>
        <w:t>关</w:t>
      </w:r>
      <w:r>
        <w:rPr>
          <w:rFonts w:ascii="仿宋_GB2312" w:hAnsi="仿宋_GB2312" w:eastAsia="仿宋_GB2312" w:cs="仿宋_GB2312"/>
          <w:color w:val="000000" w:themeColor="text1"/>
          <w:sz w:val="32"/>
          <w:szCs w:val="32"/>
          <w14:textFill>
            <w14:solidFill>
              <w14:schemeClr w14:val="tx1"/>
            </w14:solidFill>
          </w14:textFill>
        </w:rPr>
        <w:t>爱项目，</w:t>
      </w:r>
      <w:r>
        <w:rPr>
          <w:rFonts w:hint="eastAsia" w:ascii="仿宋_GB2312" w:hAnsi="仿宋_GB2312" w:eastAsia="仿宋_GB2312" w:cs="仿宋_GB2312"/>
          <w:color w:val="000000" w:themeColor="text1"/>
          <w:sz w:val="32"/>
          <w:szCs w:val="32"/>
          <w14:textFill>
            <w14:solidFill>
              <w14:schemeClr w14:val="tx1"/>
            </w14:solidFill>
          </w14:textFill>
        </w:rPr>
        <w:t>常态化开展寒暑假特别关爱行动，加强对农村留守儿童心理、情感、行为和安全自护指导服务。积极倡导企业履行社会责任，为务工人员加强与留守未成年子女的联系沟通提供支持。落实支持农民工返乡创业就业相关政策措施，从源头上减少留守儿童现象。</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完善流动儿童服务机制。推进城镇常住人口基本公共服务均等化，保障流动儿童平等享有公共教育、医疗卫生等基本公共服务。整合社区和社会资源，健全以社区为依托、面向流动儿童家庭的管理和服务网络，提升专业服务能力，促进流动儿童及其家庭的社区融入。</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提高基层儿童工作服务能力。定期开展区、街镇民政干部、儿童福利机构和未成年人救助保护机构工作人员及收养登记员的专业培训，组织开展儿童福利机构护理员职业技能竞赛。选准配强（街道）镇儿童督导员和村（居）儿童主任，岗前培训、业务培训率达到100%。组织开展“最美儿童主任”典型宣传。持续购买儿童类社会组织关爱服务，培育或孵化2-3家具有专业水平的儿童类社会组织，引导更多社会组织、社会工作服务机构、志愿者和爱心人士加入困境儿童帮扶队伍。</w:t>
      </w:r>
    </w:p>
    <w:p>
      <w:pPr>
        <w:numPr>
          <w:ilvl w:val="0"/>
          <w:numId w:val="3"/>
        </w:num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立健全基层儿童保护机制。深入贯彻落实未成年人保护法，建立区、（街道）镇两级儿童保护工作协调机制，不断夯实“监测预警、强制报告、应急处置、评估帮扶、监护干预”的联动运行机制，推动形成党委政府领导、民政部门牵头、相关部门各司其职、社会力量广泛参与的儿童保护工作格局。强化家庭监护主体责任，加强家庭教育指导，提升家庭监护能力。常态化开展“合力监护、相伴成长”关爱保护专项行动，开展困境儿童和留守儿童生活状况评估工作，以评估结果为导向实施精准关爱帮扶。</w:t>
      </w:r>
    </w:p>
    <w:p>
      <w:pPr>
        <w:suppressAutoHyphens w:val="0"/>
        <w:overflowPunct w:val="0"/>
        <w:spacing w:line="600" w:lineRule="exact"/>
        <w:ind w:firstLine="640" w:firstLineChars="200"/>
        <w:outlineLvl w:val="1"/>
        <w:rPr>
          <w:rFonts w:ascii="Times New Roman" w:hAnsi="Times New Roman" w:eastAsia="仿宋_GB2312"/>
          <w:color w:val="000000" w:themeColor="text1"/>
          <w:sz w:val="32"/>
          <w:szCs w:val="32"/>
          <w14:textFill>
            <w14:solidFill>
              <w14:schemeClr w14:val="tx1"/>
            </w14:solidFill>
          </w14:textFill>
        </w:rPr>
      </w:pPr>
      <w:bookmarkStart w:id="39" w:name="_Toc1123458929"/>
      <w:r>
        <w:rPr>
          <w:rFonts w:ascii="Times New Roman" w:hAnsi="楷体" w:eastAsia="楷体_GB2312"/>
          <w:color w:val="000000" w:themeColor="text1"/>
          <w:sz w:val="32"/>
          <w:szCs w:val="32"/>
          <w14:textFill>
            <w14:solidFill>
              <w14:schemeClr w14:val="tx1"/>
            </w14:solidFill>
          </w14:textFill>
        </w:rPr>
        <w:t>（五）儿童与法律保护</w:t>
      </w:r>
      <w:bookmarkEnd w:id="39"/>
      <w:r>
        <w:rPr>
          <w:rFonts w:hint="eastAsia" w:ascii="Times New Roman" w:hAnsi="楷体" w:eastAsia="楷体_GB2312"/>
          <w:color w:val="000000" w:themeColor="text1"/>
          <w:sz w:val="32"/>
          <w:szCs w:val="32"/>
          <w14:textFill>
            <w14:solidFill>
              <w14:schemeClr w14:val="tx1"/>
            </w14:solidFill>
          </w14:textFill>
        </w:rPr>
        <w:t>。</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1.主要目标。</w:t>
      </w:r>
    </w:p>
    <w:p>
      <w:pPr>
        <w:suppressAutoHyphens w:val="0"/>
        <w:overflowPunct w:val="0"/>
        <w:spacing w:line="600" w:lineRule="exact"/>
        <w:ind w:firstLine="640" w:firstLineChars="200"/>
        <w:rPr>
          <w:rFonts w:eastAsia="仿宋_GB2312"/>
          <w:color w:val="000000" w:themeColor="text1"/>
          <w:sz w:val="32"/>
          <w:szCs w:val="32"/>
          <w:shd w:val="clear" w:color="FFFFFF" w:fill="D9D9D9"/>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（1）未成年人保护的法规政策体系更加完善。</w:t>
      </w:r>
      <w:r>
        <w:rPr>
          <w:rFonts w:hint="eastAsia" w:ascii="楷体" w:hAnsi="楷体" w:eastAsia="楷体_GB2312" w:cs="仿宋_GB2312"/>
          <w:color w:val="000000" w:themeColor="text1"/>
          <w:sz w:val="32"/>
          <w:szCs w:val="32"/>
          <w14:textFill>
            <w14:solidFill>
              <w14:schemeClr w14:val="tx1"/>
            </w14:solidFill>
          </w14:textFill>
        </w:rPr>
        <w:t>（牵头单位：区人大常委会办公室、区司法局，责任单位：区民政局、团区委、区教育和体育局、区关工委、区妇联）</w:t>
      </w:r>
    </w:p>
    <w:p>
      <w:pPr>
        <w:suppressAutoHyphens w:val="0"/>
        <w:overflowPunct w:val="0"/>
        <w:spacing w:line="600" w:lineRule="exact"/>
        <w:ind w:firstLine="640" w:firstLineChars="200"/>
        <w:rPr>
          <w:rFonts w:eastAsia="仿宋_GB2312"/>
          <w:color w:val="000000" w:themeColor="text1"/>
          <w:sz w:val="32"/>
          <w:szCs w:val="32"/>
          <w:shd w:val="clear" w:color="FFFFFF" w:fill="D9D9D9"/>
          <w14:textFill>
            <w14:solidFill>
              <w14:schemeClr w14:val="tx1"/>
            </w14:solidFill>
          </w14:textFill>
        </w:rPr>
      </w:pPr>
      <w:r>
        <w:rPr>
          <w:rFonts w:hint="eastAsia" w:ascii="仿宋_GB2312" w:hAnsi="仿宋_GB2312" w:eastAsia="仿宋_GB2312" w:cs="仿宋_GB2312"/>
          <w:color w:val="000000" w:themeColor="text1"/>
          <w:sz w:val="32"/>
          <w:szCs w:val="32"/>
          <w:lang w:val="zh-TW"/>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zh-TW"/>
          <w14:textFill>
            <w14:solidFill>
              <w14:schemeClr w14:val="tx1"/>
            </w14:solidFill>
          </w14:textFill>
        </w:rPr>
        <w:t>）</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未成年人</w:t>
      </w:r>
      <w:r>
        <w:rPr>
          <w:rFonts w:hint="eastAsia" w:ascii="仿宋_GB2312" w:hAnsi="仿宋_GB2312" w:eastAsia="仿宋_GB2312" w:cs="仿宋_GB2312"/>
          <w:color w:val="000000" w:themeColor="text1"/>
          <w:sz w:val="32"/>
          <w:szCs w:val="32"/>
          <w14:textFill>
            <w14:solidFill>
              <w14:schemeClr w14:val="tx1"/>
            </w14:solidFill>
          </w14:textFill>
        </w:rPr>
        <w:t>保护领域执法工作进一步加强。</w:t>
      </w:r>
      <w:r>
        <w:rPr>
          <w:rFonts w:hint="eastAsia" w:ascii="楷体" w:hAnsi="楷体" w:eastAsia="楷体_GB2312" w:cs="仿宋_GB2312"/>
          <w:color w:val="000000" w:themeColor="text1"/>
          <w:sz w:val="32"/>
          <w:szCs w:val="32"/>
          <w14:textFill>
            <w14:solidFill>
              <w14:schemeClr w14:val="tx1"/>
            </w14:solidFill>
          </w14:textFill>
        </w:rPr>
        <w:t>（牵头单位：区检察院、区法院，责任单位：区司法局、区民政局、区公安分局、区教育和体育局）</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（3）未成年人司法保护制度进一步完善，司法工作体系满足未成年人身心发展特殊需要。</w:t>
      </w:r>
      <w:r>
        <w:rPr>
          <w:rFonts w:hint="eastAsia" w:ascii="楷体" w:hAnsi="楷体" w:eastAsia="楷体_GB2312" w:cs="仿宋_GB2312"/>
          <w:color w:val="000000" w:themeColor="text1"/>
          <w:sz w:val="32"/>
          <w:szCs w:val="32"/>
          <w14:textFill>
            <w14:solidFill>
              <w14:schemeClr w14:val="tx1"/>
            </w14:solidFill>
          </w14:textFill>
        </w:rPr>
        <w:t>（牵头单位：区检察院、区法院，责任单位：区司法局、区公安分局、区民政局、区教育和体育局、团区委、区关工委、区妇联）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TW"/>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zh-TW"/>
          <w14:textFill>
            <w14:solidFill>
              <w14:schemeClr w14:val="tx1"/>
            </w14:solidFill>
          </w14:textFill>
        </w:rPr>
        <w:t>）</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未成年人法治素养</w:t>
      </w:r>
      <w:r>
        <w:rPr>
          <w:rFonts w:hint="eastAsia" w:ascii="仿宋_GB2312" w:hAnsi="仿宋_GB2312" w:eastAsia="仿宋_GB2312" w:cs="仿宋_GB2312"/>
          <w:color w:val="000000" w:themeColor="text1"/>
          <w:sz w:val="32"/>
          <w:szCs w:val="32"/>
          <w:lang w:val="zh-TW"/>
          <w14:textFill>
            <w14:solidFill>
              <w14:schemeClr w14:val="tx1"/>
            </w14:solidFill>
          </w14:textFill>
        </w:rPr>
        <w:t>和自我保护意识进一步提升</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，社会公众保护未成年人的意识和能力</w:t>
      </w:r>
      <w:r>
        <w:rPr>
          <w:rFonts w:hint="eastAsia" w:ascii="仿宋_GB2312" w:hAnsi="仿宋_GB2312" w:eastAsia="仿宋_GB2312" w:cs="仿宋_GB2312"/>
          <w:color w:val="000000" w:themeColor="text1"/>
          <w:sz w:val="32"/>
          <w:szCs w:val="32"/>
          <w:lang w:val="zh-TW"/>
          <w14:textFill>
            <w14:solidFill>
              <w14:schemeClr w14:val="tx1"/>
            </w14:solidFill>
          </w14:textFill>
        </w:rPr>
        <w:t>进一步</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提高。</w:t>
      </w:r>
      <w:r>
        <w:rPr>
          <w:rFonts w:hint="eastAsia" w:ascii="楷体" w:hAnsi="楷体" w:eastAsia="楷体_GB2312" w:cs="仿宋_GB2312"/>
          <w:color w:val="000000" w:themeColor="text1"/>
          <w:sz w:val="32"/>
          <w:szCs w:val="32"/>
          <w14:textFill>
            <w14:solidFill>
              <w14:schemeClr w14:val="tx1"/>
            </w14:solidFill>
          </w14:textFill>
        </w:rPr>
        <w:t>（牵头单位：区司法局，责任单位：区检察院、区法院、区教育和体育局、区公安分局、区民政局、团区委、区关工委）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TW"/>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val="zh-TW"/>
          <w14:textFill>
            <w14:solidFill>
              <w14:schemeClr w14:val="tx1"/>
            </w14:solidFill>
          </w14:textFill>
        </w:rPr>
        <w:t>）</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未成年人民事权</w:t>
      </w:r>
      <w:r>
        <w:rPr>
          <w:rFonts w:hint="eastAsia" w:ascii="仿宋_GB2312" w:hAnsi="仿宋_GB2312" w:eastAsia="仿宋_GB2312" w:cs="仿宋_GB2312"/>
          <w:color w:val="000000" w:themeColor="text1"/>
          <w:sz w:val="32"/>
          <w:szCs w:val="32"/>
          <w:lang w:val="zh-TW"/>
          <w14:textFill>
            <w14:solidFill>
              <w14:schemeClr w14:val="tx1"/>
            </w14:solidFill>
          </w14:textFill>
        </w:rPr>
        <w:t>益保障得到进一步落实。</w:t>
      </w:r>
      <w:r>
        <w:rPr>
          <w:rFonts w:hint="eastAsia" w:ascii="楷体" w:hAnsi="楷体" w:eastAsia="楷体_GB2312" w:cs="仿宋_GB2312"/>
          <w:color w:val="000000" w:themeColor="text1"/>
          <w:sz w:val="32"/>
          <w:szCs w:val="32"/>
          <w14:textFill>
            <w14:solidFill>
              <w14:schemeClr w14:val="tx1"/>
            </w14:solidFill>
          </w14:textFill>
        </w:rPr>
        <w:t>（牵头单位：区法院，责任单位：区检察院、区司法局、区公安分局、区民政局、区市场监管局）</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TW"/>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lang w:val="zh-TW"/>
          <w14:textFill>
            <w14:solidFill>
              <w14:schemeClr w14:val="tx1"/>
            </w14:solidFill>
          </w14:textFill>
        </w:rPr>
        <w:t>）</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未成年人监护制度</w:t>
      </w:r>
      <w:r>
        <w:rPr>
          <w:rFonts w:hint="eastAsia" w:ascii="仿宋_GB2312" w:hAnsi="仿宋_GB2312" w:eastAsia="仿宋_GB2312" w:cs="仿宋_GB2312"/>
          <w:color w:val="000000" w:themeColor="text1"/>
          <w:sz w:val="32"/>
          <w:szCs w:val="32"/>
          <w:lang w:val="zh-TW"/>
          <w14:textFill>
            <w14:solidFill>
              <w14:schemeClr w14:val="tx1"/>
            </w14:solidFill>
          </w14:textFill>
        </w:rPr>
        <w:t>进一步</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落实，</w:t>
      </w:r>
      <w:r>
        <w:rPr>
          <w:rFonts w:hint="eastAsia" w:ascii="仿宋_GB2312" w:hAnsi="仿宋_GB2312" w:eastAsia="仿宋_GB2312" w:cs="仿宋_GB2312"/>
          <w:color w:val="000000" w:themeColor="text1"/>
          <w:spacing w:val="-9"/>
          <w:sz w:val="32"/>
          <w:szCs w:val="32"/>
          <w:lang w:val="zh-TW" w:eastAsia="zh-TW"/>
          <w14:textFill>
            <w14:solidFill>
              <w14:schemeClr w14:val="tx1"/>
            </w14:solidFill>
          </w14:textFill>
        </w:rPr>
        <w:t>未成年人获得有效监护。</w:t>
      </w:r>
      <w:r>
        <w:rPr>
          <w:rFonts w:hint="eastAsia" w:ascii="楷体" w:hAnsi="楷体" w:eastAsia="楷体_GB2312" w:cs="仿宋_GB2312"/>
          <w:color w:val="000000" w:themeColor="text1"/>
          <w:sz w:val="32"/>
          <w:szCs w:val="32"/>
          <w14:textFill>
            <w14:solidFill>
              <w14:schemeClr w14:val="tx1"/>
            </w14:solidFill>
          </w14:textFill>
        </w:rPr>
        <w:t>（牵头单位：区民政局，责任单位：区法院、区检察院、区公安分局、区司法局、区妇联、区教育和体育局、区关工委）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（7）严厉查处使用童工行为，维护未成年工的合法权益。</w:t>
      </w:r>
      <w:r>
        <w:rPr>
          <w:rFonts w:hint="eastAsia" w:ascii="楷体" w:hAnsi="楷体" w:eastAsia="楷体_GB2312" w:cs="仿宋_GB2312"/>
          <w:color w:val="000000" w:themeColor="text1"/>
          <w:sz w:val="32"/>
          <w:szCs w:val="32"/>
          <w14:textFill>
            <w14:solidFill>
              <w14:schemeClr w14:val="tx1"/>
            </w14:solidFill>
          </w14:textFill>
        </w:rPr>
        <w:t>（牵头单位：区人力资源和社会保障局，责任单位：区检察院、区公安分局、区教育和体育局、区融媒中心、区总工会、团区委）</w:t>
      </w:r>
    </w:p>
    <w:p>
      <w:pPr>
        <w:numPr>
          <w:ilvl w:val="0"/>
          <w:numId w:val="4"/>
        </w:num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提高对未成年人实施家庭暴力行为的预防惩治力度。</w:t>
      </w:r>
      <w:r>
        <w:rPr>
          <w:rFonts w:hint="eastAsia" w:ascii="楷体" w:hAnsi="楷体" w:eastAsia="楷体_GB2312" w:cs="仿宋_GB2312"/>
          <w:color w:val="000000" w:themeColor="text1"/>
          <w:sz w:val="32"/>
          <w:szCs w:val="32"/>
          <w14:textFill>
            <w14:solidFill>
              <w14:schemeClr w14:val="tx1"/>
            </w14:solidFill>
          </w14:textFill>
        </w:rPr>
        <w:t>（牵头单位：区</w:t>
      </w:r>
      <w:r>
        <w:rPr>
          <w:rFonts w:ascii="楷体" w:hAnsi="楷体" w:eastAsia="楷体_GB2312" w:cs="仿宋_GB2312"/>
          <w:color w:val="000000" w:themeColor="text1"/>
          <w:sz w:val="32"/>
          <w:szCs w:val="32"/>
          <w14:textFill>
            <w14:solidFill>
              <w14:schemeClr w14:val="tx1"/>
            </w14:solidFill>
          </w14:textFill>
        </w:rPr>
        <w:t>委政法委</w:t>
      </w:r>
      <w:r>
        <w:rPr>
          <w:rFonts w:hint="eastAsia" w:ascii="楷体" w:hAnsi="楷体" w:eastAsia="楷体_GB2312" w:cs="仿宋_GB2312"/>
          <w:color w:val="000000" w:themeColor="text1"/>
          <w:sz w:val="32"/>
          <w:szCs w:val="32"/>
          <w14:textFill>
            <w14:solidFill>
              <w14:schemeClr w14:val="tx1"/>
            </w14:solidFill>
          </w14:textFill>
        </w:rPr>
        <w:t>，责任单位：区公安分局、区法院、区检察院、区司法局、区教育和体育局、区民政局、区卫生健康局、区关工委、区妇联）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（9）严厉打击性侵害、拐卖、虐待、遗弃</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未成年人</w:t>
      </w:r>
      <w:r>
        <w:rPr>
          <w:rFonts w:hint="eastAsia" w:ascii="仿宋_GB2312" w:hAnsi="仿宋_GB2312" w:eastAsia="仿宋_GB2312" w:cs="仿宋_GB2312"/>
          <w:color w:val="000000" w:themeColor="text1"/>
          <w:sz w:val="32"/>
          <w:szCs w:val="32"/>
          <w:lang w:val="zh-TW"/>
          <w14:textFill>
            <w14:solidFill>
              <w14:schemeClr w14:val="tx1"/>
            </w14:solidFill>
          </w14:textFill>
        </w:rPr>
        <w:t>的违法犯罪行为。</w:t>
      </w:r>
      <w:r>
        <w:rPr>
          <w:rFonts w:hint="eastAsia" w:ascii="楷体" w:hAnsi="楷体" w:eastAsia="楷体_GB2312" w:cs="仿宋_GB2312"/>
          <w:color w:val="000000" w:themeColor="text1"/>
          <w:sz w:val="32"/>
          <w:szCs w:val="32"/>
          <w14:textFill>
            <w14:solidFill>
              <w14:schemeClr w14:val="tx1"/>
            </w14:solidFill>
          </w14:textFill>
        </w:rPr>
        <w:t>（牵头单位：区公安分局，责任单位：区检察院、区法院、区司法局、区教育和体育局、区民政局、区卫生健康局、区关工委、区妇联）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pacing w:val="-9"/>
          <w:sz w:val="32"/>
          <w:szCs w:val="32"/>
          <w:lang w:val="zh-TW" w:eastAsia="zh-TW"/>
          <w14:textFill>
            <w14:solidFill>
              <w14:schemeClr w14:val="tx1"/>
            </w14:solidFill>
          </w14:textFill>
        </w:rPr>
        <w:t>降低未成年犯罪</w:t>
      </w:r>
      <w:r>
        <w:rPr>
          <w:rFonts w:hint="eastAsia" w:ascii="仿宋_GB2312" w:hAnsi="仿宋_GB2312" w:eastAsia="仿宋_GB2312" w:cs="仿宋_GB2312"/>
          <w:color w:val="000000" w:themeColor="text1"/>
          <w:spacing w:val="-9"/>
          <w:sz w:val="32"/>
          <w:szCs w:val="32"/>
          <w:lang w:val="zh-TW"/>
          <w14:textFill>
            <w14:solidFill>
              <w14:schemeClr w14:val="tx1"/>
            </w14:solidFill>
          </w14:textFill>
        </w:rPr>
        <w:t>人数</w:t>
      </w:r>
      <w:r>
        <w:rPr>
          <w:rFonts w:hint="eastAsia" w:ascii="仿宋_GB2312" w:hAnsi="仿宋_GB2312" w:eastAsia="仿宋_GB2312" w:cs="仿宋_GB2312"/>
          <w:color w:val="000000" w:themeColor="text1"/>
          <w:spacing w:val="-9"/>
          <w:sz w:val="32"/>
          <w:szCs w:val="32"/>
          <w:lang w:val="zh-TW" w:eastAsia="zh-TW"/>
          <w14:textFill>
            <w14:solidFill>
              <w14:schemeClr w14:val="tx1"/>
            </w14:solidFill>
          </w14:textFill>
        </w:rPr>
        <w:t>占</w:t>
      </w:r>
      <w:r>
        <w:rPr>
          <w:rFonts w:hint="eastAsia" w:ascii="仿宋_GB2312" w:hAnsi="仿宋_GB2312" w:eastAsia="仿宋_GB2312" w:cs="仿宋_GB2312"/>
          <w:color w:val="000000" w:themeColor="text1"/>
          <w:spacing w:val="-9"/>
          <w:sz w:val="32"/>
          <w:szCs w:val="32"/>
          <w:lang w:val="zh-TW"/>
          <w14:textFill>
            <w14:solidFill>
              <w14:schemeClr w14:val="tx1"/>
            </w14:solidFill>
          </w14:textFill>
        </w:rPr>
        <w:t>未成年人口</w:t>
      </w:r>
      <w:r>
        <w:rPr>
          <w:rFonts w:hint="eastAsia" w:ascii="仿宋_GB2312" w:hAnsi="仿宋_GB2312" w:eastAsia="仿宋_GB2312" w:cs="仿宋_GB2312"/>
          <w:color w:val="000000" w:themeColor="text1"/>
          <w:sz w:val="32"/>
          <w:szCs w:val="32"/>
          <w14:textFill>
            <w14:solidFill>
              <w14:schemeClr w14:val="tx1"/>
            </w14:solidFill>
          </w14:textFill>
        </w:rPr>
        <w:t>数量</w:t>
      </w:r>
      <w:r>
        <w:rPr>
          <w:rFonts w:hint="eastAsia" w:ascii="仿宋_GB2312" w:hAnsi="仿宋_GB2312" w:eastAsia="仿宋_GB2312" w:cs="仿宋_GB2312"/>
          <w:color w:val="000000" w:themeColor="text1"/>
          <w:spacing w:val="-9"/>
          <w:sz w:val="32"/>
          <w:szCs w:val="32"/>
          <w:lang w:val="zh-TW" w:eastAsia="zh-TW"/>
          <w14:textFill>
            <w14:solidFill>
              <w14:schemeClr w14:val="tx1"/>
            </w14:solidFill>
          </w14:textFill>
        </w:rPr>
        <w:t>的比</w:t>
      </w:r>
      <w:r>
        <w:rPr>
          <w:rFonts w:hint="eastAsia" w:ascii="仿宋_GB2312" w:hAnsi="仿宋_GB2312" w:eastAsia="仿宋_GB2312" w:cs="仿宋_GB2312"/>
          <w:color w:val="000000" w:themeColor="text1"/>
          <w:spacing w:val="-9"/>
          <w:sz w:val="32"/>
          <w:szCs w:val="32"/>
          <w:lang w:val="zh-TW"/>
          <w14:textFill>
            <w14:solidFill>
              <w14:schemeClr w14:val="tx1"/>
            </w14:solidFill>
          </w14:textFill>
        </w:rPr>
        <w:t>重</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（牵头单位：区公安分局、区检察院，责任单位：区法院、区司法局、区民政局、区教育和体育局、团区委）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（11）未成年人网络保护力度加强。</w:t>
      </w:r>
      <w:r>
        <w:rPr>
          <w:rFonts w:hint="eastAsia" w:ascii="楷体" w:hAnsi="楷体" w:eastAsia="楷体_GB2312" w:cs="仿宋_GB2312"/>
          <w:color w:val="000000" w:themeColor="text1"/>
          <w:sz w:val="32"/>
          <w:szCs w:val="32"/>
          <w14:textFill>
            <w14:solidFill>
              <w14:schemeClr w14:val="tx1"/>
            </w14:solidFill>
          </w14:textFill>
        </w:rPr>
        <w:t>（牵头单位：区委宣传部，责任单位：区教育和体育局、区公安分局、区文化和旅游局、区检察院、区法院、区司法局、区融媒中心、团区委）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2.策略措施。</w:t>
      </w:r>
    </w:p>
    <w:p>
      <w:pPr>
        <w:suppressAutoHyphens w:val="0"/>
        <w:overflowPunct w:val="0"/>
        <w:spacing w:line="600" w:lineRule="exact"/>
        <w:ind w:firstLine="640" w:firstLineChars="200"/>
        <w:rPr>
          <w:rFonts w:ascii="仿宋_GB2312" w:hAnsi="仿宋_GB2312" w:eastAsia="仿宋_GB2312" w:cs="仿宋_GB2312"/>
          <w:color w:val="000000" w:themeColor="text1"/>
          <w:kern w:val="0"/>
          <w:sz w:val="32"/>
          <w:szCs w:val="32"/>
          <w:lang w:val="zh-TW" w:eastAsia="zh-TW"/>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lang w:val="zh-TW" w:eastAsia="zh-TW"/>
          <w14:textFill>
            <w14:solidFill>
              <w14:schemeClr w14:val="tx1"/>
            </w14:solidFill>
          </w14:textFill>
        </w:rPr>
        <w:t>）严格</w:t>
      </w:r>
      <w:r>
        <w:rPr>
          <w:rFonts w:hint="eastAsia" w:ascii="仿宋_GB2312" w:hAnsi="仿宋_GB2312" w:eastAsia="仿宋_GB2312" w:cs="仿宋_GB2312"/>
          <w:color w:val="000000" w:themeColor="text1"/>
          <w:kern w:val="0"/>
          <w:sz w:val="32"/>
          <w:szCs w:val="32"/>
          <w:lang w:val="zh-TW"/>
          <w14:textFill>
            <w14:solidFill>
              <w14:schemeClr w14:val="tx1"/>
            </w14:solidFill>
          </w14:textFill>
        </w:rPr>
        <w:t>执行</w:t>
      </w:r>
      <w:r>
        <w:rPr>
          <w:rFonts w:hint="eastAsia" w:ascii="仿宋_GB2312" w:hAnsi="仿宋_GB2312" w:eastAsia="仿宋_GB2312" w:cs="仿宋_GB2312"/>
          <w:color w:val="000000" w:themeColor="text1"/>
          <w:kern w:val="0"/>
          <w:sz w:val="32"/>
          <w:szCs w:val="32"/>
          <w:lang w:val="zh-TW" w:eastAsia="zh-TW"/>
          <w14:textFill>
            <w14:solidFill>
              <w14:schemeClr w14:val="tx1"/>
            </w14:solidFill>
          </w14:textFill>
        </w:rPr>
        <w:t>未成年人保护领域的</w:t>
      </w:r>
      <w:r>
        <w:rPr>
          <w:rFonts w:hint="eastAsia" w:ascii="仿宋_GB2312" w:hAnsi="仿宋_GB2312" w:eastAsia="仿宋_GB2312" w:cs="仿宋_GB2312"/>
          <w:color w:val="000000" w:themeColor="text1"/>
          <w:sz w:val="32"/>
          <w:szCs w:val="32"/>
          <w14:textFill>
            <w14:solidFill>
              <w14:schemeClr w14:val="tx1"/>
            </w14:solidFill>
          </w14:textFill>
        </w:rPr>
        <w:t>法律法规</w:t>
      </w:r>
      <w:r>
        <w:rPr>
          <w:rFonts w:hint="eastAsia" w:ascii="仿宋_GB2312" w:hAnsi="仿宋_GB2312" w:eastAsia="仿宋_GB2312" w:cs="仿宋_GB2312"/>
          <w:color w:val="000000" w:themeColor="text1"/>
          <w:kern w:val="0"/>
          <w:sz w:val="32"/>
          <w:szCs w:val="32"/>
          <w:lang w:val="zh-TW" w:eastAsia="zh-TW"/>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认真贯彻落实未成年人保护、预防未成年人犯罪、</w:t>
      </w:r>
      <w:r>
        <w:rPr>
          <w:rFonts w:ascii="仿宋_GB2312" w:hAnsi="仿宋_GB2312" w:eastAsia="仿宋_GB2312" w:cs="仿宋_GB2312"/>
          <w:color w:val="000000" w:themeColor="text1"/>
          <w:sz w:val="32"/>
          <w:szCs w:val="32"/>
          <w14:textFill>
            <w14:solidFill>
              <w14:schemeClr w14:val="tx1"/>
            </w14:solidFill>
          </w14:textFill>
        </w:rPr>
        <w:t>家庭教育、儿童福利等法律法规</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zh-TW" w:eastAsia="zh-TW"/>
          <w14:textFill>
            <w14:solidFill>
              <w14:schemeClr w14:val="tx1"/>
            </w14:solidFill>
          </w14:textFill>
        </w:rPr>
        <w:t>加大行政执法力度，及时发现和处置监护侵害、家庭暴力、校园及周边安全隐患、食品药品安全隐患等问题。建立健全未成年人保护多部门综合执法工作机制，强化部门信息沟通和工作衔接，落实未成年人救助协作制度，健全各级未成年人保护工作平台，形成执法、保护、服务合力。建立防控暴力伤害等侵害未成年人人身权益的多部门联动工作机制，及时发现、报告和干预。密切接触未成年人的机构和人员切实履行强制报告义务。鼓励支持公众依法制止、检举、控告针对未成年人的一切形式的暴力行为，严惩侵犯未成年人合法权益的违法犯罪行为。</w:t>
      </w:r>
    </w:p>
    <w:p>
      <w:pPr>
        <w:tabs>
          <w:tab w:val="left" w:pos="6379"/>
        </w:tabs>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TW"/>
          <w14:textFill>
            <w14:solidFill>
              <w14:schemeClr w14:val="tx1"/>
            </w14:solidFill>
          </w14:textFill>
        </w:rPr>
        <w:t>（</w:t>
      </w:r>
      <w:r>
        <w:rPr>
          <w:rFonts w:ascii="仿宋_GB2312" w:hAnsi="仿宋_GB2312" w:eastAsia="仿宋_GB2312" w:cs="仿宋_GB2312"/>
          <w:color w:val="000000" w:themeColor="text1"/>
          <w:sz w:val="32"/>
          <w:szCs w:val="32"/>
          <w:lang w:eastAsia="zh-TW"/>
          <w14:textFill>
            <w14:solidFill>
              <w14:schemeClr w14:val="tx1"/>
            </w14:solidFill>
          </w14:textFill>
        </w:rPr>
        <w:t>2</w:t>
      </w:r>
      <w:r>
        <w:rPr>
          <w:rFonts w:hint="eastAsia" w:ascii="仿宋_GB2312" w:hAnsi="仿宋_GB2312" w:eastAsia="仿宋_GB2312" w:cs="仿宋_GB2312"/>
          <w:color w:val="000000" w:themeColor="text1"/>
          <w:sz w:val="32"/>
          <w:szCs w:val="32"/>
          <w:lang w:eastAsia="zh-TW"/>
          <w14:textFill>
            <w14:solidFill>
              <w14:schemeClr w14:val="tx1"/>
            </w14:solidFill>
          </w14:textFill>
        </w:rPr>
        <w:t>）健全未成年人司法工作体系。</w:t>
      </w:r>
      <w:r>
        <w:rPr>
          <w:rFonts w:hint="eastAsia" w:ascii="仿宋_GB2312" w:hAnsi="仿宋_GB2312" w:eastAsia="仿宋_GB2312" w:cs="仿宋_GB2312"/>
          <w:color w:val="000000" w:themeColor="text1"/>
          <w:sz w:val="32"/>
          <w:szCs w:val="32"/>
          <w14:textFill>
            <w14:solidFill>
              <w14:schemeClr w14:val="tx1"/>
            </w14:solidFill>
          </w14:textFill>
        </w:rPr>
        <w:t>坚持少年审判专业化发展方向，深化未成年人检察业务统一集中办理改革。探索设立少年警务机构，推进少年警务工作专业化。探索指定专人负责未成年人法律援助事务，加强未成年人案件办理人员专业培训。完善未成年人司法保护工作评价考核标准。加强专业化办案与社会化保护配合衔接，加强司法机关与政府部门、人民团体、社会组织与</w:t>
      </w:r>
      <w:r>
        <w:rPr>
          <w:rFonts w:ascii="仿宋_GB2312" w:hAnsi="仿宋_GB2312" w:eastAsia="仿宋_GB2312" w:cs="仿宋_GB2312"/>
          <w:color w:val="000000" w:themeColor="text1"/>
          <w:sz w:val="32"/>
          <w:szCs w:val="32"/>
          <w14:textFill>
            <w14:solidFill>
              <w14:schemeClr w14:val="tx1"/>
            </w14:solidFill>
          </w14:textFill>
        </w:rPr>
        <w:t>社会工作者</w:t>
      </w:r>
      <w:r>
        <w:rPr>
          <w:rFonts w:hint="eastAsia" w:ascii="仿宋_GB2312" w:hAnsi="仿宋_GB2312" w:eastAsia="仿宋_GB2312" w:cs="仿宋_GB2312"/>
          <w:color w:val="000000" w:themeColor="text1"/>
          <w:sz w:val="32"/>
          <w:szCs w:val="32"/>
          <w14:textFill>
            <w14:solidFill>
              <w14:schemeClr w14:val="tx1"/>
            </w14:solidFill>
          </w14:textFill>
        </w:rPr>
        <w:t>等合作，共同做好未成年人心理干预、社会观护、教育矫治、社区矫正等工作。</w:t>
      </w:r>
    </w:p>
    <w:p>
      <w:pPr>
        <w:suppressAutoHyphens w:val="0"/>
        <w:overflowPunct w:val="0"/>
        <w:adjustRightInd w:val="0"/>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）加强对未成年人的特殊司法保护。依法保护涉案未成年人的隐私权、名誉权、知情权、参与权等诉讼权利。落实未成年人犯罪案件特别程序关于严格限制适用逮捕措施、法律</w:t>
      </w:r>
      <w:r>
        <w:rPr>
          <w:rFonts w:ascii="仿宋_GB2312" w:hAnsi="仿宋_GB2312" w:eastAsia="仿宋_GB2312" w:cs="仿宋_GB2312"/>
          <w:color w:val="000000" w:themeColor="text1"/>
          <w:sz w:val="32"/>
          <w:szCs w:val="32"/>
          <w14:textFill>
            <w14:solidFill>
              <w14:schemeClr w14:val="tx1"/>
            </w14:solidFill>
          </w14:textFill>
        </w:rPr>
        <w:t>援助、</w:t>
      </w:r>
      <w:r>
        <w:rPr>
          <w:rFonts w:hint="eastAsia" w:ascii="仿宋_GB2312" w:hAnsi="仿宋_GB2312" w:eastAsia="仿宋_GB2312" w:cs="仿宋_GB2312"/>
          <w:color w:val="000000" w:themeColor="text1"/>
          <w:sz w:val="32"/>
          <w:szCs w:val="32"/>
          <w14:textFill>
            <w14:solidFill>
              <w14:schemeClr w14:val="tx1"/>
            </w14:solidFill>
          </w14:textFill>
        </w:rPr>
        <w:t>社会调查、心理评估、法定代理人或合适成年人到场、附条件不起诉、不公开审理、犯罪记录封存等规定。增强未成年人社区矫正实施效果。落实涉案未成年人与成年人分别关押、分别管理、分别教育制度。</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）依法为未成年人提供法律援助和司法救助。依托章丘区</w:t>
      </w:r>
      <w:r>
        <w:rPr>
          <w:rFonts w:ascii="仿宋_GB2312" w:hAnsi="仿宋_GB2312" w:eastAsia="仿宋_GB2312" w:cs="仿宋_GB2312"/>
          <w:color w:val="000000" w:themeColor="text1"/>
          <w:sz w:val="32"/>
          <w:szCs w:val="32"/>
          <w14:textFill>
            <w14:solidFill>
              <w14:schemeClr w14:val="tx1"/>
            </w14:solidFill>
          </w14:textFill>
        </w:rPr>
        <w:t>法</w:t>
      </w:r>
      <w:r>
        <w:rPr>
          <w:rFonts w:hint="eastAsia" w:ascii="仿宋_GB2312" w:hAnsi="仿宋_GB2312" w:eastAsia="仿宋_GB2312" w:cs="仿宋_GB2312"/>
          <w:color w:val="000000" w:themeColor="text1"/>
          <w:sz w:val="32"/>
          <w:szCs w:val="32"/>
          <w14:textFill>
            <w14:solidFill>
              <w14:schemeClr w14:val="tx1"/>
            </w14:solidFill>
          </w14:textFill>
        </w:rPr>
        <w:t>律援助中心、儿童法援工作站所等公共法律服务平台，为未成年人保护提供法律援助服务，推进法律援助的标准化、规范化建设和专业化队伍建设。保障符合国家司法救助条件的未成年人获得有针对性的经济救助、身心康复、生活安置、复学就业等多元综合救助。</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加强未成年人保护的法治宣传教育。宣传倡导对侵害未成年人犯罪零容忍理念，引导媒体客观、审慎、适度采访和报道涉未成年人案件，提升公众法治意识和未成年人保护意识。完善政府、学校、家庭、社会共同参与的未成年人法治教育工作机制，推进青少年法治教育实践基地、法治资源教室和网络平台建设，运用以案释法、模拟法庭等多样化方式，深入开展法治教育和法治实践活动，提高未成年人法治素养、安全意识和自我保护能力。</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全面保障未成年人的民事权益。依法保障未成年人的人身权利、财产权利和其他合法权益。开展涉及未成年人权益纠纷调解工作，探索父母婚内分居期间未成年子女权益保护措施，依法保障父母离婚后未成年子女获得探望、抚养、教育、保护的权利。依法保障未成年人和胎儿的遗产继承和受遗赠权。依法保护未成年人名誉、隐私和个人信息等人格权。对食品药品安全、产品质量、烟酒销售、文化宣传、网络传播等方面侵害未成年人合法权益的行为，开展公益诉讼工作。</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落实未成年人监护制度。加强对家庭落实监护责任的支持、监督和干预。强化父母或其他监护人履行对未成年子女的抚养、教育和保护职责，依法规范父母或其他监护人委托他人照护未成年人子女的行为。加强监护的监督、指导和帮助，探索建立亲职教育制度。强化村（居）民委员会对父母或其他监护人监护和委托照护的监督责任，依法依规纠正和处理监护人侵害未成年人权益事件。落实政府监护制度，符合法定情形的未成年人由民政部门进行监护，确保突发事件情况下无人照料儿童及时获得临时有效监护。探索建立监护风险及异常状况评估制度。</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严厉查处使用童工等违法犯罪行为。加强对使用童工行为的监督检查。严格执行未成年工保护规定，禁止安排未成年工从事矿山井下、有毒有害、国家规定的第四级体力劳动和其他禁忌从事的劳动，督促用人单位定期对未成年工进行健康检查。规范和限制安排儿童参加商业性展演活动，加强对企业、其他经营组织或个人、网络平台等吸纳未成年人参与广告拍摄、商业代言、演出、赛事、节目制作、网络直播等的监督管理。</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预防和依法严惩对未成年人实施家庭暴力的违法犯罪行为。加强反家庭暴力宣传，杜绝针对未成年人的家庭暴力，以及严重忽视等不利于未成年人身心健康的行为。禁止溺婴、虐待、遗弃未成年人，不得歧视女性未成年人或有残疾的未成年人，利用12338、“未保专线”等，接受儿童受虐待、被遗弃个案举报，为儿童及其家长提供法律服务。落实强制报告制度，及时受理、调查、立案和转处未成年人遭受家庭暴力的案件。充分运用告诫书、人身安全保护令、督促监护令、撤销监护人资格等措施，加强对施暴人教育和惩戒，对构成犯罪的施暴人依法追究刑事责任，依法严惩重大恶性案件。保护未成年被害人的隐私和安全，及时提供心理疏导、医疗救治和临时庇护。</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严厉打击拐卖儿童和引诱胁迫未成年人涉毒涉黑涉恶等违法犯罪行为。坚持和完善预防、打击、救助、康复一体化的反拐工作长效机制，继续实施反对拐卖人口行动计划。有效防范和严厉打击借收养名义买卖未成年人、利用网络平台实施拐卖人口等违法犯罪行为，加大对出卖亲生子女犯罪的预防和打击力度，完善孕产妇就医生产身份核实机制以及亲子鉴定证明、出生医学证明开具制度。妥善安置查找不到亲生父母和自生自卖类案件的被解救儿童。实施青少年毒品预防教育工程，开展对引诱、教唆、欺骗、强迫、容留未成年人吸贩毒犯罪专项打击行动。依法严惩胁迫、引诱、教唆未成年人参与黑社会性质组织从事违法犯罪活动的行为。</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预防和依法严惩性侵害未成年人违法犯罪行为。加强未成年人预防性侵害教育，提高未成年人、家庭、学校、社区等识别防范性侵害和发现报告的意识和能力，落实强制报告制度。建立统一的性侵害、虐待、拐卖、暴力伤害等违法犯罪人员信息查询系统，落实从业禁止制度。落实教职工准入查询性侵害违法犯罪信息制度，严格实施外籍教师无犯罪证明备案制度，加强立案和立案监督，依法严惩对未成年人负有特殊职责人员实施的性侵害行为，依法严惩组织、强迫、引诱、</w:t>
      </w:r>
      <w:r>
        <w:rPr>
          <w:rFonts w:ascii="仿宋_GB2312" w:hAnsi="仿宋_GB2312" w:eastAsia="仿宋_GB2312" w:cs="仿宋_GB2312"/>
          <w:color w:val="000000" w:themeColor="text1"/>
          <w:sz w:val="32"/>
          <w:szCs w:val="32"/>
          <w14:textFill>
            <w14:solidFill>
              <w14:schemeClr w14:val="tx1"/>
            </w14:solidFill>
          </w14:textFill>
        </w:rPr>
        <w:t>容留、介绍</w:t>
      </w:r>
      <w:r>
        <w:rPr>
          <w:rFonts w:hint="eastAsia" w:ascii="仿宋_GB2312" w:hAnsi="仿宋_GB2312" w:eastAsia="仿宋_GB2312" w:cs="仿宋_GB2312"/>
          <w:color w:val="000000" w:themeColor="text1"/>
          <w:sz w:val="32"/>
          <w:szCs w:val="32"/>
          <w14:textFill>
            <w14:solidFill>
              <w14:schemeClr w14:val="tx1"/>
            </w14:solidFill>
          </w14:textFill>
        </w:rPr>
        <w:t>未成年人卖淫犯罪。推进未成年被害人“一站式”办案区建设，对未成年被害人尽量一次性完成询问、人身检查、生物样本提取、辨认等侦查取证。对遭受性侵害或暴力伤害的未成年被害人及其家庭实施必要的心理干预、经济救助、法律援助、转学安置等保护措施。</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有效预防未成年人违法犯罪。加强对未成年人的法治和预防犯罪教育。落实未成年人违法犯罪分级干预制度，及时发现、制止、管教未成年人不良行为，依法采取教育矫治措施。及时制止、处理未成年人严重不良行为和未达刑事责任年龄未成年人严重危害他人及社会的行为。对涉罪未成年人坚持依法惩戒与精准帮教相结合，增强教育矫治效果，预防重新犯罪。保障涉罪未成年人免受歧视，依法实现在复学、升学、就业等方面的同等权利。强化预防未成年人犯罪工作的基层基础。</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严厉打击侵犯未成年人合法权益的网络违法犯罪行为。禁止制作、复制、发布、传播或持有有关未成年人的淫秽色情物品和网络信息。依法严惩利用网络性引诱、性侵害未成年人犯罪行为。禁止对未成年人实施侮辱、诽谤、威胁或者恶意损害形象等网络欺凌行为。严厉打击利用网络诱骗未成年人参与赌博以及敲诈勒索、实施金融诈骗等违法犯罪行为。以案释法，提高公众对未成年人的网络保护意识和能力。</w:t>
      </w:r>
    </w:p>
    <w:p>
      <w:pPr>
        <w:suppressAutoHyphens w:val="0"/>
        <w:overflowPunct w:val="0"/>
        <w:spacing w:line="600" w:lineRule="exact"/>
        <w:ind w:firstLine="640" w:firstLineChars="200"/>
        <w:outlineLvl w:val="1"/>
        <w:rPr>
          <w:rFonts w:ascii="Times New Roman" w:hAnsi="Times New Roman" w:eastAsia="楷体_GB2312"/>
          <w:color w:val="000000" w:themeColor="text1"/>
          <w:sz w:val="32"/>
          <w:szCs w:val="32"/>
          <w14:textFill>
            <w14:solidFill>
              <w14:schemeClr w14:val="tx1"/>
            </w14:solidFill>
          </w14:textFill>
        </w:rPr>
      </w:pPr>
      <w:bookmarkStart w:id="40" w:name="_Toc957312686"/>
      <w:r>
        <w:rPr>
          <w:rFonts w:ascii="Times New Roman" w:hAnsi="楷体" w:eastAsia="楷体_GB2312"/>
          <w:color w:val="000000" w:themeColor="text1"/>
          <w:sz w:val="32"/>
          <w:szCs w:val="32"/>
          <w14:textFill>
            <w14:solidFill>
              <w14:schemeClr w14:val="tx1"/>
            </w14:solidFill>
          </w14:textFill>
        </w:rPr>
        <w:t>（六）儿童与家庭</w:t>
      </w:r>
      <w:bookmarkEnd w:id="40"/>
      <w:r>
        <w:rPr>
          <w:rFonts w:hint="eastAsia" w:ascii="Times New Roman" w:hAnsi="楷体" w:eastAsia="楷体_GB2312"/>
          <w:color w:val="000000" w:themeColor="text1"/>
          <w:sz w:val="32"/>
          <w:szCs w:val="32"/>
          <w14:textFill>
            <w14:solidFill>
              <w14:schemeClr w14:val="tx1"/>
            </w14:solidFill>
          </w14:textFill>
        </w:rPr>
        <w:t>。</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1.主要目标。</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（1）发挥家庭立德树人第一所学校作</w:t>
      </w:r>
      <w:r>
        <w:rPr>
          <w:rFonts w:hint="eastAsia" w:ascii="仿宋_GB2312" w:hAnsi="仿宋_GB2312" w:eastAsia="仿宋_GB2312" w:cs="仿宋_GB2312"/>
          <w:color w:val="000000" w:themeColor="text1"/>
          <w:sz w:val="32"/>
          <w:szCs w:val="32"/>
          <w14:textFill>
            <w14:solidFill>
              <w14:schemeClr w14:val="tx1"/>
            </w14:solidFill>
          </w14:textFill>
        </w:rPr>
        <w:t>用，培养儿童的好思想、好品行、好习惯。</w:t>
      </w:r>
      <w:r>
        <w:rPr>
          <w:rFonts w:hint="eastAsia" w:ascii="楷体" w:hAnsi="楷体" w:eastAsia="楷体_GB2312" w:cs="仿宋_GB2312"/>
          <w:color w:val="000000" w:themeColor="text1"/>
          <w:sz w:val="32"/>
          <w:szCs w:val="32"/>
          <w14:textFill>
            <w14:solidFill>
              <w14:schemeClr w14:val="tx1"/>
            </w14:solidFill>
          </w14:textFill>
        </w:rPr>
        <w:t>（牵头单位：区妇联，责任单位：区教育和体育局、区委宣传部、区融媒中心、区关工委）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（2）教育引导父母或其他监护人落实抚养、保护、教育责任，树立科学育儿理念，掌握科学育儿方法。</w:t>
      </w:r>
      <w:r>
        <w:rPr>
          <w:rFonts w:hint="eastAsia" w:ascii="楷体" w:hAnsi="楷体" w:eastAsia="楷体_GB2312" w:cs="仿宋_GB2312"/>
          <w:color w:val="000000" w:themeColor="text1"/>
          <w:sz w:val="32"/>
          <w:szCs w:val="32"/>
          <w14:textFill>
            <w14:solidFill>
              <w14:schemeClr w14:val="tx1"/>
            </w14:solidFill>
          </w14:textFill>
        </w:rPr>
        <w:t>（牵头单位：区妇联，责任单位：区教育和体育局、区民政局、区公安分局、区卫生健康局）</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（3）培养儿童成为好家风的践行者和传承者。</w:t>
      </w:r>
      <w:r>
        <w:rPr>
          <w:rFonts w:hint="eastAsia" w:ascii="楷体" w:hAnsi="楷体" w:eastAsia="楷体_GB2312" w:cs="仿宋_GB2312"/>
          <w:color w:val="000000" w:themeColor="text1"/>
          <w:sz w:val="32"/>
          <w:szCs w:val="32"/>
          <w14:textFill>
            <w14:solidFill>
              <w14:schemeClr w14:val="tx1"/>
            </w14:solidFill>
          </w14:textFill>
        </w:rPr>
        <w:t>（牵头单位：区妇联，责任单位：区委宣传部、区教育和体育局）</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（4）尊重儿童主体地位，保障儿童平等参与自身和家庭事务的权利。</w:t>
      </w:r>
      <w:r>
        <w:rPr>
          <w:rFonts w:hint="eastAsia" w:ascii="楷体" w:hAnsi="楷体" w:eastAsia="楷体_GB2312" w:cs="仿宋_GB2312"/>
          <w:color w:val="000000" w:themeColor="text1"/>
          <w:sz w:val="32"/>
          <w:szCs w:val="32"/>
          <w14:textFill>
            <w14:solidFill>
              <w14:schemeClr w14:val="tx1"/>
            </w14:solidFill>
          </w14:textFill>
        </w:rPr>
        <w:t>（牵头单位： 区妇联，责任单位：区教育和体育局、区关工委）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（5）建立平等和谐的亲子关系。</w:t>
      </w:r>
      <w:r>
        <w:rPr>
          <w:rFonts w:hint="eastAsia" w:ascii="楷体" w:hAnsi="楷体" w:eastAsia="楷体_GB2312" w:cs="仿宋_GB2312"/>
          <w:color w:val="000000" w:themeColor="text1"/>
          <w:sz w:val="32"/>
          <w:szCs w:val="32"/>
          <w14:textFill>
            <w14:solidFill>
              <w14:schemeClr w14:val="tx1"/>
            </w14:solidFill>
          </w14:textFill>
        </w:rPr>
        <w:t>（牵头单位：区妇联，责任单位： 区教育和体育局、区文化和旅游局、区科协、区融媒中心）</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（6）覆盖城乡的家庭教育指导服务体系基本建成，指导服务能力进一步提升。95</w:t>
      </w:r>
      <w:r>
        <w:rPr>
          <w:rFonts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城市社区和85%的农村</w:t>
      </w:r>
      <w:r>
        <w:rPr>
          <w:rFonts w:ascii="仿宋_GB2312" w:hAnsi="仿宋_GB2312" w:eastAsia="仿宋_GB2312" w:cs="仿宋_GB2312"/>
          <w:color w:val="000000" w:themeColor="text1"/>
          <w:sz w:val="32"/>
          <w:szCs w:val="32"/>
          <w14:textFill>
            <w14:solidFill>
              <w14:schemeClr w14:val="tx1"/>
            </w14:solidFill>
          </w14:textFill>
        </w:rPr>
        <w:t>社区</w:t>
      </w:r>
      <w:r>
        <w:rPr>
          <w:rFonts w:hint="eastAsia" w:ascii="仿宋_GB2312" w:hAnsi="仿宋_GB2312" w:eastAsia="仿宋_GB2312" w:cs="仿宋_GB2312"/>
          <w:color w:val="000000" w:themeColor="text1"/>
          <w:sz w:val="32"/>
          <w:szCs w:val="32"/>
          <w14:textFill>
            <w14:solidFill>
              <w14:schemeClr w14:val="tx1"/>
            </w14:solidFill>
          </w14:textFill>
        </w:rPr>
        <w:t>（村）建立家长学校或家庭教育指导服务站点。</w:t>
      </w:r>
      <w:r>
        <w:rPr>
          <w:rFonts w:hint="eastAsia" w:ascii="楷体" w:hAnsi="楷体" w:eastAsia="楷体_GB2312" w:cs="仿宋_GB2312"/>
          <w:color w:val="000000" w:themeColor="text1"/>
          <w:sz w:val="32"/>
          <w:szCs w:val="32"/>
          <w14:textFill>
            <w14:solidFill>
              <w14:schemeClr w14:val="tx1"/>
            </w14:solidFill>
          </w14:textFill>
        </w:rPr>
        <w:t>（牵头单位：区教育和体育局、区妇联，责任单位：区卫生健康局、区民政局、区文化和旅游局、 区关工委）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（7）支持家庭生育养育儿童的法规政策体系基本形成。</w:t>
      </w:r>
      <w:r>
        <w:rPr>
          <w:rFonts w:hint="eastAsia" w:ascii="楷体" w:hAnsi="楷体" w:eastAsia="楷体_GB2312" w:cs="仿宋_GB2312"/>
          <w:color w:val="000000" w:themeColor="text1"/>
          <w:sz w:val="32"/>
          <w:szCs w:val="32"/>
          <w14:textFill>
            <w14:solidFill>
              <w14:schemeClr w14:val="tx1"/>
            </w14:solidFill>
          </w14:textFill>
        </w:rPr>
        <w:t>（牵头单位：区人大常委会办公室、区司法局，责任单位：区卫生健康局、区发展和改革局、区财政局、区税务</w:t>
      </w:r>
      <w:r>
        <w:rPr>
          <w:rFonts w:ascii="楷体" w:hAnsi="楷体" w:eastAsia="楷体_GB2312" w:cs="仿宋_GB2312"/>
          <w:color w:val="000000" w:themeColor="text1"/>
          <w:sz w:val="32"/>
          <w:szCs w:val="32"/>
          <w14:textFill>
            <w14:solidFill>
              <w14:schemeClr w14:val="tx1"/>
            </w14:solidFill>
          </w14:textFill>
        </w:rPr>
        <w:t>局、</w:t>
      </w:r>
      <w:r>
        <w:rPr>
          <w:rFonts w:hint="eastAsia" w:ascii="楷体" w:hAnsi="楷体" w:eastAsia="楷体_GB2312" w:cs="仿宋_GB2312"/>
          <w:color w:val="000000" w:themeColor="text1"/>
          <w:sz w:val="32"/>
          <w:szCs w:val="32"/>
          <w14:textFill>
            <w14:solidFill>
              <w14:schemeClr w14:val="tx1"/>
            </w14:solidFill>
          </w14:textFill>
        </w:rPr>
        <w:t>区市场监管局、区民政局、区人力资源和社会保障局、区妇联、区总工会）</w:t>
      </w:r>
    </w:p>
    <w:p>
      <w:pPr>
        <w:suppressAutoHyphens w:val="0"/>
        <w:overflowPunct w:val="0"/>
        <w:spacing w:line="600" w:lineRule="exact"/>
        <w:ind w:firstLine="640" w:firstLineChars="200"/>
        <w:rPr>
          <w:rFonts w:ascii="楷体" w:hAnsi="楷体" w:eastAsia="楷体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（8）提升家庭领域理论和实践研究水平，促进成果转化应用。</w:t>
      </w:r>
      <w:r>
        <w:rPr>
          <w:rFonts w:hint="eastAsia" w:ascii="楷体" w:hAnsi="楷体" w:eastAsia="楷体_GB2312" w:cs="仿宋_GB2312"/>
          <w:color w:val="000000" w:themeColor="text1"/>
          <w:sz w:val="32"/>
          <w:szCs w:val="32"/>
          <w14:textFill>
            <w14:solidFill>
              <w14:schemeClr w14:val="tx1"/>
            </w14:solidFill>
          </w14:textFill>
        </w:rPr>
        <w:t>（牵头单位：区妇联，责任单位：区教育和体育局、区委宣传部）</w:t>
      </w:r>
    </w:p>
    <w:p>
      <w:pPr>
        <w:suppressAutoHyphens w:val="0"/>
        <w:overflowPunct w:val="0"/>
        <w:spacing w:line="60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2.策略措施。</w:t>
      </w:r>
    </w:p>
    <w:p>
      <w:pPr>
        <w:suppressAutoHyphens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将立德树人落实到家庭教育各方面。按照《家长家庭教育基本行为规范》要求，父母或其他监护人应将立德树人作为家庭教育的首要任务，将思想品德教育融入日常生活，重言传、重身教，教知识、育品德，帮助儿童开拓视野、认识社会，通过身边人、身边事，培养儿童的好思想、好品德、好习惯，引导儿童树立正确的世界观、人生观、价值观。教育引导儿童践行社会主义核心价值观，学习中华民族优秀传统文化，厚植爱党爱祖国爱社会主义情怀。增强法治意识和社会责任感，从小学会做人、学会做事、学会学习，扣好人生第一粒扣子。</w:t>
      </w:r>
    </w:p>
    <w:p>
      <w:pPr>
        <w:suppressAutoHyphens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增强监护责任意识和能力。创造良好家庭环境，满足儿童身心发展需要，培养儿童良好行为习惯和健康生活方式，提高安全意识和自救自护能力。加强宣传教育培训，帮助父母或其他监护人学习家庭教育知识，树立科学育儿理念和正确成才观，掌握科学育儿方法，尊重个体差异，因材施教。禁止对儿童殴打、虐待等一切形式的家庭暴力。加强对家庭落实监护责任的支持、监督和干预，根据不同需求为家庭提供分类指导和福利保障。</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（3）用好家风涵养熏陶儿童。家长发挥榜样和示范作用，教育引导儿童传承尊老爱幼、男女平等、勤俭持家、亲子</w:t>
      </w:r>
      <w:r>
        <w:rPr>
          <w:rFonts w:ascii="仿宋_GB2312" w:hAnsi="仿宋_GB2312" w:eastAsia="仿宋_GB2312" w:cs="仿宋_GB2312"/>
          <w:color w:val="000000" w:themeColor="text1"/>
          <w:sz w:val="32"/>
          <w:szCs w:val="32"/>
          <w14:textFill>
            <w14:solidFill>
              <w14:schemeClr w14:val="tx1"/>
            </w14:solidFill>
          </w14:textFill>
        </w:rPr>
        <w:t>平等、</w:t>
      </w:r>
      <w:r>
        <w:rPr>
          <w:rFonts w:hint="eastAsia" w:ascii="仿宋_GB2312" w:hAnsi="仿宋_GB2312" w:eastAsia="仿宋_GB2312" w:cs="仿宋_GB2312"/>
          <w:color w:val="000000" w:themeColor="text1"/>
          <w:sz w:val="32"/>
          <w:szCs w:val="32"/>
          <w14:textFill>
            <w14:solidFill>
              <w14:schemeClr w14:val="tx1"/>
            </w14:solidFill>
          </w14:textFill>
        </w:rPr>
        <w:t>邻里互助的家庭美德，践行爱国爱家、相亲相爱、向上向善、共建共享的社会主义家庭文明新风尚。广泛开展好家风宣传弘扬活动，引领儿童养成文明健康的生活方式和消费模式，杜绝餐饮浪费。</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尊重儿童主体地位和权利。引导父母或其他监护人以儿童为本，尊重儿童的身心发展规律和特点，保障儿童休息、锻炼、闲暇和娱乐的权利，合理安排儿童的学习和生活，增加体育锻炼、劳动时间、休闲娱乐、社会实践、同伴交往、亲子活动等时间。尊重儿童的知情权、参与权、处分权，重视听取并采纳儿童的合理意见。教育引导儿童增强家庭和社会责任意识，鼓励儿童自主选择、自我管理、自我服务，参与力所能及的家务劳动，培养劳动习惯，提高劳动技能。</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培育良好亲子关系。引导家庭建立有效的亲子沟通方式，加强亲子交流，增加陪伴时间，提高陪伴质量。鼓励支持家庭开展亲子游戏、亲子阅读、亲子运动、亲子出游等活动，指导帮助家庭调适亲子关系，缓解育儿焦虑，化解亲子矛盾。依托各类教育、科技、文化、体育、娱乐等公益性设施和场所开展亲子活动。加强亲子阅读指导，推荐优秀儿童书目，培养儿童良好阅读习惯。完善儿童社区阅读场所和功能，</w:t>
      </w:r>
      <w:r>
        <w:rPr>
          <w:rFonts w:ascii="仿宋_GB2312" w:hAnsi="仿宋_GB2312" w:eastAsia="仿宋_GB2312" w:cs="仿宋_GB2312"/>
          <w:color w:val="000000" w:themeColor="text1"/>
          <w:sz w:val="32"/>
          <w:szCs w:val="32"/>
          <w14:textFill>
            <w14:solidFill>
              <w14:schemeClr w14:val="tx1"/>
            </w14:solidFill>
          </w14:textFill>
        </w:rPr>
        <w:t>90%</w:t>
      </w:r>
      <w:r>
        <w:rPr>
          <w:rFonts w:hint="eastAsia" w:ascii="仿宋_GB2312" w:hAnsi="仿宋_GB2312" w:eastAsia="仿宋_GB2312" w:cs="仿宋_GB2312"/>
          <w:color w:val="000000" w:themeColor="text1"/>
          <w:sz w:val="32"/>
          <w:szCs w:val="32"/>
          <w14:textFill>
            <w14:solidFill>
              <w14:schemeClr w14:val="tx1"/>
            </w14:solidFill>
          </w14:textFill>
        </w:rPr>
        <w:t>社区图书室设立亲子阅读区。</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构建覆盖城乡的家庭教育指导服务体系。建立家庭教育指导服务中心，统筹家庭教育指导服务工作，依托家长学校、城乡社区公共服务设施、儿童之家等设立家庭教育服务站点。培育家庭教育服务机构，加强对家庭教育服务机构和从业人员的管理，加强行业自律，规范家庭教育服务市场。建设家庭教育信息化共享平台，开设网上家长学校和家庭教育指导课程。中小学、幼儿园健全家庭教育指导服务工作制度，将家庭教育指导服务纳入学校工作计划和教师业务培训。村（居）支持协助家庭教育指导服务站点开展家庭教育指导服务。鼓励机关、企事业单位和社会组织面向本单位职工开展家庭教育指导服务。支持社工机构、志愿者组织和专业工作者依法依规开展家庭教育指导服务活动，推动将家庭教育指导服务纳入基本公共服务体系，纳入政府购买服务指导性目录。鼓励支持公共文化服务场所开展家庭教育指导活动，利用多种媒体开展家庭教育知识宣传。</w:t>
      </w:r>
    </w:p>
    <w:p>
      <w:pPr>
        <w:suppressAutoHyphens w:val="0"/>
        <w:overflowPunct w:val="0"/>
        <w:spacing w:line="600" w:lineRule="exact"/>
        <w:ind w:firstLine="640" w:firstLineChars="200"/>
        <w:rPr>
          <w:rFonts w:ascii="仿宋_GB2312" w:hAnsi="Tahoma" w:eastAsia="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（7）完善支持家庭生育养育的法规政策。</w:t>
      </w:r>
      <w:r>
        <w:rPr>
          <w:rFonts w:hint="eastAsia" w:ascii="仿宋_GB2312" w:hAnsi="Tahoma" w:eastAsia="仿宋_GB2312"/>
          <w:color w:val="000000" w:themeColor="text1"/>
          <w:kern w:val="0"/>
          <w:sz w:val="32"/>
          <w:szCs w:val="32"/>
          <w14:textFill>
            <w14:solidFill>
              <w14:schemeClr w14:val="tx1"/>
            </w14:solidFill>
          </w14:textFill>
        </w:rPr>
        <w:t>完善三孩生育政策配套措施，推动落实将3岁以下婴幼儿照护服务费用纳入个人所得税专项附加扣除，加强住房等支持政策，减轻生育养育教育负担。加快发展家政服务业，提高家庭服务智慧化和数字化水平，通过税收减免、从业</w:t>
      </w:r>
      <w:r>
        <w:rPr>
          <w:rFonts w:ascii="仿宋_GB2312" w:hAnsi="Tahoma" w:eastAsia="仿宋_GB2312"/>
          <w:color w:val="000000" w:themeColor="text1"/>
          <w:kern w:val="0"/>
          <w:sz w:val="32"/>
          <w:szCs w:val="32"/>
          <w14:textFill>
            <w14:solidFill>
              <w14:schemeClr w14:val="tx1"/>
            </w14:solidFill>
          </w14:textFill>
        </w:rPr>
        <w:t>人员</w:t>
      </w:r>
      <w:r>
        <w:rPr>
          <w:rFonts w:hint="eastAsia" w:ascii="仿宋_GB2312" w:hAnsi="Tahoma" w:eastAsia="仿宋_GB2312"/>
          <w:color w:val="000000" w:themeColor="text1"/>
          <w:kern w:val="0"/>
          <w:sz w:val="32"/>
          <w:szCs w:val="32"/>
          <w14:textFill>
            <w14:solidFill>
              <w14:schemeClr w14:val="tx1"/>
            </w14:solidFill>
          </w14:textFill>
        </w:rPr>
        <w:t>意外</w:t>
      </w:r>
      <w:r>
        <w:rPr>
          <w:rFonts w:ascii="仿宋_GB2312" w:hAnsi="Tahoma" w:eastAsia="仿宋_GB2312"/>
          <w:color w:val="000000" w:themeColor="text1"/>
          <w:kern w:val="0"/>
          <w:sz w:val="32"/>
          <w:szCs w:val="32"/>
          <w14:textFill>
            <w14:solidFill>
              <w14:schemeClr w14:val="tx1"/>
            </w14:solidFill>
          </w14:textFill>
        </w:rPr>
        <w:t>伤害保险</w:t>
      </w:r>
      <w:r>
        <w:rPr>
          <w:rFonts w:hint="eastAsia" w:ascii="仿宋_GB2312" w:hAnsi="Tahoma" w:eastAsia="仿宋_GB2312"/>
          <w:color w:val="000000" w:themeColor="text1"/>
          <w:kern w:val="0"/>
          <w:sz w:val="32"/>
          <w:szCs w:val="32"/>
          <w14:textFill>
            <w14:solidFill>
              <w14:schemeClr w14:val="tx1"/>
            </w14:solidFill>
          </w14:textFill>
        </w:rPr>
        <w:t>补贴</w:t>
      </w:r>
      <w:r>
        <w:rPr>
          <w:rFonts w:ascii="仿宋_GB2312" w:hAnsi="Tahoma" w:eastAsia="仿宋_GB2312"/>
          <w:color w:val="000000" w:themeColor="text1"/>
          <w:kern w:val="0"/>
          <w:sz w:val="32"/>
          <w:szCs w:val="32"/>
          <w14:textFill>
            <w14:solidFill>
              <w14:schemeClr w14:val="tx1"/>
            </w14:solidFill>
          </w14:textFill>
        </w:rPr>
        <w:t>等</w:t>
      </w:r>
      <w:r>
        <w:rPr>
          <w:rFonts w:hint="eastAsia" w:ascii="仿宋_GB2312" w:hAnsi="Tahoma" w:eastAsia="仿宋_GB2312"/>
          <w:color w:val="000000" w:themeColor="text1"/>
          <w:kern w:val="0"/>
          <w:sz w:val="32"/>
          <w:szCs w:val="32"/>
          <w14:textFill>
            <w14:solidFill>
              <w14:schemeClr w14:val="tx1"/>
            </w14:solidFill>
          </w14:textFill>
        </w:rPr>
        <w:t>方式减轻家庭服务企业成本。将困境儿童及其家庭支持与保障作为家庭支持政策的优先领域，加强对困难家庭、单亲特困等特殊家庭的救助和服务。探索实行父母带薪育儿假和家庭育儿津贴制度。鼓励用人单位创办母婴室和托育托管服务设施，实施弹性工时、居家办公等灵活的家庭友好措施。</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加强家庭领域理论和实践研究。探索建立家庭领域研究基地，培养壮大家庭领域研究队伍，提升研究水平。坚持问题导向，聚焦家庭建设、家庭教育、家风培树等开展研究，及时推进研究成果转化，为家庭领域相关工作提供理论支撑。</w:t>
      </w:r>
    </w:p>
    <w:p>
      <w:pPr>
        <w:suppressAutoHyphens w:val="0"/>
        <w:overflowPunct w:val="0"/>
        <w:spacing w:line="600" w:lineRule="exact"/>
        <w:ind w:firstLine="640" w:firstLineChars="200"/>
        <w:outlineLvl w:val="1"/>
        <w:rPr>
          <w:rFonts w:ascii="Times New Roman" w:hAnsi="Times New Roman" w:eastAsia="楷体_GB2312"/>
          <w:color w:val="000000" w:themeColor="text1"/>
          <w:kern w:val="0"/>
          <w:sz w:val="32"/>
          <w:szCs w:val="32"/>
          <w14:textFill>
            <w14:solidFill>
              <w14:schemeClr w14:val="tx1"/>
            </w14:solidFill>
          </w14:textFill>
        </w:rPr>
      </w:pPr>
      <w:bookmarkStart w:id="41" w:name="_Toc2030930627"/>
      <w:r>
        <w:rPr>
          <w:rFonts w:ascii="Times New Roman" w:hAnsi="楷体" w:eastAsia="楷体_GB2312"/>
          <w:color w:val="000000" w:themeColor="text1"/>
          <w:kern w:val="0"/>
          <w:sz w:val="32"/>
          <w:szCs w:val="32"/>
          <w14:textFill>
            <w14:solidFill>
              <w14:schemeClr w14:val="tx1"/>
            </w14:solidFill>
          </w14:textFill>
        </w:rPr>
        <w:t>（七）儿童与环境</w:t>
      </w:r>
      <w:bookmarkEnd w:id="41"/>
      <w:r>
        <w:rPr>
          <w:rFonts w:hint="eastAsia" w:ascii="Times New Roman" w:hAnsi="楷体" w:eastAsia="楷体_GB2312"/>
          <w:color w:val="000000" w:themeColor="text1"/>
          <w:kern w:val="0"/>
          <w:sz w:val="32"/>
          <w:szCs w:val="32"/>
          <w14:textFill>
            <w14:solidFill>
              <w14:schemeClr w14:val="tx1"/>
            </w14:solidFill>
          </w14:textFill>
        </w:rPr>
        <w:t>。</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1.主要目标。</w:t>
      </w:r>
    </w:p>
    <w:p>
      <w:pPr>
        <w:suppressAutoHyphens w:val="0"/>
        <w:overflowPunct w:val="0"/>
        <w:spacing w:line="600" w:lineRule="exact"/>
        <w:ind w:firstLine="640" w:firstLineChars="200"/>
        <w:rPr>
          <w:rFonts w:ascii="仿宋_GB2312" w:hAnsi="仿宋_GB2312" w:eastAsia="仿宋_GB2312" w:cs="仿宋_GB2312"/>
          <w:color w:val="000000" w:themeColor="text1"/>
          <w:kern w:val="0"/>
          <w:sz w:val="32"/>
          <w:szCs w:val="32"/>
          <w:shd w:val="clear" w:color="FFFFFF" w:fill="D9D9D9"/>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bCs/>
          <w:color w:val="000000" w:themeColor="text1"/>
          <w:kern w:val="0"/>
          <w:sz w:val="32"/>
          <w:szCs w:val="32"/>
          <w14:textFill>
            <w14:solidFill>
              <w14:schemeClr w14:val="tx1"/>
            </w14:solidFill>
          </w14:textFill>
        </w:rPr>
        <w:t>儿童优先</w:t>
      </w:r>
      <w:r>
        <w:rPr>
          <w:rFonts w:hint="eastAsia" w:ascii="仿宋_GB2312" w:hAnsi="仿宋_GB2312" w:eastAsia="仿宋_GB2312" w:cs="仿宋_GB2312"/>
          <w:color w:val="000000" w:themeColor="text1"/>
          <w:sz w:val="32"/>
          <w:szCs w:val="32"/>
          <w14:textFill>
            <w14:solidFill>
              <w14:schemeClr w14:val="tx1"/>
            </w14:solidFill>
          </w14:textFill>
        </w:rPr>
        <w:t>原则在公共政策制定、公共设施建设、公共服务供给各方面得到落实，尊重、爱护儿童的社会环境进一步形成。</w:t>
      </w:r>
      <w:r>
        <w:rPr>
          <w:rFonts w:hint="eastAsia" w:ascii="楷体" w:hAnsi="楷体" w:eastAsia="楷体_GB2312" w:cs="仿宋_GB2312"/>
          <w:color w:val="000000" w:themeColor="text1"/>
          <w:sz w:val="32"/>
          <w:szCs w:val="32"/>
          <w14:textFill>
            <w14:solidFill>
              <w14:schemeClr w14:val="tx1"/>
            </w14:solidFill>
          </w14:textFill>
        </w:rPr>
        <w:t>（牵头单位：区妇儿工委办公室，责任单位：区财政局、区发展和改革局、区司法局、区教育和体育局、区文化和旅游局、区住房和城乡建设局、区自然资源局</w:t>
      </w:r>
      <w:r>
        <w:rPr>
          <w:rFonts w:ascii="楷体" w:hAnsi="楷体" w:eastAsia="楷体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区城市规划建设服务中心、团区委、区妇联、区融媒中心）</w:t>
      </w:r>
    </w:p>
    <w:p>
      <w:pPr>
        <w:suppressAutoHyphens w:val="0"/>
        <w:overflowPunct w:val="0"/>
        <w:spacing w:line="600" w:lineRule="exact"/>
        <w:ind w:firstLine="640" w:firstLineChars="200"/>
        <w:rPr>
          <w:rFonts w:ascii="楷体" w:hAnsi="楷体" w:eastAsia="楷体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（2）提供更多有益于儿童全面发展的高质量精神文化产品。</w:t>
      </w:r>
      <w:r>
        <w:rPr>
          <w:rFonts w:hint="eastAsia" w:ascii="楷体" w:hAnsi="楷体" w:eastAsia="楷体_GB2312" w:cs="仿宋_GB2312"/>
          <w:color w:val="000000" w:themeColor="text1"/>
          <w:sz w:val="32"/>
          <w:szCs w:val="32"/>
          <w14:textFill>
            <w14:solidFill>
              <w14:schemeClr w14:val="tx1"/>
            </w14:solidFill>
          </w14:textFill>
        </w:rPr>
        <w:t>（牵头单位：区委宣传部，责任单位：区融媒中心、区文化和旅游局、区科协、区教育和体育局、团区委、区妇联、区关工委）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（3）保护儿童免受各类传媒不良信息影响。儿童媒介素养提升。</w:t>
      </w:r>
      <w:r>
        <w:rPr>
          <w:rFonts w:hint="eastAsia" w:ascii="楷体" w:hAnsi="楷体" w:eastAsia="楷体_GB2312" w:cs="仿宋_GB2312"/>
          <w:color w:val="000000" w:themeColor="text1"/>
          <w:sz w:val="32"/>
          <w:szCs w:val="32"/>
          <w14:textFill>
            <w14:solidFill>
              <w14:schemeClr w14:val="tx1"/>
            </w14:solidFill>
          </w14:textFill>
        </w:rPr>
        <w:t>（牵头单位：区委宣传部，责任单位：区公安分局、区教育和体育局、区融媒中心、区市场监管局、区文化和旅游局、团区委、区妇联、 区关工委）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（4）儿童参与和表达的权利得到保障。</w:t>
      </w:r>
      <w:r>
        <w:rPr>
          <w:rFonts w:hint="eastAsia" w:ascii="楷体" w:hAnsi="楷体" w:eastAsia="楷体_GB2312" w:cs="仿宋_GB2312"/>
          <w:color w:val="000000" w:themeColor="text1"/>
          <w:sz w:val="32"/>
          <w:szCs w:val="32"/>
          <w14:textFill>
            <w14:solidFill>
              <w14:schemeClr w14:val="tx1"/>
            </w14:solidFill>
          </w14:textFill>
        </w:rPr>
        <w:t>（牵头单位：区妇儿工委办公室，责任单位：区民政局、区教育和体育局、区妇联、团区委）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（5）儿童友好型城市、儿童友好型社区基本建成。</w:t>
      </w:r>
      <w:r>
        <w:rPr>
          <w:rFonts w:hint="eastAsia" w:ascii="楷体" w:hAnsi="楷体" w:eastAsia="楷体_GB2312" w:cs="仿宋_GB2312"/>
          <w:color w:val="000000" w:themeColor="text1"/>
          <w:sz w:val="32"/>
          <w:szCs w:val="32"/>
          <w14:textFill>
            <w14:solidFill>
              <w14:schemeClr w14:val="tx1"/>
            </w14:solidFill>
          </w14:textFill>
        </w:rPr>
        <w:t>（牵头单位：区发展和改革局、区住房和城乡建设局、区妇儿工委办公室，责任单位：区财政局、区自然资源局、区城市规划建设服务中心、区农业农村局、区生态环境分局、区教育和体育局、区卫生健康局、区城乡交通运输局、区市场监管局、区残联、区总工会、区妇联、团区委、区关工委）</w:t>
      </w:r>
    </w:p>
    <w:p>
      <w:pPr>
        <w:suppressAutoHyphens w:val="0"/>
        <w:overflowPunct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（6）公益性儿童教育、科技、文化、体育、娱乐等校外活动场所增加，提高利用率和服务质量。</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（牵头单位：区教育和体育局，责任单位：区财政局、区发展和改革局、区自然资源局</w:t>
      </w:r>
      <w:r>
        <w:rPr>
          <w:rFonts w:ascii="楷体" w:hAnsi="楷体" w:eastAsia="楷体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区城市规划建设服务中心、区</w:t>
      </w:r>
      <w:r>
        <w:rPr>
          <w:rFonts w:ascii="楷体" w:hAnsi="楷体" w:eastAsia="楷体_GB2312" w:cs="仿宋_GB2312"/>
          <w:color w:val="000000" w:themeColor="text1"/>
          <w:sz w:val="32"/>
          <w:szCs w:val="32"/>
          <w14:textFill>
            <w14:solidFill>
              <w14:schemeClr w14:val="tx1"/>
            </w14:solidFill>
          </w14:textFill>
        </w:rPr>
        <w:t>住房</w:t>
      </w:r>
      <w:r>
        <w:rPr>
          <w:rFonts w:hint="eastAsia" w:ascii="楷体" w:hAnsi="楷体" w:eastAsia="楷体_GB2312" w:cs="仿宋_GB2312"/>
          <w:color w:val="000000" w:themeColor="text1"/>
          <w:sz w:val="32"/>
          <w:szCs w:val="32"/>
          <w14:textFill>
            <w14:solidFill>
              <w14:schemeClr w14:val="tx1"/>
            </w14:solidFill>
          </w14:textFill>
        </w:rPr>
        <w:t>和</w:t>
      </w:r>
      <w:r>
        <w:rPr>
          <w:rFonts w:ascii="楷体" w:hAnsi="楷体" w:eastAsia="楷体_GB2312" w:cs="仿宋_GB2312"/>
          <w:color w:val="000000" w:themeColor="text1"/>
          <w:sz w:val="32"/>
          <w:szCs w:val="32"/>
          <w14:textFill>
            <w14:solidFill>
              <w14:schemeClr w14:val="tx1"/>
            </w14:solidFill>
          </w14:textFill>
        </w:rPr>
        <w:t>城乡建设局</w:t>
      </w:r>
      <w:r>
        <w:rPr>
          <w:rFonts w:hint="eastAsia" w:ascii="楷体" w:hAnsi="楷体" w:eastAsia="楷体_GB2312" w:cs="仿宋_GB2312"/>
          <w:color w:val="000000" w:themeColor="text1"/>
          <w:sz w:val="32"/>
          <w:szCs w:val="32"/>
          <w14:textFill>
            <w14:solidFill>
              <w14:schemeClr w14:val="tx1"/>
            </w14:solidFill>
          </w14:textFill>
        </w:rPr>
        <w:t>、区民政局、区科协、区文化和旅游局、区教育和体育局、团区委、区妇联、区残联、区关工委）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（7）儿童生态环境保护意识进一步提高，养成绿色低碳生活习惯。</w:t>
      </w:r>
      <w:r>
        <w:rPr>
          <w:rFonts w:hint="eastAsia" w:ascii="楷体" w:hAnsi="楷体" w:eastAsia="楷体_GB2312" w:cs="仿宋_GB2312"/>
          <w:color w:val="000000" w:themeColor="text1"/>
          <w:sz w:val="32"/>
          <w:szCs w:val="32"/>
          <w14:textFill>
            <w14:solidFill>
              <w14:schemeClr w14:val="tx1"/>
            </w14:solidFill>
          </w14:textFill>
        </w:rPr>
        <w:t>（牵头单位：区生态环境分局，责任单位：区委宣传部、区融媒中心、区教育和体育局、区农业农村局、团区委、区妇联、区关工委）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2.策略措施。</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（1）全面贯彻儿童优先原则。建立和完善促进儿童优先发展的制度体系，</w:t>
      </w:r>
      <w:r>
        <w:rPr>
          <w:rFonts w:hint="eastAsia" w:ascii="仿宋_GB2312" w:hAnsi="仿宋_GB2312" w:eastAsia="仿宋_GB2312" w:cs="仿宋_GB2312"/>
          <w:color w:val="000000" w:themeColor="text1"/>
          <w:kern w:val="0"/>
          <w:sz w:val="32"/>
          <w:szCs w:val="32"/>
          <w14:textFill>
            <w14:solidFill>
              <w14:schemeClr w14:val="tx1"/>
            </w14:solidFill>
          </w14:textFill>
        </w:rPr>
        <w:t>出台法规政策、编制规划、配置资源、部署工作</w:t>
      </w:r>
      <w:r>
        <w:rPr>
          <w:rFonts w:hint="eastAsia" w:ascii="仿宋_GB2312" w:hAnsi="仿宋_GB2312" w:eastAsia="仿宋_GB2312" w:cs="仿宋_GB2312"/>
          <w:color w:val="000000" w:themeColor="text1"/>
          <w:sz w:val="32"/>
          <w:szCs w:val="32"/>
          <w14:textFill>
            <w14:solidFill>
              <w14:schemeClr w14:val="tx1"/>
            </w14:solidFill>
          </w14:textFill>
        </w:rPr>
        <w:t>优先考虑儿童利益和需求。加大儿童优先原则的宣传力度，提高政府部门和社会公众对儿童权利的认识，增强保障儿童权利的自觉性。在城乡建设规划和城市改造中提供更多适合儿童的公共设施和活动场所。鼓励企事业单位、各类公共服务机构和社会组织参与儿童发展和权利保护服务。</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构筑优质向上开放的儿童文化环境。加大高质量儿童文化产品供给力度，鼓励、扶植健康向上的儿童歌曲、戏曲、影视、舞台剧、动漫、游戏等优秀文化产品创作和推介，推进优秀传统文化和民族艺术向儿童传播，顺应和满足儿童不断增长的精神文化需求。加强对儿童文化市场的监管，进一步完善法律监控和审查机制，依法查处和清理整治损害儿童身心健康的违法广告、读物、音像和网络产品，加强儿童读物、影视作品的分级管理和监督，保护儿童免受不良文化信息影响。控制对儿童伤害事件受害儿童的过度报道。反对利用儿童开展商业广告和商业演出活动，切实保护儿童隐私。</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加强儿童媒介素养教育。保障儿童利用和参与媒介的权利。将媒介素养教育纳入中小学、幼儿园教育和家庭教育指导服务内容。提升儿童及其监护人媒介素养，加强对不同年龄段儿童使用网络的分类教育指导，养成良好用网习惯。引导儿童抵制网络不文明行为，增强信息识别和网上自我保护能力，防止沉迷网络。为残疾儿童、困境儿童安全合理参与网络提供条件。</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构建儿童社会参与的机制和环境。进一步发挥少先队、共青团组织的主导作用，拓宽和深化儿童社会参与的领域与层次，探索建立儿童参与社区治理的机制。尊重儿童的主体性，保障儿童的社会参与和意见表达权利，畅通儿童参与和表达渠道，在各项与儿童有关的重大决策过程中注重倾听和吸纳儿童的意见与建议。大力弘扬志愿精神，健全社会实践制度，引导、鼓励、支持儿童参与各类劳动和社会公益实践活动，组织和引导儿童参与力所能及的社区服务、城市建设和治理。加强学校和社区的联动，进一步推进社会实践基地建设，丰富儿童社会实践路径。</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优化儿童阅读环境。积极发挥文化馆、图书馆等各类公益机构和社区儿童公共服务平台的作用，增加儿童图书的配送数量，为儿童提供阅读场所和适合不同年龄阶段儿童发展特征的各类图书。公共图书馆单设儿童阅览区，盲人阅览区为盲童阅读提供便利。依托齐鲁文化优势资源，挖掘传统文化精髓，为广大儿童讲好山东、济南、章丘故事。学校、社区家长学校得到有效利用，提高家长培养儿童读书兴趣能力，增加儿童阅读时间和阅读量，让读书陪伴儿童健康成长。</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（6）开展儿童友好型城市、儿童友好型社区建设工作。开展理念友好、政策友好、环境友好、人文友好、服务友好的儿童友好型城市、儿童友好型社区建设。建立多部门合作的工作机制，整合社区</w:t>
      </w:r>
      <w:r>
        <w:rPr>
          <w:rFonts w:ascii="仿宋_GB2312" w:hAnsi="仿宋_GB2312" w:eastAsia="仿宋_GB2312" w:cs="仿宋_GB2312"/>
          <w:color w:val="000000" w:themeColor="text1"/>
          <w:sz w:val="32"/>
          <w:szCs w:val="32"/>
          <w14:textFill>
            <w14:solidFill>
              <w14:schemeClr w14:val="tx1"/>
            </w14:solidFill>
          </w14:textFill>
        </w:rPr>
        <w:t>资源，建设以娱乐、教育、卫生保健、心理咨询、法律服务为主要内容的儿童家园</w:t>
      </w:r>
      <w:r>
        <w:rPr>
          <w:rFonts w:hint="eastAsia" w:ascii="仿宋_GB2312" w:hAnsi="仿宋_GB2312" w:eastAsia="仿宋_GB2312" w:cs="仿宋_GB2312"/>
          <w:color w:val="000000" w:themeColor="text1"/>
          <w:sz w:val="32"/>
          <w:szCs w:val="32"/>
          <w14:textFill>
            <w14:solidFill>
              <w14:schemeClr w14:val="tx1"/>
            </w14:solidFill>
          </w14:textFill>
        </w:rPr>
        <w:t>或</w:t>
      </w:r>
      <w:r>
        <w:rPr>
          <w:rFonts w:ascii="仿宋_GB2312" w:hAnsi="仿宋_GB2312" w:eastAsia="仿宋_GB2312" w:cs="仿宋_GB2312"/>
          <w:color w:val="000000" w:themeColor="text1"/>
          <w:sz w:val="32"/>
          <w:szCs w:val="32"/>
          <w14:textFill>
            <w14:solidFill>
              <w14:schemeClr w14:val="tx1"/>
            </w14:solidFill>
          </w14:textFill>
        </w:rPr>
        <w:t>儿童之家，坚持公益性，提高利用率和服务质量</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）加大儿童校外活动场所建设和管理力度。将儿童活动中心等儿童校外活动场所建设纳入我区经济社会发展规划，加大投入力度，规范设施场所管理。加强校外活动场所、社区儿童之家建设和公共空间</w:t>
      </w:r>
      <w:r>
        <w:rPr>
          <w:rFonts w:hint="eastAsia" w:ascii="仿宋_GB2312" w:hAnsi="宋体" w:eastAsia="仿宋_GB2312" w:cs="宋体"/>
          <w:color w:val="000000" w:themeColor="text1"/>
          <w:sz w:val="32"/>
          <w:szCs w:val="32"/>
          <w14:textFill>
            <w14:solidFill>
              <w14:schemeClr w14:val="tx1"/>
            </w14:solidFill>
          </w14:textFill>
        </w:rPr>
        <w:t>适儿化改造，完善儿童公共服务设施。</w:t>
      </w:r>
      <w:r>
        <w:rPr>
          <w:rFonts w:hint="eastAsia" w:ascii="仿宋_GB2312" w:hAnsi="仿宋_GB2312" w:eastAsia="仿宋_GB2312" w:cs="仿宋_GB2312"/>
          <w:color w:val="000000" w:themeColor="text1"/>
          <w:sz w:val="32"/>
          <w:szCs w:val="32"/>
          <w14:textFill>
            <w14:solidFill>
              <w14:schemeClr w14:val="tx1"/>
            </w14:solidFill>
          </w14:textFill>
        </w:rPr>
        <w:t>加强爱国主义、党史国史、科普、法治、中小学生研学实践等教育基地建设，加大对农村儿童活动场所建设和运行的扶持力度，推进儿童活动场所无障碍建设和改造。各类公益性教育、科技、文化、体育、娱乐场所对儿童免费或优惠开放，根据条件开辟儿童活动专区。综合性公园提供儿童游戏、教育等多元化服务。发挥校外活动场所的育人优势，打造儿童主题活动品牌，提升育人成效。</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创新开展面向儿童的生态文明宣传教育活动。把生态文明教育纳入国民教育体系，融入课堂教学、校园活动、社会实践等环节。推进生态环境科普基地和中小学环境教育社会实践基地建设，在“六五环境日”“全国低碳日”“全国科技周”等节点，开展儿童环保主题活动，培养儿童生态文明意识，树立珍惜资源、保护自然、珍爱生命、与自然和谐相处的观念，自觉养成健康文明、绿色低碳、垃圾分类的良好生活习惯。</w:t>
      </w:r>
    </w:p>
    <w:p>
      <w:pPr>
        <w:suppressAutoHyphens w:val="0"/>
        <w:overflowPunct w:val="0"/>
        <w:spacing w:line="600" w:lineRule="exact"/>
        <w:ind w:firstLine="640" w:firstLineChars="200"/>
        <w:outlineLvl w:val="0"/>
        <w:rPr>
          <w:rFonts w:ascii="Times New Roman" w:hAnsi="黑体" w:eastAsia="黑体"/>
          <w:color w:val="000000" w:themeColor="text1"/>
          <w:kern w:val="0"/>
          <w:sz w:val="32"/>
          <w:szCs w:val="32"/>
          <w14:textFill>
            <w14:solidFill>
              <w14:schemeClr w14:val="tx1"/>
            </w14:solidFill>
          </w14:textFill>
        </w:rPr>
      </w:pPr>
      <w:bookmarkStart w:id="42" w:name="_Toc179514457"/>
      <w:r>
        <w:rPr>
          <w:rFonts w:hint="eastAsia" w:ascii="Times New Roman" w:hAnsi="黑体" w:eastAsia="黑体"/>
          <w:color w:val="000000" w:themeColor="text1"/>
          <w:kern w:val="0"/>
          <w:sz w:val="32"/>
          <w:szCs w:val="32"/>
          <w14:textFill>
            <w14:solidFill>
              <w14:schemeClr w14:val="tx1"/>
            </w14:solidFill>
          </w14:textFill>
        </w:rPr>
        <w:t>四、保障措施</w:t>
      </w:r>
      <w:bookmarkEnd w:id="42"/>
    </w:p>
    <w:p>
      <w:pPr>
        <w:suppressAutoHyphens w:val="0"/>
        <w:overflowPunct w:val="0"/>
        <w:spacing w:line="600" w:lineRule="exact"/>
        <w:ind w:firstLine="640" w:firstLineChars="200"/>
        <w:outlineLvl w:val="1"/>
        <w:rPr>
          <w:rFonts w:ascii="楷体" w:hAnsi="楷体" w:eastAsia="楷体_GB2312" w:cs="黑体"/>
          <w:color w:val="000000" w:themeColor="text1"/>
          <w:kern w:val="0"/>
          <w:sz w:val="32"/>
          <w:szCs w:val="32"/>
          <w14:textFill>
            <w14:solidFill>
              <w14:schemeClr w14:val="tx1"/>
            </w14:solidFill>
          </w14:textFill>
        </w:rPr>
      </w:pPr>
      <w:bookmarkStart w:id="43" w:name="_Toc1719404289"/>
      <w:r>
        <w:rPr>
          <w:rFonts w:hint="eastAsia" w:ascii="楷体" w:hAnsi="楷体" w:eastAsia="楷体_GB2312" w:cs="楷体"/>
          <w:color w:val="000000" w:themeColor="text1"/>
          <w:kern w:val="0"/>
          <w:sz w:val="32"/>
          <w:szCs w:val="32"/>
          <w14:textFill>
            <w14:solidFill>
              <w14:schemeClr w14:val="tx1"/>
            </w14:solidFill>
          </w14:textFill>
        </w:rPr>
        <w:t>（</w:t>
      </w:r>
      <w:r>
        <w:rPr>
          <w:rFonts w:hint="eastAsia" w:ascii="楷体" w:hAnsi="楷体" w:eastAsia="楷体_GB2312" w:cs="黑体"/>
          <w:color w:val="000000" w:themeColor="text1"/>
          <w:kern w:val="0"/>
          <w:sz w:val="32"/>
          <w:szCs w:val="32"/>
          <w14:textFill>
            <w14:solidFill>
              <w14:schemeClr w14:val="tx1"/>
            </w14:solidFill>
          </w14:textFill>
        </w:rPr>
        <w:t>一）组织实施</w:t>
      </w:r>
      <w:bookmarkEnd w:id="43"/>
      <w:bookmarkStart w:id="44" w:name="_Toc10275"/>
      <w:r>
        <w:rPr>
          <w:rFonts w:hint="eastAsia" w:ascii="楷体" w:hAnsi="楷体" w:eastAsia="楷体_GB2312" w:cs="黑体"/>
          <w:color w:val="000000" w:themeColor="text1"/>
          <w:kern w:val="0"/>
          <w:sz w:val="32"/>
          <w:szCs w:val="32"/>
          <w14:textFill>
            <w14:solidFill>
              <w14:schemeClr w14:val="tx1"/>
            </w14:solidFill>
          </w14:textFill>
        </w:rPr>
        <w:t>。</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1.坚持</w:t>
      </w:r>
      <w:r>
        <w:rPr>
          <w:rFonts w:hint="eastAsia" w:ascii="仿宋_GB2312" w:hAnsi="仿宋_GB2312" w:eastAsia="仿宋_GB2312" w:cs="仿宋_GB2312"/>
          <w:color w:val="000000" w:themeColor="text1"/>
          <w:sz w:val="32"/>
          <w:szCs w:val="32"/>
          <w14:textFill>
            <w14:solidFill>
              <w14:schemeClr w14:val="tx1"/>
            </w14:solidFill>
          </w14:textFill>
        </w:rPr>
        <w:t>党的全面领导。坚持以习近平新时代中国特色社会主义思想为指导，坚持以人民为中心的发展思想，坚持走中国特色社会主义儿童发展道路，贯彻党中央关于儿童事业发展的决策部署，</w:t>
      </w:r>
      <w:r>
        <w:rPr>
          <w:rFonts w:hint="eastAsia" w:ascii="仿宋_GB2312" w:hAnsi="仿宋_GB2312" w:eastAsia="仿宋_GB2312" w:cs="仿宋_GB2312"/>
          <w:color w:val="000000" w:themeColor="text1"/>
          <w:kern w:val="0"/>
          <w:sz w:val="32"/>
          <w:szCs w:val="32"/>
          <w14:textFill>
            <w14:solidFill>
              <w14:schemeClr w14:val="tx1"/>
            </w14:solidFill>
          </w14:textFill>
        </w:rPr>
        <w:t>严明政治纪律、政治规矩，切实</w:t>
      </w:r>
      <w:r>
        <w:rPr>
          <w:rFonts w:hint="eastAsia" w:ascii="仿宋_GB2312" w:hAnsi="仿宋_GB2312" w:eastAsia="仿宋_GB2312" w:cs="仿宋_GB2312"/>
          <w:color w:val="000000" w:themeColor="text1"/>
          <w:sz w:val="32"/>
          <w:szCs w:val="32"/>
          <w14:textFill>
            <w14:solidFill>
              <w14:schemeClr w14:val="tx1"/>
            </w14:solidFill>
          </w14:textFill>
        </w:rPr>
        <w:t>把党的领导贯穿于儿童事业发展的全过程和各方面。</w:t>
      </w:r>
      <w:bookmarkEnd w:id="44"/>
      <w:bookmarkStart w:id="45" w:name="_Toc28059"/>
    </w:p>
    <w:p>
      <w:pPr>
        <w:suppressAutoHyphens w:val="0"/>
        <w:overflowPunct w:val="0"/>
        <w:autoSpaceDN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2.明确责任目标。各级政府统筹推进规划实施，纳入议事日程和考核内容，区妇儿工委负责具体推进规划实施，牵头做好组织、协调、指导、督促工作,有关部门、相关机构和人民团体负责目标任务落实。</w:t>
      </w:r>
      <w:bookmarkEnd w:id="45"/>
      <w:bookmarkStart w:id="46" w:name="_Toc528"/>
    </w:p>
    <w:p>
      <w:pPr>
        <w:suppressAutoHyphens w:val="0"/>
        <w:overflowPunct w:val="0"/>
        <w:autoSpaceDN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 强化工作规范。定期召开全区妇女儿童工作会议，主动接受人大、政协监督和视察调研，健全定期报告、督导检查、目标预警等机制，按规定开展评选表彰活动。</w:t>
      </w:r>
    </w:p>
    <w:p>
      <w:pPr>
        <w:suppressAutoHyphens w:val="0"/>
        <w:overflowPunct w:val="0"/>
        <w:autoSpaceDN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4. </w:t>
      </w:r>
      <w:r>
        <w:rPr>
          <w:rFonts w:hint="eastAsia" w:ascii="仿宋_GB2312" w:hAnsi="仿宋_GB2312" w:eastAsia="仿宋_GB2312" w:cs="仿宋_GB2312"/>
          <w:color w:val="000000" w:themeColor="text1"/>
          <w:sz w:val="32"/>
          <w:szCs w:val="32"/>
          <w14:textFill>
            <w14:solidFill>
              <w14:schemeClr w14:val="tx1"/>
            </w14:solidFill>
          </w14:textFill>
        </w:rPr>
        <w:t>保障经费投入。各级政府将实施规划所需经费纳入财政预算</w:t>
      </w:r>
      <w:r>
        <w:rPr>
          <w:rFonts w:hint="eastAsia" w:ascii="仿宋_GB2312" w:hAnsi="仿宋_GB2312" w:eastAsia="仿宋_GB2312" w:cs="仿宋_GB2312"/>
          <w:color w:val="000000" w:themeColor="text1"/>
          <w:kern w:val="0"/>
          <w:sz w:val="32"/>
          <w:szCs w:val="32"/>
          <w14:textFill>
            <w14:solidFill>
              <w14:schemeClr w14:val="tx1"/>
            </w14:solidFill>
          </w14:textFill>
        </w:rPr>
        <w:t>，实现儿童事业和经济社会同步发展。各级财政应支持儿童重点领域的发展，为儿童办实事。动员社会力量，多渠道筹集资金，发展儿童事业</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overflowPunct w:val="0"/>
        <w:autoSpaceDN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 强化能力建设。根据相关规定，区妇儿工委办公室配备专职工作人员，培育专业性强的队伍。区妇儿工委加强对成员单位及特邀单位联络员、办公室专职干部、统计监测人员的工作指导和业务培训，为规划实施提供保障。</w:t>
      </w:r>
    </w:p>
    <w:p>
      <w:pPr>
        <w:suppressAutoHyphens w:val="0"/>
        <w:overflowPunct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加大宣传调研力度。充分利用新闻媒体，多渠道、多形式向社会广泛宣传习近平总书记关于儿童和儿童工作的重要论述，宣传党中央对儿童事业发展的重要决策，宣传规划的发展目标、主要任务和实施状况。区妇儿工委适时发布章丘儿童发展状况。加强儿童</w:t>
      </w:r>
      <w:r>
        <w:rPr>
          <w:rFonts w:ascii="仿宋_GB2312" w:hAnsi="仿宋_GB2312" w:eastAsia="仿宋_GB2312" w:cs="仿宋_GB2312"/>
          <w:color w:val="000000" w:themeColor="text1"/>
          <w:kern w:val="0"/>
          <w:sz w:val="32"/>
          <w:szCs w:val="32"/>
          <w14:textFill>
            <w14:solidFill>
              <w14:schemeClr w14:val="tx1"/>
            </w14:solidFill>
          </w14:textFill>
        </w:rPr>
        <w:t>工作</w:t>
      </w:r>
      <w:r>
        <w:rPr>
          <w:rFonts w:hint="eastAsia" w:ascii="仿宋_GB2312" w:hAnsi="仿宋_GB2312" w:eastAsia="仿宋_GB2312" w:cs="仿宋_GB2312"/>
          <w:color w:val="000000" w:themeColor="text1"/>
          <w:kern w:val="0"/>
          <w:sz w:val="32"/>
          <w:szCs w:val="32"/>
          <w14:textFill>
            <w14:solidFill>
              <w14:schemeClr w14:val="tx1"/>
            </w14:solidFill>
          </w14:textFill>
        </w:rPr>
        <w:t>智库</w:t>
      </w:r>
      <w:r>
        <w:rPr>
          <w:rFonts w:ascii="仿宋_GB2312" w:hAnsi="仿宋_GB2312" w:eastAsia="仿宋_GB2312" w:cs="仿宋_GB2312"/>
          <w:color w:val="000000" w:themeColor="text1"/>
          <w:kern w:val="0"/>
          <w:sz w:val="32"/>
          <w:szCs w:val="32"/>
          <w14:textFill>
            <w14:solidFill>
              <w14:schemeClr w14:val="tx1"/>
            </w14:solidFill>
          </w14:textFill>
        </w:rPr>
        <w:t>建设，</w:t>
      </w:r>
      <w:r>
        <w:rPr>
          <w:rFonts w:hint="eastAsia" w:ascii="仿宋_GB2312" w:hAnsi="仿宋_GB2312" w:eastAsia="仿宋_GB2312" w:cs="仿宋_GB2312"/>
          <w:color w:val="000000" w:themeColor="text1"/>
          <w:kern w:val="0"/>
          <w:sz w:val="32"/>
          <w:szCs w:val="32"/>
          <w14:textFill>
            <w14:solidFill>
              <w14:schemeClr w14:val="tx1"/>
            </w14:solidFill>
          </w14:textFill>
        </w:rPr>
        <w:t>依托</w:t>
      </w:r>
      <w:r>
        <w:rPr>
          <w:rFonts w:ascii="仿宋_GB2312" w:hAnsi="仿宋_GB2312" w:eastAsia="仿宋_GB2312" w:cs="仿宋_GB2312"/>
          <w:color w:val="000000" w:themeColor="text1"/>
          <w:kern w:val="0"/>
          <w:sz w:val="32"/>
          <w:szCs w:val="32"/>
          <w14:textFill>
            <w14:solidFill>
              <w14:schemeClr w14:val="tx1"/>
            </w14:solidFill>
          </w14:textFill>
        </w:rPr>
        <w:t>高校、研究</w:t>
      </w:r>
      <w:r>
        <w:rPr>
          <w:rFonts w:hint="eastAsia" w:ascii="仿宋_GB2312" w:hAnsi="仿宋_GB2312" w:eastAsia="仿宋_GB2312" w:cs="仿宋_GB2312"/>
          <w:color w:val="000000" w:themeColor="text1"/>
          <w:kern w:val="0"/>
          <w:sz w:val="32"/>
          <w:szCs w:val="32"/>
          <w14:textFill>
            <w14:solidFill>
              <w14:schemeClr w14:val="tx1"/>
            </w14:solidFill>
          </w14:textFill>
        </w:rPr>
        <w:t>院</w:t>
      </w:r>
      <w:r>
        <w:rPr>
          <w:rFonts w:ascii="仿宋_GB2312" w:hAnsi="仿宋_GB2312" w:eastAsia="仿宋_GB2312" w:cs="仿宋_GB2312"/>
          <w:color w:val="000000" w:themeColor="text1"/>
          <w:kern w:val="0"/>
          <w:sz w:val="32"/>
          <w:szCs w:val="32"/>
          <w14:textFill>
            <w14:solidFill>
              <w14:schemeClr w14:val="tx1"/>
            </w14:solidFill>
          </w14:textFill>
        </w:rPr>
        <w:t>所</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社会</w:t>
      </w:r>
      <w:r>
        <w:rPr>
          <w:rFonts w:hint="eastAsia" w:ascii="仿宋_GB2312" w:hAnsi="仿宋_GB2312" w:eastAsia="仿宋_GB2312" w:cs="仿宋_GB2312"/>
          <w:color w:val="000000" w:themeColor="text1"/>
          <w:kern w:val="0"/>
          <w:sz w:val="32"/>
          <w:szCs w:val="32"/>
          <w14:textFill>
            <w14:solidFill>
              <w14:schemeClr w14:val="tx1"/>
            </w14:solidFill>
          </w14:textFill>
        </w:rPr>
        <w:t>组织</w:t>
      </w:r>
      <w:r>
        <w:rPr>
          <w:rFonts w:ascii="仿宋_GB2312" w:hAnsi="仿宋_GB2312" w:eastAsia="仿宋_GB2312" w:cs="仿宋_GB2312"/>
          <w:color w:val="000000" w:themeColor="text1"/>
          <w:kern w:val="0"/>
          <w:sz w:val="32"/>
          <w:szCs w:val="32"/>
          <w14:textFill>
            <w14:solidFill>
              <w14:schemeClr w14:val="tx1"/>
            </w14:solidFill>
          </w14:textFill>
        </w:rPr>
        <w:t>等</w:t>
      </w:r>
      <w:r>
        <w:rPr>
          <w:rFonts w:hint="eastAsia" w:ascii="仿宋_GB2312" w:hAnsi="仿宋_GB2312" w:eastAsia="仿宋_GB2312" w:cs="仿宋_GB2312"/>
          <w:color w:val="000000" w:themeColor="text1"/>
          <w:kern w:val="0"/>
          <w:sz w:val="32"/>
          <w:szCs w:val="32"/>
          <w14:textFill>
            <w14:solidFill>
              <w14:schemeClr w14:val="tx1"/>
            </w14:solidFill>
          </w14:textFill>
        </w:rPr>
        <w:t>机构，</w:t>
      </w:r>
      <w:r>
        <w:rPr>
          <w:rFonts w:ascii="仿宋_GB2312" w:hAnsi="仿宋_GB2312" w:eastAsia="仿宋_GB2312" w:cs="仿宋_GB2312"/>
          <w:color w:val="000000" w:themeColor="text1"/>
          <w:kern w:val="0"/>
          <w:sz w:val="32"/>
          <w:szCs w:val="32"/>
          <w14:textFill>
            <w14:solidFill>
              <w14:schemeClr w14:val="tx1"/>
            </w14:solidFill>
          </w14:textFill>
        </w:rPr>
        <w:t>培育专业研究力量，</w:t>
      </w:r>
      <w:r>
        <w:rPr>
          <w:rFonts w:hint="eastAsia" w:ascii="仿宋_GB2312" w:hAnsi="仿宋_GB2312" w:eastAsia="仿宋_GB2312" w:cs="仿宋_GB2312"/>
          <w:color w:val="000000" w:themeColor="text1"/>
          <w:kern w:val="0"/>
          <w:sz w:val="32"/>
          <w:szCs w:val="32"/>
          <w14:textFill>
            <w14:solidFill>
              <w14:schemeClr w14:val="tx1"/>
            </w14:solidFill>
          </w14:textFill>
        </w:rPr>
        <w:t>开展儿童</w:t>
      </w:r>
      <w:r>
        <w:rPr>
          <w:rFonts w:ascii="仿宋_GB2312" w:hAnsi="仿宋_GB2312" w:eastAsia="仿宋_GB2312" w:cs="仿宋_GB2312"/>
          <w:color w:val="000000" w:themeColor="text1"/>
          <w:kern w:val="0"/>
          <w:sz w:val="32"/>
          <w:szCs w:val="32"/>
          <w14:textFill>
            <w14:solidFill>
              <w14:schemeClr w14:val="tx1"/>
            </w14:solidFill>
          </w14:textFill>
        </w:rPr>
        <w:t>理论及实践研究，为</w:t>
      </w:r>
      <w:r>
        <w:rPr>
          <w:rFonts w:hint="eastAsia" w:ascii="仿宋_GB2312" w:hAnsi="仿宋_GB2312" w:eastAsia="仿宋_GB2312" w:cs="仿宋_GB2312"/>
          <w:color w:val="000000" w:themeColor="text1"/>
          <w:kern w:val="0"/>
          <w:sz w:val="32"/>
          <w:szCs w:val="32"/>
          <w14:textFill>
            <w14:solidFill>
              <w14:schemeClr w14:val="tx1"/>
            </w14:solidFill>
          </w14:textFill>
        </w:rPr>
        <w:t>制定</w:t>
      </w:r>
      <w:r>
        <w:rPr>
          <w:rFonts w:ascii="仿宋_GB2312" w:hAnsi="仿宋_GB2312" w:eastAsia="仿宋_GB2312" w:cs="仿宋_GB2312"/>
          <w:color w:val="000000" w:themeColor="text1"/>
          <w:kern w:val="0"/>
          <w:sz w:val="32"/>
          <w:szCs w:val="32"/>
          <w14:textFill>
            <w14:solidFill>
              <w14:schemeClr w14:val="tx1"/>
            </w14:solidFill>
          </w14:textFill>
        </w:rPr>
        <w:t>和完善相关</w:t>
      </w:r>
      <w:r>
        <w:rPr>
          <w:rFonts w:hint="eastAsia" w:ascii="仿宋_GB2312" w:hAnsi="仿宋_GB2312" w:eastAsia="仿宋_GB2312" w:cs="仿宋_GB2312"/>
          <w:color w:val="000000" w:themeColor="text1"/>
          <w:kern w:val="0"/>
          <w:sz w:val="32"/>
          <w:szCs w:val="32"/>
          <w14:textFill>
            <w14:solidFill>
              <w14:schemeClr w14:val="tx1"/>
            </w14:solidFill>
          </w14:textFill>
        </w:rPr>
        <w:t>法规</w:t>
      </w:r>
      <w:r>
        <w:rPr>
          <w:rFonts w:ascii="仿宋_GB2312" w:hAnsi="仿宋_GB2312" w:eastAsia="仿宋_GB2312" w:cs="仿宋_GB2312"/>
          <w:color w:val="000000" w:themeColor="text1"/>
          <w:kern w:val="0"/>
          <w:sz w:val="32"/>
          <w:szCs w:val="32"/>
          <w14:textFill>
            <w14:solidFill>
              <w14:schemeClr w14:val="tx1"/>
            </w14:solidFill>
          </w14:textFill>
        </w:rPr>
        <w:t>政策提供参考。</w:t>
      </w:r>
    </w:p>
    <w:bookmarkEnd w:id="46"/>
    <w:p>
      <w:pPr>
        <w:suppressAutoHyphens w:val="0"/>
        <w:overflowPunct w:val="0"/>
        <w:spacing w:line="600" w:lineRule="exact"/>
        <w:ind w:firstLine="640" w:firstLineChars="200"/>
        <w:outlineLvl w:val="1"/>
        <w:rPr>
          <w:rFonts w:ascii="楷体" w:hAnsi="楷体" w:eastAsia="楷体_GB2312" w:cs="楷体"/>
          <w:color w:val="000000" w:themeColor="text1"/>
          <w:kern w:val="0"/>
          <w:sz w:val="32"/>
          <w:szCs w:val="32"/>
          <w14:textFill>
            <w14:solidFill>
              <w14:schemeClr w14:val="tx1"/>
            </w14:solidFill>
          </w14:textFill>
        </w:rPr>
      </w:pPr>
      <w:bookmarkStart w:id="47" w:name="_Toc28320"/>
      <w:bookmarkStart w:id="48" w:name="_Toc1737450364"/>
      <w:r>
        <w:rPr>
          <w:rFonts w:hint="eastAsia" w:ascii="楷体" w:hAnsi="楷体" w:eastAsia="楷体_GB2312" w:cs="楷体"/>
          <w:color w:val="000000" w:themeColor="text1"/>
          <w:kern w:val="0"/>
          <w:sz w:val="32"/>
          <w:szCs w:val="32"/>
          <w14:textFill>
            <w14:solidFill>
              <w14:schemeClr w14:val="tx1"/>
            </w14:solidFill>
          </w14:textFill>
        </w:rPr>
        <w:t>（二）</w:t>
      </w:r>
      <w:r>
        <w:rPr>
          <w:rFonts w:ascii="楷体" w:hAnsi="楷体" w:eastAsia="楷体_GB2312" w:cs="楷体"/>
          <w:color w:val="000000" w:themeColor="text1"/>
          <w:kern w:val="0"/>
          <w:sz w:val="32"/>
          <w:szCs w:val="32"/>
          <w14:textFill>
            <w14:solidFill>
              <w14:schemeClr w14:val="tx1"/>
            </w14:solidFill>
          </w14:textFill>
        </w:rPr>
        <w:t>监测评估</w:t>
      </w:r>
      <w:bookmarkEnd w:id="47"/>
      <w:bookmarkEnd w:id="48"/>
      <w:bookmarkStart w:id="49" w:name="_Toc21266"/>
      <w:r>
        <w:rPr>
          <w:rFonts w:hint="eastAsia" w:ascii="楷体" w:hAnsi="楷体" w:eastAsia="楷体_GB2312" w:cs="楷体"/>
          <w:color w:val="000000" w:themeColor="text1"/>
          <w:kern w:val="0"/>
          <w:sz w:val="32"/>
          <w:szCs w:val="32"/>
          <w14:textFill>
            <w14:solidFill>
              <w14:schemeClr w14:val="tx1"/>
            </w14:solidFill>
          </w14:textFill>
        </w:rPr>
        <w:t>。</w:t>
      </w:r>
    </w:p>
    <w:p>
      <w:pPr>
        <w:suppressAutoHyphens w:val="0"/>
        <w:overflowPunct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加强制度建设。对规划实施实行年度监测、中期评估、终期评估。落实并逐步完善儿童统计监测方案。各级统计部门牵头组织开展年度监测，各妇儿工委成员单位、特邀单位及有关部门向同级统计部门报送年度监测数据，及时收集、分析反映儿童发展状况的相关数据和信息。区妇儿工委组织开展中期和终期评估，各妇儿工委成员单位、特邀单位及有关部门向同级妇儿工委提交中期和终期评估报告。通过评估，了解掌握规划实施进程和儿童发展状况，系统分析评价规划目标达标情况，评判规划策略措施的实施效果，总结有益经验，找出突出问题，预测发展趋势，提出对策建议。监测评估工作所需经费纳入财政预算。</w:t>
      </w:r>
      <w:bookmarkEnd w:id="49"/>
      <w:bookmarkStart w:id="50" w:name="_Toc25644"/>
    </w:p>
    <w:p>
      <w:pPr>
        <w:suppressAutoHyphens w:val="0"/>
        <w:overflowPunct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2.加强组织领导。区妇儿工委设立监测评估协调组，由同级妇儿工委及相关部门负责人组成，负责组织协调监测评估工作，审批监测评估方案，审核监测评估报告等。协调组下设监测组和评估组。</w:t>
      </w:r>
      <w:bookmarkEnd w:id="50"/>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监测组由统计部门牵头，由相关部门负责规划统计监测人员组成，负责规划监测工作的组织、指导和培训,制定监测方案、监测指标体系，收集、分析数据和信息，向区妇儿工委提交年度、中期和终期监测报告，编辑年度儿童统计资料等。监测组成员负责统筹协调本部门规划实施监测、分析、数据上报、分性别分年龄指标完善等工作。</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评估组由区妇儿工委办公室牵头，由相关部门负责规划实施的人员组成，负责评估工作的组织、指导和培训，制定评估方案，组织开展评估工作，向区妇儿工委提交中期和终期评估报告。评估组成员负责统筹协调本部门规划实施自我评估工作，参加妇儿工委组织的评估工作。支持评估组相关部门结合工作，就儿童保护与发展中的突出问题开展专项调查、评估，结果可供规划中期和终期评估参考。</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51" w:name="_Toc13053"/>
      <w:r>
        <w:rPr>
          <w:rFonts w:hint="eastAsia" w:ascii="仿宋_GB2312" w:hAnsi="仿宋_GB2312" w:eastAsia="仿宋_GB2312" w:cs="仿宋_GB2312"/>
          <w:color w:val="000000" w:themeColor="text1"/>
          <w:sz w:val="32"/>
          <w:szCs w:val="32"/>
          <w14:textFill>
            <w14:solidFill>
              <w14:schemeClr w14:val="tx1"/>
            </w14:solidFill>
          </w14:textFill>
        </w:rPr>
        <w:t>3.完善统计监测体系。规范完善儿童发展统计监测指标体系，根据需要扩充调整儿童发展统计指标，纳入政府和部门常规统计以及统计调查制度，加强部门分年龄、分性别统计工作，推进儿童发展统计监测制度化建设。</w:t>
      </w:r>
      <w:bookmarkEnd w:id="51"/>
      <w:bookmarkStart w:id="52" w:name="_Toc18399"/>
      <w:r>
        <w:rPr>
          <w:rFonts w:hint="eastAsia" w:ascii="仿宋_GB2312" w:hAnsi="仿宋_GB2312" w:eastAsia="仿宋_GB2312" w:cs="仿宋_GB2312"/>
          <w:color w:val="000000" w:themeColor="text1"/>
          <w:sz w:val="32"/>
          <w:szCs w:val="32"/>
          <w14:textFill>
            <w14:solidFill>
              <w14:schemeClr w14:val="tx1"/>
            </w14:solidFill>
          </w14:textFill>
        </w:rPr>
        <w:t>建立完善儿童发展统计监测数据库，实现数据互联互通。鼓励支持相关部门对儿童发展缺项数据开展专项统计调查。</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提升统计能力。加强监测评估工作培训和部门协作，规范监测数据收集渠道、报送方式，提高数据质量。运用互联网和大数据等技术，丰富儿童发展和分性别统计信息。科学设计评估方案和评估方法，探索第三方评估。提升监测评估工作科学化、标准化、专业化水平。</w:t>
      </w:r>
      <w:bookmarkEnd w:id="52"/>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53" w:name="_Toc11815"/>
      <w:r>
        <w:rPr>
          <w:rFonts w:hint="eastAsia" w:ascii="仿宋_GB2312" w:hAnsi="仿宋_GB2312" w:eastAsia="仿宋_GB2312" w:cs="仿宋_GB2312"/>
          <w:color w:val="000000" w:themeColor="text1"/>
          <w:sz w:val="32"/>
          <w:szCs w:val="32"/>
          <w14:textFill>
            <w14:solidFill>
              <w14:schemeClr w14:val="tx1"/>
            </w14:solidFill>
          </w14:textFill>
        </w:rPr>
        <w:t>5.有效利用监测评估成果。</w:t>
      </w:r>
      <w:bookmarkEnd w:id="53"/>
      <w:r>
        <w:rPr>
          <w:rFonts w:hint="eastAsia" w:ascii="仿宋_GB2312" w:hAnsi="仿宋_GB2312" w:eastAsia="仿宋_GB2312" w:cs="仿宋_GB2312"/>
          <w:color w:val="000000" w:themeColor="text1"/>
          <w:sz w:val="32"/>
          <w:szCs w:val="32"/>
          <w14:textFill>
            <w14:solidFill>
              <w14:schemeClr w14:val="tx1"/>
            </w14:solidFill>
          </w14:textFill>
        </w:rPr>
        <w:t>发挥年度监测、阶段评估结果服务决策的作用，定期向同级人民政府及相关部门报送规划目标落实情况，为决策提供依据。建立阶段评估报告交流、反馈和发布机制。加强监测和评估结果的研判、运用。每年对预计达标困难、波动较大的监测指标进行预警，对发现的突出问题和短板弱项提出对策建议，对好做法</w:t>
      </w:r>
      <w:r>
        <w:rPr>
          <w:rFonts w:ascii="仿宋_GB2312" w:hAnsi="仿宋_GB2312" w:eastAsia="仿宋_GB2312" w:cs="仿宋_GB2312"/>
          <w:color w:val="000000" w:themeColor="text1"/>
          <w:sz w:val="32"/>
          <w:szCs w:val="32"/>
          <w14:textFill>
            <w14:solidFill>
              <w14:schemeClr w14:val="tx1"/>
            </w14:solidFill>
          </w14:textFill>
        </w:rPr>
        <w:t>、好经验</w:t>
      </w:r>
      <w:r>
        <w:rPr>
          <w:rFonts w:hint="eastAsia" w:ascii="仿宋_GB2312" w:hAnsi="仿宋_GB2312" w:eastAsia="仿宋_GB2312" w:cs="仿宋_GB2312"/>
          <w:color w:val="000000" w:themeColor="text1"/>
          <w:sz w:val="32"/>
          <w:szCs w:val="32"/>
          <w14:textFill>
            <w14:solidFill>
              <w14:schemeClr w14:val="tx1"/>
            </w14:solidFill>
          </w14:textFill>
        </w:rPr>
        <w:t>及时总结推广。运用监测、评估结果指导下一阶段规划实施工作，实现规划实施的年度监测、阶段评估、动态预警、精准干预、整改落实、高质量推进。</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（此页无正文）</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p>
    <w:p>
      <w:pPr>
        <w:spacing w:line="600" w:lineRule="exact"/>
        <w:rPr>
          <w:rFonts w:hAnsi="仿宋" w:cs="宋体"/>
          <w:color w:val="000000"/>
          <w:sz w:val="32"/>
          <w:szCs w:val="32"/>
        </w:rPr>
      </w:pPr>
    </w:p>
    <w:p>
      <w:pPr>
        <w:spacing w:line="60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23495</wp:posOffset>
                </wp:positionV>
                <wp:extent cx="5848985" cy="17780"/>
                <wp:effectExtent l="0" t="7620" r="5715" b="12700"/>
                <wp:wrapNone/>
                <wp:docPr id="3" name="直接连接符 3"/>
                <wp:cNvGraphicFramePr/>
                <a:graphic xmlns:a="http://schemas.openxmlformats.org/drawingml/2006/main">
                  <a:graphicData uri="http://schemas.microsoft.com/office/word/2010/wordprocessingShape">
                    <wps:wsp>
                      <wps:cNvCnPr/>
                      <wps:spPr>
                        <a:xfrm flipV="1">
                          <a:off x="0" y="0"/>
                          <a:ext cx="5848985" cy="17780"/>
                        </a:xfrm>
                        <a:prstGeom prst="line">
                          <a:avLst/>
                        </a:prstGeom>
                        <a:ln w="1587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6.2pt;margin-top:1.85pt;height:1.4pt;width:460.55pt;z-index:251661312;mso-width-relative:page;mso-height-relative:page;" filled="f" stroked="t" coordsize="21600,21600" o:gfxdata="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2utyrVAAAABwEAAA8AAAAAAAAAAQAgAAAAIgAA&#10;AGRycy9kb3ducmV2LnhtbFBLAQIUABQAAAAIAIdO4kBYvwPrCwIAAAsEAAAOAAAAAAAAAAEAIAAA&#10;ACQBAABkcnMvZTJvRG9jLnhtbFBLBQYAAAAABgAGAFkBAAChBQ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000000"/>
          <w:sz w:val="32"/>
          <w:szCs w:val="32"/>
        </w:rPr>
        <w:t>抄送：区委办公室，区人大常委会办公室，区政协办公室，</w:t>
      </w:r>
    </w:p>
    <w:p>
      <w:pPr>
        <w:spacing w:line="600" w:lineRule="exact"/>
        <w:ind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区法院，区检察院，区人武部。</w:t>
      </w:r>
    </w:p>
    <w:p>
      <w:pPr>
        <w:spacing w:line="600" w:lineRule="exact"/>
        <w:rPr>
          <w:rFonts w:ascii="仿宋_GB2312" w:eastAsia="仿宋_GB2312"/>
        </w:rPr>
      </w:pPr>
      <w:r>
        <w:rPr>
          <w:rFonts w:ascii="仿宋_GB2312" w:hAnsi="仿宋_GB2312" w:eastAsia="仿宋_GB2312" w:cs="仿宋_GB2312"/>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-73025</wp:posOffset>
                </wp:positionH>
                <wp:positionV relativeFrom="paragraph">
                  <wp:posOffset>435610</wp:posOffset>
                </wp:positionV>
                <wp:extent cx="5838190" cy="3810"/>
                <wp:effectExtent l="0" t="7620" r="3810" b="13970"/>
                <wp:wrapNone/>
                <wp:docPr id="5" name="直接连接符 5"/>
                <wp:cNvGraphicFramePr/>
                <a:graphic xmlns:a="http://schemas.openxmlformats.org/drawingml/2006/main">
                  <a:graphicData uri="http://schemas.microsoft.com/office/word/2010/wordprocessingShape">
                    <wps:wsp>
                      <wps:cNvCnPr/>
                      <wps:spPr>
                        <a:xfrm flipV="1">
                          <a:off x="0" y="0"/>
                          <a:ext cx="5838190" cy="3810"/>
                        </a:xfrm>
                        <a:prstGeom prst="line">
                          <a:avLst/>
                        </a:prstGeom>
                        <a:ln w="1587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5.75pt;margin-top:34.3pt;height:0.3pt;width:459.7pt;z-index:251662336;mso-width-relative:page;mso-height-relative:page;" filled="f" stroked="t" coordsize="21600,21600" o:gfxdata="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2XCJ2AAAAAkBAAAPAAAAAAAAAAEAIAAAACIA&#10;AABkcnMvZG93bnJldi54bWxQSwECFAAUAAAACACHTuJADfdJTwkCAAAKBAAADgAAAAAAAAABACAA&#10;AAAnAQAAZHJzL2Uyb0RvYy54bWxQSwUGAAAAAAYABgBZAQAAogUAAAAA&#10;">
                <v:fill on="f" focussize="0,0"/>
                <v:stroke weight="1.25pt" color="#000000" joinstyle="round"/>
                <v:imagedata o:title=""/>
                <o:lock v:ext="edit" aspectratio="f"/>
              </v:line>
            </w:pict>
          </mc:Fallback>
        </mc:AlternateContent>
      </w:r>
      <w:r>
        <w:rPr>
          <w:rFonts w:ascii="仿宋_GB2312" w:hAnsi="仿宋_GB2312" w:eastAsia="仿宋_GB2312" w:cs="仿宋_GB2312"/>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-69850</wp:posOffset>
                </wp:positionH>
                <wp:positionV relativeFrom="paragraph">
                  <wp:posOffset>50165</wp:posOffset>
                </wp:positionV>
                <wp:extent cx="5830570" cy="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830570" cy="0"/>
                        </a:xfrm>
                        <a:prstGeom prst="line">
                          <a:avLst/>
                        </a:prstGeom>
                        <a:ln w="952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5.5pt;margin-top:3.95pt;height:0pt;width:459.1pt;z-index:251663360;mso-width-relative:page;mso-height-relative:page;" filled="f" stroked="t" coordsize="21600,21600" o:gfxdata="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Jh0wnUAAAABwEAAA8AAAAAAAAAAQAgAAAAIgAAAGRycy9k&#10;b3ducmV2LnhtbFBLAQIUABQAAAAIAIdO4kBw+d/SBgIAAAYEAAAOAAAAAAAAAAEAIAAAACMBAABk&#10;cnMvZTJvRG9jLnhtbFBLBQYAAAAABgAGAFkBAACbBQ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32"/>
          <w:szCs w:val="32"/>
        </w:rPr>
        <w:t>济南市章丘区人民政府办公室　　    2022年5月26日印发</w:t>
      </w:r>
      <w:r>
        <w:rPr>
          <w:rFonts w:ascii="仿宋_GB2312" w:hAnsi="仿宋_GB2312" w:eastAsia="仿宋_GB2312" w:cs="仿宋_GB2312"/>
          <w:color w:val="000000"/>
          <w:sz w:val="32"/>
          <w:szCs w:val="32"/>
        </w:rPr>
        <mc:AlternateContent>
          <mc:Choice Requires="wps">
            <w:drawing>
              <wp:anchor distT="0" distB="0" distL="114300" distR="114300" simplePos="0" relativeHeight="251664384" behindDoc="0" locked="0" layoutInCell="1" allowOverlap="1">
                <wp:simplePos x="0" y="0"/>
                <wp:positionH relativeFrom="column">
                  <wp:posOffset>-273685</wp:posOffset>
                </wp:positionH>
                <wp:positionV relativeFrom="paragraph">
                  <wp:posOffset>8806180</wp:posOffset>
                </wp:positionV>
                <wp:extent cx="1323975" cy="828675"/>
                <wp:effectExtent l="4445" t="4445" r="5080" b="5080"/>
                <wp:wrapNone/>
                <wp:docPr id="6" name="矩形 6"/>
                <wp:cNvGraphicFramePr/>
                <a:graphic xmlns:a="http://schemas.openxmlformats.org/drawingml/2006/main">
                  <a:graphicData uri="http://schemas.microsoft.com/office/word/2010/wordprocessingShape">
                    <wps:wsp>
                      <wps:cNvSpPr/>
                      <wps:spPr>
                        <a:xfrm>
                          <a:off x="0" y="0"/>
                          <a:ext cx="1323975" cy="828675"/>
                        </a:xfrm>
                        <a:prstGeom prst="rect">
                          <a:avLst/>
                        </a:prstGeom>
                        <a:solidFill>
                          <a:srgbClr val="FFFFFF"/>
                        </a:solidFill>
                        <a:ln w="9525" cap="flat" cmpd="sng">
                          <a:solidFill>
                            <a:srgbClr val="FFFFFF"/>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1.55pt;margin-top:693.4pt;height:65.25pt;width:104.25pt;z-index:251664384;mso-width-relative:page;mso-height-relative:page;" fillcolor="#FFFFFF" filled="t" stroked="t" coordsize="21600,21600" o:gfxdata="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Cw62gAAAA0BAAAPAAAAAAAAAAEAIAAAACIAAABkcnMvZG93bnJl&#10;di54bWxQSwECFAAUAAAACACHTuJA6SaCiPsBAAAsBAAADgAAAAAAAAABACAAAAApAQAAZHJzL2Uy&#10;b0RvYy54bWxQSwUGAAAAAAYABgBZAQAAlgUAAAAA&#10;">
                <v:fill on="t" focussize="0,0"/>
                <v:stroke color="#FFFFFF" joinstyle="miter"/>
                <v:imagedata o:title=""/>
                <o:lock v:ext="edit" aspectratio="f"/>
              </v:rect>
            </w:pict>
          </mc:Fallback>
        </mc:AlternateConten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sectPr>
      <w:footerReference r:id="rId3" w:type="default"/>
      <w:footerReference r:id="rId4" w:type="even"/>
      <w:pgSz w:w="11906" w:h="16838"/>
      <w:pgMar w:top="1417" w:right="1474" w:bottom="1417" w:left="1474" w:header="850" w:footer="992"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iberation Sans">
    <w:altName w:val="宋体"/>
    <w:panose1 w:val="00000000000000000000"/>
    <w:charset w:val="00"/>
    <w:family w:val="swiss"/>
    <w:pitch w:val="default"/>
    <w:sig w:usb0="00000000" w:usb1="00000000" w:usb2="00000000" w:usb3="00000000" w:csb0="00040001" w:csb1="00000000"/>
  </w:font>
  <w:font w:name="Noto Sans CJK SC Regular">
    <w:altName w:val="宋体"/>
    <w:panose1 w:val="00000000000000000000"/>
    <w:charset w:val="86"/>
    <w:family w:val="auto"/>
    <w:pitch w:val="default"/>
    <w:sig w:usb0="00000000" w:usb1="00000000" w:usb2="00000016" w:usb3="00000000" w:csb0="602E0107"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文星标宋">
    <w:altName w:val="微软雅黑"/>
    <w:panose1 w:val="0201060900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2545509"/>
                          </w:sdtPr>
                          <w:sdtEndPr>
                            <w:rPr>
                              <w:rFonts w:ascii="宋体" w:hAnsi="宋体"/>
                              <w:sz w:val="28"/>
                              <w:szCs w:val="28"/>
                            </w:rPr>
                          </w:sdtEndPr>
                          <w:sdtContent>
                            <w:p>
                              <w:pPr>
                                <w:pStyle w:val="5"/>
                                <w:jc w:val="right"/>
                                <w:rPr>
                                  <w:rFonts w:ascii="宋体" w:hAnsi="宋体"/>
                                  <w:sz w:val="28"/>
                                  <w:szCs w:val="28"/>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lang w:val="zh-CN"/>
                                </w:rPr>
                                <w:t>-</w:t>
                              </w:r>
                              <w:r>
                                <w:rPr>
                                  <w:rFonts w:ascii="仿宋_GB2312" w:hAnsi="仿宋_GB2312" w:eastAsia="仿宋_GB2312" w:cs="仿宋_GB2312"/>
                                  <w:sz w:val="24"/>
                                  <w:szCs w:val="24"/>
                                </w:rPr>
                                <w:t xml:space="preserve"> 100 -</w:t>
                              </w:r>
                              <w:r>
                                <w:rPr>
                                  <w:rFonts w:hint="eastAsia" w:ascii="仿宋_GB2312" w:hAnsi="仿宋_GB2312" w:eastAsia="仿宋_GB2312" w:cs="仿宋_GB2312"/>
                                  <w:sz w:val="24"/>
                                  <w:szCs w:val="24"/>
                                </w:rPr>
                                <w:fldChar w:fldCharType="end"/>
                              </w:r>
                            </w:p>
                          </w:sdtContent>
                        </w:sdt>
                        <w:p>
                          <w:pPr>
                            <w:rPr>
                              <w:rFonts w:ascii="宋体" w:hAnsi="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sdt>
                    <w:sdtPr>
                      <w:id w:val="92545509"/>
                    </w:sdtPr>
                    <w:sdtEndPr>
                      <w:rPr>
                        <w:rFonts w:ascii="宋体" w:hAnsi="宋体"/>
                        <w:sz w:val="28"/>
                        <w:szCs w:val="28"/>
                      </w:rPr>
                    </w:sdtEndPr>
                    <w:sdtContent>
                      <w:p>
                        <w:pPr>
                          <w:pStyle w:val="5"/>
                          <w:jc w:val="right"/>
                          <w:rPr>
                            <w:rFonts w:ascii="宋体" w:hAnsi="宋体"/>
                            <w:sz w:val="28"/>
                            <w:szCs w:val="28"/>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lang w:val="zh-CN"/>
                          </w:rPr>
                          <w:t>-</w:t>
                        </w:r>
                        <w:r>
                          <w:rPr>
                            <w:rFonts w:ascii="仿宋_GB2312" w:hAnsi="仿宋_GB2312" w:eastAsia="仿宋_GB2312" w:cs="仿宋_GB2312"/>
                            <w:sz w:val="24"/>
                            <w:szCs w:val="24"/>
                          </w:rPr>
                          <w:t xml:space="preserve"> 100 -</w:t>
                        </w:r>
                        <w:r>
                          <w:rPr>
                            <w:rFonts w:hint="eastAsia" w:ascii="仿宋_GB2312" w:hAnsi="仿宋_GB2312" w:eastAsia="仿宋_GB2312" w:cs="仿宋_GB2312"/>
                            <w:sz w:val="24"/>
                            <w:szCs w:val="24"/>
                          </w:rPr>
                          <w:fldChar w:fldCharType="end"/>
                        </w:r>
                      </w:p>
                    </w:sdtContent>
                  </w:sdt>
                  <w:p>
                    <w:pPr>
                      <w:rPr>
                        <w:rFonts w:ascii="宋体" w:hAnsi="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-31750</wp:posOffset>
              </wp:positionV>
              <wp:extent cx="1656715" cy="914400"/>
              <wp:effectExtent l="0" t="0" r="6985" b="0"/>
              <wp:wrapNone/>
              <wp:docPr id="2" name="Text Box 14"/>
              <wp:cNvGraphicFramePr/>
              <a:graphic xmlns:a="http://schemas.openxmlformats.org/drawingml/2006/main">
                <a:graphicData uri="http://schemas.microsoft.com/office/word/2010/wordprocessingShape">
                  <wps:wsp>
                    <wps:cNvSpPr txBox="1">
                      <a:spLocks noChangeArrowheads="1"/>
                    </wps:cNvSpPr>
                    <wps:spPr bwMode="auto">
                      <a:xfrm>
                        <a:off x="0" y="0"/>
                        <a:ext cx="1656715" cy="914400"/>
                      </a:xfrm>
                      <a:prstGeom prst="rect">
                        <a:avLst/>
                      </a:prstGeom>
                      <a:solidFill>
                        <a:srgbClr val="FFFFFF"/>
                      </a:solidFill>
                      <a:ln>
                        <a:noFill/>
                      </a:ln>
                      <a:effectLst/>
                    </wps:spPr>
                    <wps:txbx>
                      <w:txbxContent>
                        <w:p>
                          <w:pPr>
                            <w:pStyle w:val="5"/>
                            <w:adjustRightInd w:val="0"/>
                            <w:ind w:left="210" w:leftChars="100" w:right="210" w:rightChars="100"/>
                            <w:rPr>
                              <w:sz w:val="28"/>
                              <w:szCs w:val="28"/>
                            </w:rPr>
                          </w:pPr>
                          <w:r>
                            <w:rPr>
                              <w:rFonts w:hint="eastAsia"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48</w:t>
                          </w:r>
                          <w:r>
                            <w:rPr>
                              <w:rFonts w:ascii="Times New Roman" w:hAnsi="Times New Roman"/>
                              <w:sz w:val="28"/>
                              <w:szCs w:val="28"/>
                            </w:rPr>
                            <w:fldChar w:fldCharType="end"/>
                          </w:r>
                          <w:r>
                            <w:rPr>
                              <w:rFonts w:hint="eastAsia" w:ascii="宋体" w:hAnsi="宋体"/>
                              <w:sz w:val="28"/>
                              <w:szCs w:val="28"/>
                            </w:rPr>
                            <w:t>－</w:t>
                          </w:r>
                        </w:p>
                        <w:p>
                          <w:pPr>
                            <w:jc w:val="left"/>
                          </w:pPr>
                        </w:p>
                      </w:txbxContent>
                    </wps:txbx>
                    <wps:bodyPr rot="0" vert="horz" wrap="square" lIns="0" tIns="0" rIns="0" bIns="0" anchor="t" anchorCtr="0" upright="1">
                      <a:noAutofit/>
                    </wps:bodyPr>
                  </wps:wsp>
                </a:graphicData>
              </a:graphic>
            </wp:anchor>
          </w:drawing>
        </mc:Choice>
        <mc:Fallback>
          <w:pict>
            <v:shape id="Text Box 14" o:spid="_x0000_s1026" o:spt="202" type="#_x0000_t202" style="position:absolute;left:0pt;margin-left:-0.3pt;margin-top:-2.5pt;height:72pt;width:130.45pt;z-index:251660288;mso-width-relative:page;mso-height-relative:page;" fillcolor="#FFFFFF" filled="t" stroked="f" coordsize="21600,21600" o:gfxdata="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LkMnNcAAAAIAQAADwAA&#10;AAAAAAABACAAAAAiAAAAZHJzL2Rvd25yZXYueG1sUEsBAhQAFAAAAAgAh07iQM26wCgXAgAAPAQA&#10;AA4AAAAAAAAAAQAgAAAAJgEAAGRycy9lMm9Eb2MueG1sUEsFBgAAAAAGAAYAWQEAAK8FAAAAAA==&#10;">
              <v:fill on="t" focussize="0,0"/>
              <v:stroke on="f"/>
              <v:imagedata o:title=""/>
              <o:lock v:ext="edit" aspectratio="f"/>
              <v:textbox inset="0mm,0mm,0mm,0mm">
                <w:txbxContent>
                  <w:p>
                    <w:pPr>
                      <w:pStyle w:val="5"/>
                      <w:adjustRightInd w:val="0"/>
                      <w:ind w:left="210" w:leftChars="100" w:right="210" w:rightChars="100"/>
                      <w:rPr>
                        <w:sz w:val="28"/>
                        <w:szCs w:val="28"/>
                      </w:rPr>
                    </w:pPr>
                    <w:r>
                      <w:rPr>
                        <w:rFonts w:hint="eastAsia"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48</w:t>
                    </w:r>
                    <w:r>
                      <w:rPr>
                        <w:rFonts w:ascii="Times New Roman" w:hAnsi="Times New Roman"/>
                        <w:sz w:val="28"/>
                        <w:szCs w:val="28"/>
                      </w:rPr>
                      <w:fldChar w:fldCharType="end"/>
                    </w:r>
                    <w:r>
                      <w:rPr>
                        <w:rFonts w:hint="eastAsia" w:ascii="宋体" w:hAnsi="宋体"/>
                        <w:sz w:val="28"/>
                        <w:szCs w:val="28"/>
                      </w:rPr>
                      <w:t>－</w:t>
                    </w:r>
                  </w:p>
                  <w:p>
                    <w:pPr>
                      <w:jc w:val="left"/>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7B8E9"/>
    <w:multiLevelType w:val="singleLevel"/>
    <w:tmpl w:val="DAF7B8E9"/>
    <w:lvl w:ilvl="0" w:tentative="0">
      <w:start w:val="11"/>
      <w:numFmt w:val="decimal"/>
      <w:suff w:val="nothing"/>
      <w:lvlText w:val="（%1）"/>
      <w:lvlJc w:val="left"/>
    </w:lvl>
  </w:abstractNum>
  <w:abstractNum w:abstractNumId="1">
    <w:nsid w:val="F50734D3"/>
    <w:multiLevelType w:val="singleLevel"/>
    <w:tmpl w:val="F50734D3"/>
    <w:lvl w:ilvl="0" w:tentative="0">
      <w:start w:val="3"/>
      <w:numFmt w:val="decimal"/>
      <w:suff w:val="nothing"/>
      <w:lvlText w:val="（%1）"/>
      <w:lvlJc w:val="left"/>
    </w:lvl>
  </w:abstractNum>
  <w:abstractNum w:abstractNumId="2">
    <w:nsid w:val="33FE5598"/>
    <w:multiLevelType w:val="singleLevel"/>
    <w:tmpl w:val="33FE5598"/>
    <w:lvl w:ilvl="0" w:tentative="0">
      <w:start w:val="2"/>
      <w:numFmt w:val="decimal"/>
      <w:suff w:val="nothing"/>
      <w:lvlText w:val="（%1）"/>
      <w:lvlJc w:val="left"/>
      <w:rPr>
        <w:color w:val="000000"/>
      </w:rPr>
    </w:lvl>
  </w:abstractNum>
  <w:abstractNum w:abstractNumId="3">
    <w:nsid w:val="6FBE209F"/>
    <w:multiLevelType w:val="singleLevel"/>
    <w:tmpl w:val="6FBE209F"/>
    <w:lvl w:ilvl="0" w:tentative="0">
      <w:start w:val="8"/>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0"/>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ZTNjYzM0ODQ0ZDA0MjNlNGE1YTk2YThiZGZmOGEifQ=="/>
  </w:docVars>
  <w:rsids>
    <w:rsidRoot w:val="00331FE6"/>
    <w:rsid w:val="00000B33"/>
    <w:rsid w:val="00033F5E"/>
    <w:rsid w:val="000E63F7"/>
    <w:rsid w:val="001969AB"/>
    <w:rsid w:val="00221F90"/>
    <w:rsid w:val="00231846"/>
    <w:rsid w:val="00284C3F"/>
    <w:rsid w:val="00331FE6"/>
    <w:rsid w:val="00380BC5"/>
    <w:rsid w:val="00390566"/>
    <w:rsid w:val="004920C4"/>
    <w:rsid w:val="004A31FF"/>
    <w:rsid w:val="0050108B"/>
    <w:rsid w:val="00536E8C"/>
    <w:rsid w:val="005C0C5A"/>
    <w:rsid w:val="005C7BFC"/>
    <w:rsid w:val="005D5D6C"/>
    <w:rsid w:val="006734C2"/>
    <w:rsid w:val="007854CA"/>
    <w:rsid w:val="008A728C"/>
    <w:rsid w:val="008C132F"/>
    <w:rsid w:val="00961228"/>
    <w:rsid w:val="009C5B53"/>
    <w:rsid w:val="00A0020E"/>
    <w:rsid w:val="00A077F0"/>
    <w:rsid w:val="00A17508"/>
    <w:rsid w:val="00A73A17"/>
    <w:rsid w:val="00AE465E"/>
    <w:rsid w:val="00BB1C9F"/>
    <w:rsid w:val="00C710FB"/>
    <w:rsid w:val="00C97E52"/>
    <w:rsid w:val="00CD0F97"/>
    <w:rsid w:val="00CF63F3"/>
    <w:rsid w:val="00CF6B47"/>
    <w:rsid w:val="00D0449C"/>
    <w:rsid w:val="00DF625F"/>
    <w:rsid w:val="00E54BBE"/>
    <w:rsid w:val="00FB1575"/>
    <w:rsid w:val="00FD3A4E"/>
    <w:rsid w:val="00FD6702"/>
    <w:rsid w:val="01A77418"/>
    <w:rsid w:val="0236411E"/>
    <w:rsid w:val="02762A41"/>
    <w:rsid w:val="028D0613"/>
    <w:rsid w:val="02B671CA"/>
    <w:rsid w:val="02BB2047"/>
    <w:rsid w:val="02C932B2"/>
    <w:rsid w:val="02D567CA"/>
    <w:rsid w:val="02F30178"/>
    <w:rsid w:val="02FB025E"/>
    <w:rsid w:val="031C19F2"/>
    <w:rsid w:val="03245133"/>
    <w:rsid w:val="03855AC3"/>
    <w:rsid w:val="039C406C"/>
    <w:rsid w:val="03AC0E61"/>
    <w:rsid w:val="03D227E1"/>
    <w:rsid w:val="03E37106"/>
    <w:rsid w:val="03FB7899"/>
    <w:rsid w:val="04082935"/>
    <w:rsid w:val="041804CC"/>
    <w:rsid w:val="047539BD"/>
    <w:rsid w:val="04A67A34"/>
    <w:rsid w:val="05B1784E"/>
    <w:rsid w:val="064941A8"/>
    <w:rsid w:val="066E0496"/>
    <w:rsid w:val="073277E3"/>
    <w:rsid w:val="08324CB1"/>
    <w:rsid w:val="085C58C1"/>
    <w:rsid w:val="08C418DB"/>
    <w:rsid w:val="08F802C5"/>
    <w:rsid w:val="09F85A8D"/>
    <w:rsid w:val="0A1C3487"/>
    <w:rsid w:val="0A683BA2"/>
    <w:rsid w:val="0A896E92"/>
    <w:rsid w:val="0ACA7AB4"/>
    <w:rsid w:val="0ACF715F"/>
    <w:rsid w:val="0AE03C39"/>
    <w:rsid w:val="0B247C88"/>
    <w:rsid w:val="0B2E1202"/>
    <w:rsid w:val="0B395514"/>
    <w:rsid w:val="0BBB702F"/>
    <w:rsid w:val="0C2F1294"/>
    <w:rsid w:val="0CA97D7D"/>
    <w:rsid w:val="0CED3E75"/>
    <w:rsid w:val="0D2A0B79"/>
    <w:rsid w:val="0D766D0D"/>
    <w:rsid w:val="0EA16173"/>
    <w:rsid w:val="0EFA74BB"/>
    <w:rsid w:val="0F9F4B4C"/>
    <w:rsid w:val="0FA6663B"/>
    <w:rsid w:val="10010CB5"/>
    <w:rsid w:val="10055D4D"/>
    <w:rsid w:val="101C689D"/>
    <w:rsid w:val="107A2BA7"/>
    <w:rsid w:val="11323D35"/>
    <w:rsid w:val="114626FE"/>
    <w:rsid w:val="117822DC"/>
    <w:rsid w:val="11C60CB4"/>
    <w:rsid w:val="120C751A"/>
    <w:rsid w:val="12691EA3"/>
    <w:rsid w:val="12CA2CC7"/>
    <w:rsid w:val="12CB34F5"/>
    <w:rsid w:val="1325172D"/>
    <w:rsid w:val="137A4EAB"/>
    <w:rsid w:val="14065DB9"/>
    <w:rsid w:val="14BE23B2"/>
    <w:rsid w:val="14FDE595"/>
    <w:rsid w:val="155B18AF"/>
    <w:rsid w:val="15653B1A"/>
    <w:rsid w:val="15D07D2F"/>
    <w:rsid w:val="16451716"/>
    <w:rsid w:val="16534050"/>
    <w:rsid w:val="167716B9"/>
    <w:rsid w:val="17093457"/>
    <w:rsid w:val="17121753"/>
    <w:rsid w:val="1719354E"/>
    <w:rsid w:val="176E754A"/>
    <w:rsid w:val="18131C04"/>
    <w:rsid w:val="184A6A38"/>
    <w:rsid w:val="18F51BA1"/>
    <w:rsid w:val="191A1520"/>
    <w:rsid w:val="198C2940"/>
    <w:rsid w:val="1A506C25"/>
    <w:rsid w:val="1A734AE6"/>
    <w:rsid w:val="1AD515FA"/>
    <w:rsid w:val="1AF537B3"/>
    <w:rsid w:val="1B980165"/>
    <w:rsid w:val="1BCB7ED3"/>
    <w:rsid w:val="1BD3C968"/>
    <w:rsid w:val="1BD43472"/>
    <w:rsid w:val="1C9409F2"/>
    <w:rsid w:val="1CE3376A"/>
    <w:rsid w:val="1CF34E22"/>
    <w:rsid w:val="1D2BFE9A"/>
    <w:rsid w:val="1EDA021A"/>
    <w:rsid w:val="1EFDD827"/>
    <w:rsid w:val="1EFE7959"/>
    <w:rsid w:val="1F2842A8"/>
    <w:rsid w:val="1F4D4B64"/>
    <w:rsid w:val="1F5F0C5E"/>
    <w:rsid w:val="1F8B4C27"/>
    <w:rsid w:val="1F965CAB"/>
    <w:rsid w:val="20116758"/>
    <w:rsid w:val="204730FA"/>
    <w:rsid w:val="206D3E72"/>
    <w:rsid w:val="20D12A0E"/>
    <w:rsid w:val="212C7F1A"/>
    <w:rsid w:val="22400AEA"/>
    <w:rsid w:val="226CA292"/>
    <w:rsid w:val="22711C55"/>
    <w:rsid w:val="22A20C02"/>
    <w:rsid w:val="23013A66"/>
    <w:rsid w:val="239F4499"/>
    <w:rsid w:val="23BE1DA4"/>
    <w:rsid w:val="23C4001D"/>
    <w:rsid w:val="23CE1B01"/>
    <w:rsid w:val="23DD413D"/>
    <w:rsid w:val="23EE0144"/>
    <w:rsid w:val="23F12773"/>
    <w:rsid w:val="242A73D9"/>
    <w:rsid w:val="24F701E8"/>
    <w:rsid w:val="25440959"/>
    <w:rsid w:val="25493737"/>
    <w:rsid w:val="255F7BE0"/>
    <w:rsid w:val="25721913"/>
    <w:rsid w:val="25A01642"/>
    <w:rsid w:val="25EC4D27"/>
    <w:rsid w:val="261961B2"/>
    <w:rsid w:val="26281F52"/>
    <w:rsid w:val="263C3CA9"/>
    <w:rsid w:val="26A81AAE"/>
    <w:rsid w:val="26BB46F7"/>
    <w:rsid w:val="26D76FBA"/>
    <w:rsid w:val="26E217A1"/>
    <w:rsid w:val="274E43FB"/>
    <w:rsid w:val="275C4FBA"/>
    <w:rsid w:val="27C866E9"/>
    <w:rsid w:val="27D06450"/>
    <w:rsid w:val="282C7CB4"/>
    <w:rsid w:val="282E2F23"/>
    <w:rsid w:val="29205E54"/>
    <w:rsid w:val="29645D01"/>
    <w:rsid w:val="298D13C8"/>
    <w:rsid w:val="29D172F9"/>
    <w:rsid w:val="29DC58DA"/>
    <w:rsid w:val="2A77059F"/>
    <w:rsid w:val="2A8018BE"/>
    <w:rsid w:val="2A802C61"/>
    <w:rsid w:val="2AC7287A"/>
    <w:rsid w:val="2ACD5933"/>
    <w:rsid w:val="2ADD5357"/>
    <w:rsid w:val="2B0C3586"/>
    <w:rsid w:val="2B865635"/>
    <w:rsid w:val="2C040E2C"/>
    <w:rsid w:val="2C21336C"/>
    <w:rsid w:val="2C51330E"/>
    <w:rsid w:val="2C5A4D12"/>
    <w:rsid w:val="2C80392D"/>
    <w:rsid w:val="2C8D6A14"/>
    <w:rsid w:val="2D5D3499"/>
    <w:rsid w:val="2D765F51"/>
    <w:rsid w:val="2D8140BB"/>
    <w:rsid w:val="2DA82C40"/>
    <w:rsid w:val="2DB5E772"/>
    <w:rsid w:val="2DB607F8"/>
    <w:rsid w:val="2DBC2CC4"/>
    <w:rsid w:val="2E1B7E55"/>
    <w:rsid w:val="2E3742C3"/>
    <w:rsid w:val="2E395954"/>
    <w:rsid w:val="2EA82476"/>
    <w:rsid w:val="2EC20A1B"/>
    <w:rsid w:val="2EC566A9"/>
    <w:rsid w:val="2ED9D46A"/>
    <w:rsid w:val="2EDA77F0"/>
    <w:rsid w:val="2EF82630"/>
    <w:rsid w:val="2EFFE8B4"/>
    <w:rsid w:val="2F4D1DD2"/>
    <w:rsid w:val="2F8D2229"/>
    <w:rsid w:val="3019522A"/>
    <w:rsid w:val="31996151"/>
    <w:rsid w:val="31AD2500"/>
    <w:rsid w:val="31B40537"/>
    <w:rsid w:val="31B416B1"/>
    <w:rsid w:val="31F7702C"/>
    <w:rsid w:val="31F9208D"/>
    <w:rsid w:val="32237FA4"/>
    <w:rsid w:val="32304ED8"/>
    <w:rsid w:val="32882604"/>
    <w:rsid w:val="32E40B72"/>
    <w:rsid w:val="331C7412"/>
    <w:rsid w:val="332F4851"/>
    <w:rsid w:val="336B62C7"/>
    <w:rsid w:val="33860795"/>
    <w:rsid w:val="33994756"/>
    <w:rsid w:val="33BA607B"/>
    <w:rsid w:val="33D53A04"/>
    <w:rsid w:val="33E45E44"/>
    <w:rsid w:val="33FF24A4"/>
    <w:rsid w:val="341764D4"/>
    <w:rsid w:val="347B3B20"/>
    <w:rsid w:val="3498606D"/>
    <w:rsid w:val="34B82B00"/>
    <w:rsid w:val="34FED425"/>
    <w:rsid w:val="35241DAE"/>
    <w:rsid w:val="35544738"/>
    <w:rsid w:val="358F33DA"/>
    <w:rsid w:val="35FD5DF9"/>
    <w:rsid w:val="361E6DFC"/>
    <w:rsid w:val="36294D0F"/>
    <w:rsid w:val="36B956B7"/>
    <w:rsid w:val="37EF6A56"/>
    <w:rsid w:val="38080AFE"/>
    <w:rsid w:val="38536BC4"/>
    <w:rsid w:val="38546962"/>
    <w:rsid w:val="386524D2"/>
    <w:rsid w:val="38670B43"/>
    <w:rsid w:val="38996269"/>
    <w:rsid w:val="390973E5"/>
    <w:rsid w:val="394144E6"/>
    <w:rsid w:val="39685374"/>
    <w:rsid w:val="3974364B"/>
    <w:rsid w:val="39EA7295"/>
    <w:rsid w:val="3A092554"/>
    <w:rsid w:val="3A110697"/>
    <w:rsid w:val="3A3C05AB"/>
    <w:rsid w:val="3A6F0BA3"/>
    <w:rsid w:val="3A6F33A9"/>
    <w:rsid w:val="3A90489B"/>
    <w:rsid w:val="3AC401E5"/>
    <w:rsid w:val="3AFF5350"/>
    <w:rsid w:val="3B3277D4"/>
    <w:rsid w:val="3B5B4F59"/>
    <w:rsid w:val="3B7323DD"/>
    <w:rsid w:val="3BB97614"/>
    <w:rsid w:val="3BBE55F8"/>
    <w:rsid w:val="3BEE60AB"/>
    <w:rsid w:val="3BF3294F"/>
    <w:rsid w:val="3C124299"/>
    <w:rsid w:val="3C4E4F61"/>
    <w:rsid w:val="3C5E73D4"/>
    <w:rsid w:val="3C6D5BAA"/>
    <w:rsid w:val="3CBB1A85"/>
    <w:rsid w:val="3D043E40"/>
    <w:rsid w:val="3D5E5C21"/>
    <w:rsid w:val="3D7E440E"/>
    <w:rsid w:val="3D8B71C7"/>
    <w:rsid w:val="3D9258EF"/>
    <w:rsid w:val="3D985453"/>
    <w:rsid w:val="3DFA3A90"/>
    <w:rsid w:val="3DFC7D60"/>
    <w:rsid w:val="3E271421"/>
    <w:rsid w:val="3E2825EF"/>
    <w:rsid w:val="3E4547D4"/>
    <w:rsid w:val="3FDF4AE9"/>
    <w:rsid w:val="3FFA6D0D"/>
    <w:rsid w:val="400E7D86"/>
    <w:rsid w:val="407C5024"/>
    <w:rsid w:val="40C9610E"/>
    <w:rsid w:val="40E32DAD"/>
    <w:rsid w:val="40F6512D"/>
    <w:rsid w:val="41160671"/>
    <w:rsid w:val="413B7150"/>
    <w:rsid w:val="41602EA6"/>
    <w:rsid w:val="41635A5B"/>
    <w:rsid w:val="417D77C8"/>
    <w:rsid w:val="417E7657"/>
    <w:rsid w:val="417F7F5D"/>
    <w:rsid w:val="41D15DE9"/>
    <w:rsid w:val="435A2F9C"/>
    <w:rsid w:val="43E75CF9"/>
    <w:rsid w:val="4409529D"/>
    <w:rsid w:val="44504876"/>
    <w:rsid w:val="44665856"/>
    <w:rsid w:val="44956188"/>
    <w:rsid w:val="44984157"/>
    <w:rsid w:val="44B17AE9"/>
    <w:rsid w:val="44ED430B"/>
    <w:rsid w:val="450A1555"/>
    <w:rsid w:val="4519732D"/>
    <w:rsid w:val="451C140F"/>
    <w:rsid w:val="45E96D96"/>
    <w:rsid w:val="45F359DB"/>
    <w:rsid w:val="46AD6897"/>
    <w:rsid w:val="46CC5844"/>
    <w:rsid w:val="46CF6C8C"/>
    <w:rsid w:val="46DF5061"/>
    <w:rsid w:val="47162B08"/>
    <w:rsid w:val="47590722"/>
    <w:rsid w:val="47614FBE"/>
    <w:rsid w:val="481D2654"/>
    <w:rsid w:val="4889010C"/>
    <w:rsid w:val="48E262D5"/>
    <w:rsid w:val="495C3115"/>
    <w:rsid w:val="49774B82"/>
    <w:rsid w:val="49C77C4D"/>
    <w:rsid w:val="4A383091"/>
    <w:rsid w:val="4A6773F3"/>
    <w:rsid w:val="4A9B1919"/>
    <w:rsid w:val="4B0468C4"/>
    <w:rsid w:val="4B521BB3"/>
    <w:rsid w:val="4B7B1971"/>
    <w:rsid w:val="4B7E6586"/>
    <w:rsid w:val="4B8D358C"/>
    <w:rsid w:val="4BB67819"/>
    <w:rsid w:val="4BD2154A"/>
    <w:rsid w:val="4BE130B1"/>
    <w:rsid w:val="4C1E1B55"/>
    <w:rsid w:val="4C536E19"/>
    <w:rsid w:val="4CF1571E"/>
    <w:rsid w:val="4D5A718E"/>
    <w:rsid w:val="4D7542B4"/>
    <w:rsid w:val="4D85101A"/>
    <w:rsid w:val="4DBDCD0F"/>
    <w:rsid w:val="4DE174FE"/>
    <w:rsid w:val="4DFA65FB"/>
    <w:rsid w:val="4E431700"/>
    <w:rsid w:val="4EA7532D"/>
    <w:rsid w:val="4EB102E5"/>
    <w:rsid w:val="4ED0292C"/>
    <w:rsid w:val="4FA16E96"/>
    <w:rsid w:val="4FC20326"/>
    <w:rsid w:val="4FD86DCF"/>
    <w:rsid w:val="4FFFB7B2"/>
    <w:rsid w:val="50180D62"/>
    <w:rsid w:val="502176DE"/>
    <w:rsid w:val="507D4082"/>
    <w:rsid w:val="509D5954"/>
    <w:rsid w:val="50C65F9C"/>
    <w:rsid w:val="51004B93"/>
    <w:rsid w:val="5106707A"/>
    <w:rsid w:val="511204C7"/>
    <w:rsid w:val="511F75F5"/>
    <w:rsid w:val="51840CDA"/>
    <w:rsid w:val="518B3EAC"/>
    <w:rsid w:val="51B722DD"/>
    <w:rsid w:val="51D4526A"/>
    <w:rsid w:val="5377695D"/>
    <w:rsid w:val="5391424B"/>
    <w:rsid w:val="546A0A12"/>
    <w:rsid w:val="54A55E20"/>
    <w:rsid w:val="55277731"/>
    <w:rsid w:val="55675EAC"/>
    <w:rsid w:val="56447C45"/>
    <w:rsid w:val="56625A40"/>
    <w:rsid w:val="567D7A7C"/>
    <w:rsid w:val="56A82813"/>
    <w:rsid w:val="57AEE0EA"/>
    <w:rsid w:val="57D26B7C"/>
    <w:rsid w:val="57DC44EB"/>
    <w:rsid w:val="57FD50A5"/>
    <w:rsid w:val="5804307B"/>
    <w:rsid w:val="583D0987"/>
    <w:rsid w:val="58B025FC"/>
    <w:rsid w:val="59EB2892"/>
    <w:rsid w:val="5A4F7337"/>
    <w:rsid w:val="5A787248"/>
    <w:rsid w:val="5ADA59BA"/>
    <w:rsid w:val="5B2C72FF"/>
    <w:rsid w:val="5B4309FC"/>
    <w:rsid w:val="5B47111E"/>
    <w:rsid w:val="5B526951"/>
    <w:rsid w:val="5B8F4721"/>
    <w:rsid w:val="5C470D1C"/>
    <w:rsid w:val="5C7C0812"/>
    <w:rsid w:val="5C8C3604"/>
    <w:rsid w:val="5C8D701D"/>
    <w:rsid w:val="5D65CBBB"/>
    <w:rsid w:val="5DFF47C6"/>
    <w:rsid w:val="5E1F2513"/>
    <w:rsid w:val="5E6566A9"/>
    <w:rsid w:val="5E8D0EEF"/>
    <w:rsid w:val="5F555A47"/>
    <w:rsid w:val="5F67940B"/>
    <w:rsid w:val="5FA01D37"/>
    <w:rsid w:val="5FB85D9F"/>
    <w:rsid w:val="5FF1336F"/>
    <w:rsid w:val="600D05DB"/>
    <w:rsid w:val="6037325B"/>
    <w:rsid w:val="60FA7053"/>
    <w:rsid w:val="611F72B6"/>
    <w:rsid w:val="614754E2"/>
    <w:rsid w:val="61BD4F30"/>
    <w:rsid w:val="61ED5989"/>
    <w:rsid w:val="627F2203"/>
    <w:rsid w:val="62B14FD9"/>
    <w:rsid w:val="630A40B7"/>
    <w:rsid w:val="63155796"/>
    <w:rsid w:val="63156B38"/>
    <w:rsid w:val="63676210"/>
    <w:rsid w:val="6374015A"/>
    <w:rsid w:val="637D68B7"/>
    <w:rsid w:val="637E14B6"/>
    <w:rsid w:val="63804440"/>
    <w:rsid w:val="63922E84"/>
    <w:rsid w:val="63D91E61"/>
    <w:rsid w:val="64074879"/>
    <w:rsid w:val="64445000"/>
    <w:rsid w:val="6473386C"/>
    <w:rsid w:val="64913150"/>
    <w:rsid w:val="64931CAF"/>
    <w:rsid w:val="649F39BC"/>
    <w:rsid w:val="64AF404D"/>
    <w:rsid w:val="6549100E"/>
    <w:rsid w:val="65920510"/>
    <w:rsid w:val="6593785E"/>
    <w:rsid w:val="667D02F6"/>
    <w:rsid w:val="66804370"/>
    <w:rsid w:val="66AC6B93"/>
    <w:rsid w:val="66BD77F8"/>
    <w:rsid w:val="66D23823"/>
    <w:rsid w:val="66DE4A8E"/>
    <w:rsid w:val="66DF569E"/>
    <w:rsid w:val="66EF607A"/>
    <w:rsid w:val="674C2822"/>
    <w:rsid w:val="67703F9F"/>
    <w:rsid w:val="67842FF0"/>
    <w:rsid w:val="678B085B"/>
    <w:rsid w:val="67980D1D"/>
    <w:rsid w:val="67AA56C0"/>
    <w:rsid w:val="690959C3"/>
    <w:rsid w:val="69A01FE0"/>
    <w:rsid w:val="69C6376F"/>
    <w:rsid w:val="6A4348A4"/>
    <w:rsid w:val="6A601403"/>
    <w:rsid w:val="6BBC2B88"/>
    <w:rsid w:val="6C432F47"/>
    <w:rsid w:val="6C762264"/>
    <w:rsid w:val="6C900EB8"/>
    <w:rsid w:val="6CD463E2"/>
    <w:rsid w:val="6DD332F3"/>
    <w:rsid w:val="6DEFB9F4"/>
    <w:rsid w:val="6E770F59"/>
    <w:rsid w:val="6E777553"/>
    <w:rsid w:val="6EFF79FB"/>
    <w:rsid w:val="6F4E797A"/>
    <w:rsid w:val="6F510FE3"/>
    <w:rsid w:val="6F667B82"/>
    <w:rsid w:val="6F7FADAB"/>
    <w:rsid w:val="6F97D361"/>
    <w:rsid w:val="6FB02103"/>
    <w:rsid w:val="6FBE61D5"/>
    <w:rsid w:val="6FBFF09F"/>
    <w:rsid w:val="700D4895"/>
    <w:rsid w:val="7019072E"/>
    <w:rsid w:val="701B4FF9"/>
    <w:rsid w:val="705A6924"/>
    <w:rsid w:val="70964027"/>
    <w:rsid w:val="70FE42EB"/>
    <w:rsid w:val="71334F5B"/>
    <w:rsid w:val="7162647A"/>
    <w:rsid w:val="71A10ED5"/>
    <w:rsid w:val="72165809"/>
    <w:rsid w:val="726C5EF5"/>
    <w:rsid w:val="72A54137"/>
    <w:rsid w:val="72C9301B"/>
    <w:rsid w:val="730218E9"/>
    <w:rsid w:val="73267FC5"/>
    <w:rsid w:val="73CB335D"/>
    <w:rsid w:val="73E52BF4"/>
    <w:rsid w:val="740748D5"/>
    <w:rsid w:val="74723643"/>
    <w:rsid w:val="749278A6"/>
    <w:rsid w:val="74F44C6E"/>
    <w:rsid w:val="74FB4D70"/>
    <w:rsid w:val="75037199"/>
    <w:rsid w:val="755A3519"/>
    <w:rsid w:val="755D775D"/>
    <w:rsid w:val="756B31B7"/>
    <w:rsid w:val="757678FF"/>
    <w:rsid w:val="757FEB6C"/>
    <w:rsid w:val="75BF80C6"/>
    <w:rsid w:val="76076E9A"/>
    <w:rsid w:val="761277CD"/>
    <w:rsid w:val="766774EB"/>
    <w:rsid w:val="766C085C"/>
    <w:rsid w:val="769830BC"/>
    <w:rsid w:val="77234889"/>
    <w:rsid w:val="77535584"/>
    <w:rsid w:val="77551BD4"/>
    <w:rsid w:val="777A1F39"/>
    <w:rsid w:val="778A024B"/>
    <w:rsid w:val="77BB1CF2"/>
    <w:rsid w:val="77CFA6FB"/>
    <w:rsid w:val="786F5238"/>
    <w:rsid w:val="78E26E42"/>
    <w:rsid w:val="78FB7614"/>
    <w:rsid w:val="792C5851"/>
    <w:rsid w:val="793D3E78"/>
    <w:rsid w:val="79750451"/>
    <w:rsid w:val="7992663D"/>
    <w:rsid w:val="79AFA6F7"/>
    <w:rsid w:val="79C26F11"/>
    <w:rsid w:val="79CE309A"/>
    <w:rsid w:val="79E77AB4"/>
    <w:rsid w:val="79F01E61"/>
    <w:rsid w:val="7A011ECB"/>
    <w:rsid w:val="7A423524"/>
    <w:rsid w:val="7AD52008"/>
    <w:rsid w:val="7B726638"/>
    <w:rsid w:val="7B807FE1"/>
    <w:rsid w:val="7B95E36F"/>
    <w:rsid w:val="7B99E93B"/>
    <w:rsid w:val="7BBA30C7"/>
    <w:rsid w:val="7BD033BC"/>
    <w:rsid w:val="7BEEEBD8"/>
    <w:rsid w:val="7BFF5C4F"/>
    <w:rsid w:val="7C37315D"/>
    <w:rsid w:val="7C3A2559"/>
    <w:rsid w:val="7CCF18D8"/>
    <w:rsid w:val="7CFDB6CE"/>
    <w:rsid w:val="7D511B55"/>
    <w:rsid w:val="7D5C6060"/>
    <w:rsid w:val="7D7D4A54"/>
    <w:rsid w:val="7D8B6B4D"/>
    <w:rsid w:val="7D952228"/>
    <w:rsid w:val="7D9F1F79"/>
    <w:rsid w:val="7DBB1386"/>
    <w:rsid w:val="7DD63AA0"/>
    <w:rsid w:val="7DF07B89"/>
    <w:rsid w:val="7DFE0EA3"/>
    <w:rsid w:val="7E2952E8"/>
    <w:rsid w:val="7E4B50E1"/>
    <w:rsid w:val="7E5D4A9C"/>
    <w:rsid w:val="7EB0248E"/>
    <w:rsid w:val="7ED145FC"/>
    <w:rsid w:val="7EF7C1B7"/>
    <w:rsid w:val="7EF979E0"/>
    <w:rsid w:val="7EFF2B12"/>
    <w:rsid w:val="7EFFF2F1"/>
    <w:rsid w:val="7F0A4913"/>
    <w:rsid w:val="7F7DEB4E"/>
    <w:rsid w:val="7F9AC73A"/>
    <w:rsid w:val="7FA16CB6"/>
    <w:rsid w:val="7FAC57D3"/>
    <w:rsid w:val="7FFF11EB"/>
    <w:rsid w:val="96E79C8B"/>
    <w:rsid w:val="9BF3FD7F"/>
    <w:rsid w:val="9BFF0A08"/>
    <w:rsid w:val="9DFFDDFE"/>
    <w:rsid w:val="9FDF8E9C"/>
    <w:rsid w:val="A1FE48B2"/>
    <w:rsid w:val="A9DB0DAF"/>
    <w:rsid w:val="AB85901A"/>
    <w:rsid w:val="ABDF0FB6"/>
    <w:rsid w:val="AE5F13CD"/>
    <w:rsid w:val="AFB9A746"/>
    <w:rsid w:val="AFC77AAC"/>
    <w:rsid w:val="B7EE9B75"/>
    <w:rsid w:val="B7FF267A"/>
    <w:rsid w:val="B9FED0D6"/>
    <w:rsid w:val="BB7FD279"/>
    <w:rsid w:val="BCDBB18D"/>
    <w:rsid w:val="BEF5CA52"/>
    <w:rsid w:val="BEFE4E4F"/>
    <w:rsid w:val="BF2F1E81"/>
    <w:rsid w:val="BFBF545A"/>
    <w:rsid w:val="BFDF34A6"/>
    <w:rsid w:val="BFFF7AC2"/>
    <w:rsid w:val="C977D6BD"/>
    <w:rsid w:val="CDDF42BC"/>
    <w:rsid w:val="D73F5799"/>
    <w:rsid w:val="D7DEA7C5"/>
    <w:rsid w:val="DA3B96C7"/>
    <w:rsid w:val="DBFFC3B7"/>
    <w:rsid w:val="DD6BA48F"/>
    <w:rsid w:val="DEDFE735"/>
    <w:rsid w:val="DEEF54E9"/>
    <w:rsid w:val="DFFB3451"/>
    <w:rsid w:val="E2FF6BB0"/>
    <w:rsid w:val="E3DBB7E9"/>
    <w:rsid w:val="E6D73DA8"/>
    <w:rsid w:val="E7568202"/>
    <w:rsid w:val="E7AE4EE8"/>
    <w:rsid w:val="E7FB4BE8"/>
    <w:rsid w:val="E7FEF61B"/>
    <w:rsid w:val="E8F77B2E"/>
    <w:rsid w:val="EDBF4E07"/>
    <w:rsid w:val="EDBFDC38"/>
    <w:rsid w:val="EFF70A36"/>
    <w:rsid w:val="F3F6280D"/>
    <w:rsid w:val="F5EABF66"/>
    <w:rsid w:val="F67D38D4"/>
    <w:rsid w:val="F7F80283"/>
    <w:rsid w:val="F7FB4316"/>
    <w:rsid w:val="F7FBCE9E"/>
    <w:rsid w:val="F9DF4217"/>
    <w:rsid w:val="FAACFA09"/>
    <w:rsid w:val="FB7D998C"/>
    <w:rsid w:val="FBEF69D4"/>
    <w:rsid w:val="FE75A017"/>
    <w:rsid w:val="FE9DD196"/>
    <w:rsid w:val="FEEF6C02"/>
    <w:rsid w:val="FF1B33FF"/>
    <w:rsid w:val="FFAA64EC"/>
    <w:rsid w:val="FFB3493C"/>
    <w:rsid w:val="FFDD070C"/>
    <w:rsid w:val="FFDF0D3D"/>
    <w:rsid w:val="FFF99BB1"/>
    <w:rsid w:val="FFF9EB01"/>
    <w:rsid w:val="FFFB092B"/>
    <w:rsid w:val="FFFE84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i/>
      <w:iCs/>
      <w:sz w:val="24"/>
    </w:rPr>
  </w:style>
  <w:style w:type="paragraph" w:styleId="3">
    <w:name w:val="Body Text"/>
    <w:basedOn w:val="1"/>
    <w:qFormat/>
    <w:uiPriority w:val="0"/>
    <w:pPr>
      <w:spacing w:after="140" w:line="276" w:lineRule="auto"/>
    </w:pPr>
  </w:style>
  <w:style w:type="paragraph" w:styleId="4">
    <w:name w:val="Balloon Text"/>
    <w:basedOn w:val="1"/>
    <w:link w:val="20"/>
    <w:semiHidden/>
    <w:unhideWhenUsed/>
    <w:qFormat/>
    <w:uiPriority w:val="0"/>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List"/>
    <w:basedOn w:val="3"/>
    <w:qFormat/>
    <w:uiPriority w:val="0"/>
  </w:style>
  <w:style w:type="paragraph" w:styleId="9">
    <w:name w:val="toc 2"/>
    <w:basedOn w:val="1"/>
    <w:next w:val="1"/>
    <w:qFormat/>
    <w:uiPriority w:val="39"/>
    <w:pPr>
      <w:ind w:left="420" w:leftChars="200"/>
    </w:p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默认段落字体1"/>
    <w:qFormat/>
    <w:uiPriority w:val="0"/>
  </w:style>
  <w:style w:type="paragraph" w:customStyle="1" w:styleId="15">
    <w:name w:val="Heading"/>
    <w:basedOn w:val="1"/>
    <w:next w:val="3"/>
    <w:qFormat/>
    <w:uiPriority w:val="0"/>
    <w:pPr>
      <w:keepNext/>
      <w:spacing w:before="240" w:after="120"/>
    </w:pPr>
    <w:rPr>
      <w:rFonts w:ascii="Liberation Sans" w:hAnsi="Liberation Sans" w:eastAsia="Noto Sans CJK SC Regular" w:cs="Noto Sans CJK SC Regular"/>
      <w:sz w:val="28"/>
      <w:szCs w:val="28"/>
    </w:rPr>
  </w:style>
  <w:style w:type="paragraph" w:customStyle="1" w:styleId="16">
    <w:name w:val="Index"/>
    <w:basedOn w:val="1"/>
    <w:qFormat/>
    <w:uiPriority w:val="0"/>
    <w:pPr>
      <w:suppressLineNumbers/>
    </w:pPr>
  </w:style>
  <w:style w:type="character" w:customStyle="1" w:styleId="17">
    <w:name w:val="页眉 Char"/>
    <w:basedOn w:val="12"/>
    <w:link w:val="6"/>
    <w:qFormat/>
    <w:uiPriority w:val="0"/>
    <w:rPr>
      <w:rFonts w:ascii="Calibri" w:hAnsi="Calibri"/>
      <w:kern w:val="2"/>
      <w:sz w:val="18"/>
      <w:szCs w:val="18"/>
    </w:rPr>
  </w:style>
  <w:style w:type="character" w:customStyle="1" w:styleId="18">
    <w:name w:val="页脚 Char"/>
    <w:basedOn w:val="12"/>
    <w:link w:val="5"/>
    <w:qFormat/>
    <w:uiPriority w:val="99"/>
    <w:rPr>
      <w:rFonts w:ascii="Calibri" w:hAnsi="Calibri"/>
      <w:kern w:val="2"/>
      <w:sz w:val="18"/>
      <w:szCs w:val="18"/>
    </w:rPr>
  </w:style>
  <w:style w:type="character" w:customStyle="1" w:styleId="19">
    <w:name w:val="fontstyle01"/>
    <w:basedOn w:val="12"/>
    <w:qFormat/>
    <w:uiPriority w:val="0"/>
    <w:rPr>
      <w:rFonts w:hint="default" w:ascii="仿宋" w:hAnsi="仿宋"/>
      <w:color w:val="000000"/>
      <w:sz w:val="28"/>
      <w:szCs w:val="28"/>
    </w:rPr>
  </w:style>
  <w:style w:type="character" w:customStyle="1" w:styleId="20">
    <w:name w:val="批注框文本 Char"/>
    <w:basedOn w:val="12"/>
    <w:link w:val="4"/>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101</Pages>
  <Words>54241</Words>
  <Characters>54533</Characters>
  <Lines>390</Lines>
  <Paragraphs>109</Paragraphs>
  <TotalTime>27</TotalTime>
  <ScaleCrop>false</ScaleCrop>
  <LinksUpToDate>false</LinksUpToDate>
  <CharactersWithSpaces>54579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2021-11-29T08:54:00Z</dcterms:created>
  <dc:creator>jnak</dc:creator>
  <cp:lastModifiedBy>热忱</cp:lastModifiedBy>
  <cp:lastPrinted>2022-05-26T01:35:00Z</cp:lastPrinted>
  <dcterms:modified xsi:type="dcterms:W3CDTF">2024-06-06T08:03:55Z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D62A99FEB81B4B0EB899083370BF2865_13</vt:lpwstr>
  </property>
</Properties>
</file>