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9B99890">
      <w:pPr>
        <w:pStyle w:val="2"/>
        <w:spacing w:before="56" w:line="220" w:lineRule="auto"/>
        <w:ind w:left="1216"/>
        <w:outlineLvl w:val="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pacing w:val="-4"/>
          <w:sz w:val="30"/>
          <w:szCs w:val="30"/>
          <w:lang w:val="en-US" w:eastAsia="zh-CN"/>
        </w:rPr>
        <w:t>车用尿素水溶液</w:t>
      </w:r>
      <w:r>
        <w:rPr>
          <w:rFonts w:hint="eastAsia" w:ascii="仿宋" w:hAnsi="仿宋" w:eastAsia="仿宋" w:cs="仿宋"/>
          <w:b/>
          <w:bCs/>
          <w:spacing w:val="-4"/>
          <w:sz w:val="30"/>
          <w:szCs w:val="30"/>
        </w:rPr>
        <w:t>（快检）产品质量监督抽查实施细则</w:t>
      </w:r>
    </w:p>
    <w:p w14:paraId="3ECE78AF">
      <w:pPr>
        <w:pStyle w:val="2"/>
        <w:spacing w:before="200" w:line="228" w:lineRule="auto"/>
        <w:ind w:left="73"/>
        <w:outlineLvl w:val="1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pacing w:val="-5"/>
          <w:sz w:val="28"/>
          <w:szCs w:val="28"/>
        </w:rPr>
        <w:t>1</w:t>
      </w:r>
      <w:r>
        <w:rPr>
          <w:rFonts w:hint="eastAsia" w:ascii="仿宋" w:hAnsi="仿宋" w:eastAsia="仿宋" w:cs="仿宋"/>
          <w:spacing w:val="15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b/>
          <w:bCs/>
          <w:spacing w:val="-5"/>
          <w:sz w:val="28"/>
          <w:szCs w:val="28"/>
        </w:rPr>
        <w:t>抽样</w:t>
      </w:r>
    </w:p>
    <w:p w14:paraId="17B87251">
      <w:pPr>
        <w:pStyle w:val="2"/>
        <w:spacing w:before="161" w:line="228" w:lineRule="auto"/>
        <w:ind w:left="73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3"/>
          <w:sz w:val="28"/>
          <w:szCs w:val="28"/>
        </w:rPr>
        <w:t>1.1</w:t>
      </w:r>
      <w:r>
        <w:rPr>
          <w:rFonts w:hint="eastAsia" w:ascii="仿宋" w:hAnsi="仿宋" w:eastAsia="仿宋" w:cs="仿宋"/>
          <w:spacing w:val="-41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3"/>
          <w:sz w:val="28"/>
          <w:szCs w:val="28"/>
        </w:rPr>
        <w:t>抽样方法</w:t>
      </w:r>
    </w:p>
    <w:p w14:paraId="2F340EBF">
      <w:pPr>
        <w:pStyle w:val="2"/>
        <w:spacing w:before="163" w:line="227" w:lineRule="auto"/>
        <w:ind w:left="501"/>
        <w:rPr>
          <w:rFonts w:hint="eastAsia" w:ascii="仿宋" w:hAnsi="仿宋" w:eastAsia="仿宋" w:cs="仿宋"/>
          <w:spacing w:val="8"/>
          <w:sz w:val="28"/>
          <w:szCs w:val="28"/>
        </w:rPr>
      </w:pPr>
      <w:r>
        <w:rPr>
          <w:rFonts w:hint="eastAsia" w:ascii="仿宋" w:hAnsi="仿宋" w:eastAsia="仿宋" w:cs="仿宋"/>
          <w:spacing w:val="8"/>
          <w:sz w:val="28"/>
          <w:szCs w:val="28"/>
        </w:rPr>
        <w:t>以随机抽样的方式在被抽样生产者、销售者的待销产品中抽取。</w:t>
      </w:r>
    </w:p>
    <w:p w14:paraId="206D392B">
      <w:pPr>
        <w:pStyle w:val="2"/>
        <w:spacing w:before="163" w:line="227" w:lineRule="auto"/>
        <w:ind w:left="501"/>
        <w:rPr>
          <w:rFonts w:hint="default" w:ascii="仿宋" w:hAnsi="仿宋" w:eastAsia="仿宋" w:cs="仿宋"/>
          <w:spacing w:val="8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pacing w:val="8"/>
          <w:sz w:val="28"/>
          <w:szCs w:val="28"/>
          <w:lang w:val="en-US" w:eastAsia="zh-CN"/>
        </w:rPr>
        <w:t>随机数一般可使用随机数表等方法产生。</w:t>
      </w:r>
    </w:p>
    <w:p w14:paraId="3B293BFB">
      <w:pPr>
        <w:pStyle w:val="2"/>
        <w:spacing w:before="257" w:line="228" w:lineRule="auto"/>
        <w:ind w:left="73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3"/>
          <w:sz w:val="28"/>
          <w:szCs w:val="28"/>
        </w:rPr>
        <w:t>1.2</w:t>
      </w:r>
      <w:r>
        <w:rPr>
          <w:rFonts w:hint="eastAsia" w:ascii="仿宋" w:hAnsi="仿宋" w:eastAsia="仿宋" w:cs="仿宋"/>
          <w:spacing w:val="-41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3"/>
          <w:sz w:val="28"/>
          <w:szCs w:val="28"/>
        </w:rPr>
        <w:t>抽样基数</w:t>
      </w:r>
    </w:p>
    <w:p w14:paraId="1C6D05F3">
      <w:pPr>
        <w:pStyle w:val="2"/>
        <w:spacing w:before="125" w:line="228" w:lineRule="auto"/>
        <w:ind w:left="477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8"/>
          <w:sz w:val="28"/>
          <w:szCs w:val="28"/>
        </w:rPr>
        <w:t>抽查样品基数满足抽样数量即可。</w:t>
      </w:r>
    </w:p>
    <w:p w14:paraId="5C7CD538">
      <w:pPr>
        <w:pStyle w:val="2"/>
        <w:spacing w:before="161" w:line="228" w:lineRule="auto"/>
        <w:ind w:left="73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3"/>
          <w:sz w:val="28"/>
          <w:szCs w:val="28"/>
        </w:rPr>
        <w:t>1.</w:t>
      </w:r>
      <w:r>
        <w:rPr>
          <w:rFonts w:hint="eastAsia" w:ascii="仿宋" w:hAnsi="仿宋" w:eastAsia="仿宋" w:cs="仿宋"/>
          <w:spacing w:val="3"/>
          <w:sz w:val="28"/>
          <w:szCs w:val="28"/>
          <w:lang w:val="en-US" w:eastAsia="zh-CN"/>
        </w:rPr>
        <w:t>3</w:t>
      </w:r>
      <w:r>
        <w:rPr>
          <w:rFonts w:hint="eastAsia" w:ascii="仿宋" w:hAnsi="仿宋" w:eastAsia="仿宋" w:cs="仿宋"/>
          <w:spacing w:val="-41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3"/>
          <w:sz w:val="28"/>
          <w:szCs w:val="28"/>
        </w:rPr>
        <w:t>抽样数量</w:t>
      </w:r>
    </w:p>
    <w:p w14:paraId="64593C49">
      <w:pPr>
        <w:pStyle w:val="2"/>
        <w:spacing w:before="161" w:line="228" w:lineRule="auto"/>
        <w:ind w:left="477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8"/>
          <w:sz w:val="28"/>
          <w:szCs w:val="28"/>
        </w:rPr>
        <w:t>每批次产品抽取 300</w:t>
      </w:r>
      <w:r>
        <w:rPr>
          <w:rFonts w:hint="eastAsia" w:ascii="仿宋" w:hAnsi="仿宋" w:eastAsia="仿宋" w:cs="仿宋"/>
          <w:sz w:val="28"/>
          <w:szCs w:val="28"/>
        </w:rPr>
        <w:t>mL</w:t>
      </w:r>
      <w:r>
        <w:rPr>
          <w:rFonts w:hint="eastAsia" w:ascii="仿宋" w:hAnsi="仿宋" w:eastAsia="仿宋" w:cs="仿宋"/>
          <w:spacing w:val="8"/>
          <w:sz w:val="28"/>
          <w:szCs w:val="28"/>
        </w:rPr>
        <w:t>～400</w:t>
      </w:r>
      <w:r>
        <w:rPr>
          <w:rFonts w:hint="eastAsia" w:ascii="仿宋" w:hAnsi="仿宋" w:eastAsia="仿宋" w:cs="仿宋"/>
          <w:sz w:val="28"/>
          <w:szCs w:val="28"/>
        </w:rPr>
        <w:t>mL</w:t>
      </w:r>
      <w:r>
        <w:rPr>
          <w:rFonts w:hint="eastAsia" w:ascii="仿宋" w:hAnsi="仿宋" w:eastAsia="仿宋" w:cs="仿宋"/>
          <w:spacing w:val="8"/>
          <w:sz w:val="28"/>
          <w:szCs w:val="28"/>
        </w:rPr>
        <w:t>，盛装在合适的容器中。</w:t>
      </w:r>
    </w:p>
    <w:p w14:paraId="187F7AF9">
      <w:pPr>
        <w:pStyle w:val="2"/>
        <w:spacing w:before="164" w:line="227" w:lineRule="auto"/>
        <w:ind w:left="60"/>
        <w:outlineLvl w:val="1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pacing w:val="3"/>
          <w:sz w:val="28"/>
          <w:szCs w:val="28"/>
        </w:rPr>
        <w:t>2</w:t>
      </w:r>
      <w:r>
        <w:rPr>
          <w:rFonts w:hint="eastAsia" w:ascii="仿宋" w:hAnsi="仿宋" w:eastAsia="仿宋" w:cs="仿宋"/>
          <w:spacing w:val="16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b/>
          <w:bCs/>
          <w:spacing w:val="3"/>
          <w:sz w:val="28"/>
          <w:szCs w:val="28"/>
        </w:rPr>
        <w:t>检验依据</w:t>
      </w:r>
    </w:p>
    <w:p w14:paraId="4CE67BF1">
      <w:pPr>
        <w:pStyle w:val="2"/>
        <w:spacing w:before="260" w:line="228" w:lineRule="auto"/>
        <w:ind w:left="2521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pacing w:val="4"/>
          <w:sz w:val="28"/>
          <w:szCs w:val="28"/>
        </w:rPr>
        <w:t>表</w:t>
      </w:r>
      <w:r>
        <w:rPr>
          <w:rFonts w:hint="eastAsia" w:ascii="仿宋" w:hAnsi="仿宋" w:eastAsia="仿宋" w:cs="仿宋"/>
          <w:spacing w:val="-10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-10"/>
          <w:sz w:val="28"/>
          <w:szCs w:val="28"/>
          <w:lang w:val="en-US" w:eastAsia="zh-CN"/>
        </w:rPr>
        <w:t>2-</w:t>
      </w:r>
      <w:r>
        <w:rPr>
          <w:rFonts w:hint="eastAsia" w:ascii="仿宋" w:hAnsi="仿宋" w:eastAsia="仿宋" w:cs="仿宋"/>
          <w:b/>
          <w:bCs/>
          <w:spacing w:val="4"/>
          <w:sz w:val="28"/>
          <w:szCs w:val="28"/>
        </w:rPr>
        <w:t>1</w:t>
      </w:r>
      <w:r>
        <w:rPr>
          <w:rFonts w:hint="eastAsia" w:ascii="仿宋" w:hAnsi="仿宋" w:eastAsia="仿宋" w:cs="仿宋"/>
          <w:b/>
          <w:bCs/>
          <w:spacing w:val="4"/>
          <w:sz w:val="28"/>
          <w:szCs w:val="28"/>
          <w:lang w:val="en-US" w:eastAsia="zh-CN"/>
        </w:rPr>
        <w:t xml:space="preserve"> </w:t>
      </w:r>
      <w:r>
        <w:rPr>
          <w:rFonts w:hint="eastAsia" w:ascii="仿宋" w:hAnsi="仿宋" w:eastAsia="仿宋" w:cs="仿宋"/>
          <w:b/>
          <w:bCs/>
          <w:spacing w:val="4"/>
          <w:sz w:val="28"/>
          <w:szCs w:val="28"/>
        </w:rPr>
        <w:t>车用</w:t>
      </w:r>
      <w:r>
        <w:rPr>
          <w:rFonts w:hint="eastAsia" w:ascii="仿宋" w:hAnsi="仿宋" w:eastAsia="仿宋" w:cs="仿宋"/>
          <w:b/>
          <w:bCs/>
          <w:spacing w:val="4"/>
          <w:sz w:val="28"/>
          <w:szCs w:val="28"/>
          <w:lang w:val="en-US" w:eastAsia="zh-CN"/>
        </w:rPr>
        <w:t>尿素水溶液</w:t>
      </w:r>
      <w:r>
        <w:rPr>
          <w:rFonts w:hint="eastAsia" w:ascii="仿宋" w:hAnsi="仿宋" w:eastAsia="仿宋" w:cs="仿宋"/>
          <w:b/>
          <w:bCs/>
          <w:spacing w:val="4"/>
          <w:sz w:val="28"/>
          <w:szCs w:val="28"/>
        </w:rPr>
        <w:t>(快检)产品检验项目</w:t>
      </w:r>
    </w:p>
    <w:p w14:paraId="231DCE6B">
      <w:pPr>
        <w:spacing w:line="92" w:lineRule="exact"/>
        <w:rPr>
          <w:rFonts w:hint="eastAsia" w:ascii="仿宋" w:hAnsi="仿宋" w:eastAsia="仿宋" w:cs="仿宋"/>
          <w:sz w:val="28"/>
          <w:szCs w:val="28"/>
        </w:rPr>
      </w:pPr>
    </w:p>
    <w:tbl>
      <w:tblPr>
        <w:tblStyle w:val="5"/>
        <w:tblW w:w="8400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37"/>
        <w:gridCol w:w="3901"/>
        <w:gridCol w:w="3262"/>
      </w:tblGrid>
      <w:tr w14:paraId="6243195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9" w:hRule="atLeast"/>
        </w:trPr>
        <w:tc>
          <w:tcPr>
            <w:tcW w:w="1237" w:type="dxa"/>
            <w:vAlign w:val="top"/>
          </w:tcPr>
          <w:p w14:paraId="1FBBB6B5">
            <w:pPr>
              <w:pStyle w:val="6"/>
              <w:spacing w:before="275" w:line="229" w:lineRule="auto"/>
              <w:ind w:left="412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pacing w:val="5"/>
                <w:sz w:val="28"/>
                <w:szCs w:val="28"/>
              </w:rPr>
              <w:t>序号</w:t>
            </w:r>
          </w:p>
        </w:tc>
        <w:tc>
          <w:tcPr>
            <w:tcW w:w="3901" w:type="dxa"/>
            <w:vAlign w:val="top"/>
          </w:tcPr>
          <w:p w14:paraId="05A06C03">
            <w:pPr>
              <w:pStyle w:val="6"/>
              <w:spacing w:before="274" w:line="228" w:lineRule="auto"/>
              <w:ind w:left="1765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pacing w:val="7"/>
                <w:sz w:val="28"/>
                <w:szCs w:val="28"/>
              </w:rPr>
              <w:t>检验项目</w:t>
            </w:r>
          </w:p>
        </w:tc>
        <w:tc>
          <w:tcPr>
            <w:tcW w:w="3262" w:type="dxa"/>
            <w:vAlign w:val="top"/>
          </w:tcPr>
          <w:p w14:paraId="778FBD89">
            <w:pPr>
              <w:pStyle w:val="6"/>
              <w:spacing w:before="274" w:line="228" w:lineRule="auto"/>
              <w:ind w:left="985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pacing w:val="7"/>
                <w:sz w:val="28"/>
                <w:szCs w:val="28"/>
              </w:rPr>
              <w:t>检测方法</w:t>
            </w:r>
          </w:p>
        </w:tc>
      </w:tr>
      <w:tr w14:paraId="3E4AC6B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3" w:hRule="atLeast"/>
        </w:trPr>
        <w:tc>
          <w:tcPr>
            <w:tcW w:w="1237" w:type="dxa"/>
            <w:vAlign w:val="top"/>
          </w:tcPr>
          <w:p w14:paraId="0FE37C14">
            <w:pPr>
              <w:pStyle w:val="6"/>
              <w:spacing w:before="259" w:line="189" w:lineRule="auto"/>
              <w:ind w:left="586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1</w:t>
            </w:r>
          </w:p>
        </w:tc>
        <w:tc>
          <w:tcPr>
            <w:tcW w:w="3901" w:type="dxa"/>
            <w:vAlign w:val="center"/>
          </w:tcPr>
          <w:p w14:paraId="6E381860">
            <w:pPr>
              <w:pStyle w:val="6"/>
              <w:spacing w:before="226" w:line="227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spacing w:val="9"/>
                <w:sz w:val="28"/>
                <w:szCs w:val="28"/>
                <w:lang w:val="en-US" w:eastAsia="zh-CN"/>
              </w:rPr>
              <w:t>尿素含量</w:t>
            </w:r>
            <w:bookmarkStart w:id="0" w:name="_GoBack"/>
            <w:bookmarkEnd w:id="0"/>
          </w:p>
        </w:tc>
        <w:tc>
          <w:tcPr>
            <w:tcW w:w="3262" w:type="dxa"/>
            <w:vAlign w:val="center"/>
          </w:tcPr>
          <w:p w14:paraId="23916372">
            <w:pPr>
              <w:pStyle w:val="6"/>
              <w:spacing w:before="226" w:line="233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ISO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22241-2:2019 或 T/SDAQI 064</w:t>
            </w:r>
          </w:p>
        </w:tc>
      </w:tr>
      <w:tr w14:paraId="11102C5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0" w:hRule="atLeast"/>
        </w:trPr>
        <w:tc>
          <w:tcPr>
            <w:tcW w:w="1237" w:type="dxa"/>
            <w:vAlign w:val="top"/>
          </w:tcPr>
          <w:p w14:paraId="55BA174D">
            <w:pPr>
              <w:pStyle w:val="6"/>
              <w:spacing w:before="200" w:line="189" w:lineRule="auto"/>
              <w:ind w:left="573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2</w:t>
            </w:r>
          </w:p>
        </w:tc>
        <w:tc>
          <w:tcPr>
            <w:tcW w:w="3901" w:type="dxa"/>
            <w:vAlign w:val="center"/>
          </w:tcPr>
          <w:p w14:paraId="1EDAEDBF">
            <w:pPr>
              <w:pStyle w:val="6"/>
              <w:spacing w:before="167" w:line="228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spacing w:val="7"/>
                <w:sz w:val="28"/>
                <w:szCs w:val="28"/>
                <w:lang w:val="en-US" w:eastAsia="zh-CN"/>
              </w:rPr>
              <w:t>密度</w:t>
            </w:r>
          </w:p>
        </w:tc>
        <w:tc>
          <w:tcPr>
            <w:tcW w:w="3262" w:type="dxa"/>
            <w:vAlign w:val="center"/>
          </w:tcPr>
          <w:p w14:paraId="4AB7178C">
            <w:pPr>
              <w:pStyle w:val="6"/>
              <w:spacing w:before="32" w:line="234" w:lineRule="auto"/>
              <w:ind w:right="743"/>
              <w:jc w:val="center"/>
              <w:rPr>
                <w:rFonts w:hint="default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 xml:space="preserve">     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SH</w:t>
            </w:r>
            <w:r>
              <w:rPr>
                <w:rFonts w:hint="eastAsia" w:ascii="仿宋" w:hAnsi="仿宋" w:eastAsia="仿宋" w:cs="仿宋"/>
                <w:spacing w:val="3"/>
                <w:sz w:val="28"/>
                <w:szCs w:val="28"/>
              </w:rPr>
              <w:t>/T</w:t>
            </w:r>
            <w:r>
              <w:rPr>
                <w:rFonts w:hint="eastAsia" w:ascii="仿宋" w:hAnsi="仿宋" w:eastAsia="仿宋" w:cs="仿宋"/>
                <w:spacing w:val="16"/>
                <w:sz w:val="28"/>
                <w:szCs w:val="28"/>
              </w:rPr>
              <w:t xml:space="preserve"> </w:t>
            </w:r>
            <w:r>
              <w:rPr>
                <w:rFonts w:hint="eastAsia" w:ascii="仿宋" w:hAnsi="仿宋" w:eastAsia="仿宋" w:cs="仿宋"/>
                <w:spacing w:val="3"/>
                <w:sz w:val="28"/>
                <w:szCs w:val="28"/>
              </w:rPr>
              <w:t>06</w:t>
            </w:r>
            <w:r>
              <w:rPr>
                <w:rFonts w:hint="eastAsia" w:ascii="仿宋" w:hAnsi="仿宋" w:eastAsia="仿宋" w:cs="仿宋"/>
                <w:spacing w:val="3"/>
                <w:sz w:val="28"/>
                <w:szCs w:val="28"/>
                <w:lang w:val="en-US" w:eastAsia="zh-CN"/>
              </w:rPr>
              <w:t>04</w:t>
            </w:r>
          </w:p>
        </w:tc>
      </w:tr>
      <w:tr w14:paraId="73BFF6C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0" w:hRule="atLeast"/>
        </w:trPr>
        <w:tc>
          <w:tcPr>
            <w:tcW w:w="1237" w:type="dxa"/>
            <w:vAlign w:val="top"/>
          </w:tcPr>
          <w:p w14:paraId="76372377">
            <w:pPr>
              <w:pStyle w:val="6"/>
              <w:spacing w:before="217" w:line="189" w:lineRule="auto"/>
              <w:ind w:left="575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3</w:t>
            </w:r>
          </w:p>
        </w:tc>
        <w:tc>
          <w:tcPr>
            <w:tcW w:w="3901" w:type="dxa"/>
            <w:vAlign w:val="center"/>
          </w:tcPr>
          <w:p w14:paraId="43904B4F">
            <w:pPr>
              <w:pStyle w:val="6"/>
              <w:spacing w:before="184" w:line="227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折光率</w:t>
            </w:r>
          </w:p>
        </w:tc>
        <w:tc>
          <w:tcPr>
            <w:tcW w:w="3262" w:type="dxa"/>
            <w:vAlign w:val="center"/>
          </w:tcPr>
          <w:p w14:paraId="4052CE34">
            <w:pPr>
              <w:pStyle w:val="6"/>
              <w:spacing w:before="183" w:line="233" w:lineRule="auto"/>
              <w:jc w:val="center"/>
              <w:rPr>
                <w:rFonts w:hint="default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GB/T 614</w:t>
            </w:r>
          </w:p>
        </w:tc>
      </w:tr>
      <w:tr w14:paraId="7B71D04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2" w:hRule="atLeast"/>
        </w:trPr>
        <w:tc>
          <w:tcPr>
            <w:tcW w:w="1237" w:type="dxa"/>
            <w:vAlign w:val="top"/>
          </w:tcPr>
          <w:p w14:paraId="2D0EBBF1">
            <w:pPr>
              <w:pStyle w:val="6"/>
              <w:spacing w:before="207" w:line="189" w:lineRule="auto"/>
              <w:ind w:left="570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4</w:t>
            </w:r>
          </w:p>
        </w:tc>
        <w:tc>
          <w:tcPr>
            <w:tcW w:w="3901" w:type="dxa"/>
            <w:vAlign w:val="top"/>
          </w:tcPr>
          <w:p w14:paraId="45176859">
            <w:pPr>
              <w:pStyle w:val="6"/>
              <w:spacing w:before="174" w:line="228" w:lineRule="auto"/>
              <w:jc w:val="center"/>
              <w:rPr>
                <w:rFonts w:hint="default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碱度</w:t>
            </w:r>
          </w:p>
        </w:tc>
        <w:tc>
          <w:tcPr>
            <w:tcW w:w="3262" w:type="dxa"/>
            <w:vAlign w:val="top"/>
          </w:tcPr>
          <w:p w14:paraId="561C3E7C">
            <w:pPr>
              <w:pStyle w:val="6"/>
              <w:spacing w:before="174" w:line="233" w:lineRule="auto"/>
              <w:jc w:val="center"/>
              <w:rPr>
                <w:rFonts w:hint="default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DB37/T 4118</w:t>
            </w:r>
          </w:p>
        </w:tc>
      </w:tr>
      <w:tr w14:paraId="6277419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9" w:hRule="atLeast"/>
        </w:trPr>
        <w:tc>
          <w:tcPr>
            <w:tcW w:w="1237" w:type="dxa"/>
            <w:vAlign w:val="top"/>
          </w:tcPr>
          <w:p w14:paraId="67CAB3AF">
            <w:pPr>
              <w:pStyle w:val="6"/>
              <w:spacing w:before="214" w:line="187" w:lineRule="auto"/>
              <w:ind w:left="575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5</w:t>
            </w:r>
          </w:p>
        </w:tc>
        <w:tc>
          <w:tcPr>
            <w:tcW w:w="3901" w:type="dxa"/>
            <w:vAlign w:val="top"/>
          </w:tcPr>
          <w:p w14:paraId="0742D018">
            <w:pPr>
              <w:pStyle w:val="6"/>
              <w:spacing w:before="179" w:line="228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缩二脲</w:t>
            </w:r>
          </w:p>
        </w:tc>
        <w:tc>
          <w:tcPr>
            <w:tcW w:w="3262" w:type="dxa"/>
            <w:vAlign w:val="top"/>
          </w:tcPr>
          <w:p w14:paraId="5DF2F3C8">
            <w:pPr>
              <w:pStyle w:val="6"/>
              <w:spacing w:before="179" w:line="233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DB37/T 4118</w:t>
            </w:r>
          </w:p>
        </w:tc>
      </w:tr>
      <w:tr w14:paraId="463F745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0" w:hRule="atLeast"/>
        </w:trPr>
        <w:tc>
          <w:tcPr>
            <w:tcW w:w="1237" w:type="dxa"/>
            <w:vAlign w:val="top"/>
          </w:tcPr>
          <w:p w14:paraId="24690B51">
            <w:pPr>
              <w:pStyle w:val="6"/>
              <w:spacing w:before="271" w:line="189" w:lineRule="auto"/>
              <w:ind w:left="573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6</w:t>
            </w:r>
          </w:p>
        </w:tc>
        <w:tc>
          <w:tcPr>
            <w:tcW w:w="3901" w:type="dxa"/>
            <w:vAlign w:val="top"/>
          </w:tcPr>
          <w:p w14:paraId="1154D117">
            <w:pPr>
              <w:pStyle w:val="6"/>
              <w:spacing w:before="238" w:line="227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醛类</w:t>
            </w:r>
          </w:p>
        </w:tc>
        <w:tc>
          <w:tcPr>
            <w:tcW w:w="3262" w:type="dxa"/>
            <w:vAlign w:val="top"/>
          </w:tcPr>
          <w:p w14:paraId="5AB3B8BD">
            <w:pPr>
              <w:pStyle w:val="6"/>
              <w:spacing w:before="238" w:line="233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DB37/T 4118</w:t>
            </w:r>
          </w:p>
        </w:tc>
      </w:tr>
    </w:tbl>
    <w:p w14:paraId="0596296E">
      <w:pPr>
        <w:pStyle w:val="2"/>
        <w:spacing w:before="187" w:line="362" w:lineRule="auto"/>
        <w:ind w:left="123" w:right="58" w:firstLine="420"/>
        <w:rPr>
          <w:rFonts w:hint="eastAsia" w:ascii="仿宋" w:hAnsi="仿宋" w:eastAsia="仿宋" w:cs="仿宋"/>
          <w:spacing w:val="9"/>
          <w:sz w:val="28"/>
          <w:szCs w:val="28"/>
        </w:rPr>
      </w:pPr>
      <w:r>
        <w:rPr>
          <w:rFonts w:hint="eastAsia" w:ascii="仿宋" w:hAnsi="仿宋" w:eastAsia="仿宋" w:cs="仿宋"/>
          <w:spacing w:val="9"/>
          <w:sz w:val="28"/>
          <w:szCs w:val="28"/>
        </w:rPr>
        <w:t>注：上表所列检验项目是有关法律法规、标准等规定的，重点涉及</w:t>
      </w:r>
      <w:r>
        <w:rPr>
          <w:rFonts w:hint="eastAsia" w:ascii="仿宋" w:hAnsi="仿宋" w:eastAsia="仿宋" w:cs="仿宋"/>
          <w:spacing w:val="8"/>
          <w:sz w:val="28"/>
          <w:szCs w:val="28"/>
        </w:rPr>
        <w:t>健康、安全、节能、</w:t>
      </w:r>
      <w:r>
        <w:rPr>
          <w:rFonts w:hint="eastAsia" w:ascii="仿宋" w:hAnsi="仿宋" w:eastAsia="仿宋" w:cs="仿宋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9"/>
          <w:sz w:val="28"/>
          <w:szCs w:val="28"/>
        </w:rPr>
        <w:t>环保以及消费者、有关组织反映有质量问题的重要项目。</w:t>
      </w:r>
    </w:p>
    <w:p w14:paraId="515476A0">
      <w:pPr>
        <w:pStyle w:val="2"/>
        <w:spacing w:before="187" w:line="362" w:lineRule="auto"/>
        <w:ind w:left="123" w:right="58" w:firstLine="420"/>
        <w:rPr>
          <w:rFonts w:hint="default" w:ascii="仿宋" w:hAnsi="仿宋" w:eastAsia="仿宋" w:cs="仿宋"/>
          <w:spacing w:val="9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pacing w:val="9"/>
          <w:sz w:val="28"/>
          <w:szCs w:val="28"/>
          <w:lang w:val="en-US" w:eastAsia="zh-CN"/>
        </w:rPr>
        <w:t>凡是注日期的文件，</w:t>
      </w:r>
      <w:r>
        <w:rPr>
          <w:rFonts w:hint="eastAsia" w:ascii="仿宋" w:hAnsi="仿宋" w:eastAsia="仿宋" w:cs="仿宋"/>
          <w:spacing w:val="7"/>
          <w:sz w:val="28"/>
          <w:szCs w:val="28"/>
        </w:rPr>
        <w:t>其随后所有的修改单（不包括勘误</w:t>
      </w:r>
      <w:r>
        <w:rPr>
          <w:rFonts w:hint="eastAsia" w:ascii="仿宋" w:hAnsi="仿宋" w:eastAsia="仿宋" w:cs="仿宋"/>
          <w:spacing w:val="7"/>
          <w:sz w:val="28"/>
          <w:szCs w:val="28"/>
          <w:lang w:eastAsia="zh-CN"/>
        </w:rPr>
        <w:t>的</w:t>
      </w:r>
      <w:r>
        <w:rPr>
          <w:rFonts w:hint="eastAsia" w:ascii="仿宋" w:hAnsi="仿宋" w:eastAsia="仿宋" w:cs="仿宋"/>
          <w:spacing w:val="7"/>
          <w:sz w:val="28"/>
          <w:szCs w:val="28"/>
          <w:lang w:val="en-US" w:eastAsia="zh-CN"/>
        </w:rPr>
        <w:t>内容）或修订版不适用于本细则，</w:t>
      </w:r>
      <w:r>
        <w:rPr>
          <w:rFonts w:hint="eastAsia" w:ascii="仿宋" w:hAnsi="仿宋" w:eastAsia="仿宋" w:cs="仿宋"/>
          <w:spacing w:val="9"/>
          <w:sz w:val="28"/>
          <w:szCs w:val="28"/>
        </w:rPr>
        <w:t>凡是不注日期的文件，其最新版</w:t>
      </w:r>
      <w:r>
        <w:rPr>
          <w:rFonts w:hint="eastAsia" w:ascii="仿宋" w:hAnsi="仿宋" w:eastAsia="仿宋" w:cs="仿宋"/>
          <w:spacing w:val="9"/>
          <w:sz w:val="28"/>
          <w:szCs w:val="28"/>
          <w:lang w:val="en-US" w:eastAsia="zh-CN"/>
        </w:rPr>
        <w:t>本适用于本细则。</w:t>
      </w:r>
    </w:p>
    <w:p w14:paraId="0C6DFA39">
      <w:pPr>
        <w:pStyle w:val="2"/>
        <w:spacing w:before="42" w:line="228" w:lineRule="auto"/>
        <w:ind w:left="26"/>
        <w:outlineLvl w:val="1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pacing w:val="3"/>
          <w:sz w:val="28"/>
          <w:szCs w:val="28"/>
        </w:rPr>
        <w:t>3</w:t>
      </w:r>
      <w:r>
        <w:rPr>
          <w:rFonts w:hint="eastAsia" w:ascii="仿宋" w:hAnsi="仿宋" w:eastAsia="仿宋" w:cs="仿宋"/>
          <w:spacing w:val="10"/>
          <w:sz w:val="28"/>
          <w:szCs w:val="28"/>
        </w:rPr>
        <w:t xml:space="preserve">  </w:t>
      </w:r>
      <w:r>
        <w:rPr>
          <w:rFonts w:hint="eastAsia" w:ascii="仿宋" w:hAnsi="仿宋" w:eastAsia="仿宋" w:cs="仿宋"/>
          <w:b/>
          <w:bCs/>
          <w:spacing w:val="3"/>
          <w:sz w:val="28"/>
          <w:szCs w:val="28"/>
        </w:rPr>
        <w:t>判定规则</w:t>
      </w:r>
    </w:p>
    <w:p w14:paraId="41F4CB0B">
      <w:pPr>
        <w:pStyle w:val="2"/>
        <w:spacing w:before="160" w:line="227" w:lineRule="auto"/>
        <w:ind w:left="26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4"/>
          <w:sz w:val="28"/>
          <w:szCs w:val="28"/>
        </w:rPr>
        <w:t>3.1</w:t>
      </w:r>
      <w:r>
        <w:rPr>
          <w:rFonts w:hint="eastAsia" w:ascii="仿宋" w:hAnsi="仿宋" w:eastAsia="仿宋" w:cs="仿宋"/>
          <w:spacing w:val="-37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4"/>
          <w:sz w:val="28"/>
          <w:szCs w:val="28"/>
        </w:rPr>
        <w:t>标准依据</w:t>
      </w:r>
    </w:p>
    <w:p w14:paraId="51AF4B2D">
      <w:pPr>
        <w:pStyle w:val="2"/>
        <w:spacing w:before="164" w:line="228" w:lineRule="auto"/>
        <w:ind w:left="438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GB 29518 柴油发动机氮氧化物还原剂 尿素水溶液（AUS 32）</w:t>
      </w:r>
    </w:p>
    <w:p w14:paraId="33020F21">
      <w:pPr>
        <w:pStyle w:val="2"/>
        <w:spacing w:before="161" w:line="228" w:lineRule="auto"/>
        <w:ind w:left="438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</w:rPr>
        <w:t>DB</w:t>
      </w:r>
      <w:r>
        <w:rPr>
          <w:rFonts w:hint="eastAsia" w:ascii="仿宋" w:hAnsi="仿宋" w:eastAsia="仿宋" w:cs="仿宋"/>
          <w:spacing w:val="7"/>
          <w:sz w:val="28"/>
          <w:szCs w:val="28"/>
        </w:rPr>
        <w:t xml:space="preserve">37/T </w:t>
      </w:r>
      <w:r>
        <w:rPr>
          <w:rFonts w:hint="eastAsia" w:ascii="仿宋" w:hAnsi="仿宋" w:eastAsia="仿宋" w:cs="仿宋"/>
          <w:spacing w:val="7"/>
          <w:sz w:val="28"/>
          <w:szCs w:val="28"/>
          <w:lang w:val="en-US" w:eastAsia="zh-CN"/>
        </w:rPr>
        <w:t>4119</w:t>
      </w:r>
      <w:r>
        <w:rPr>
          <w:rFonts w:hint="eastAsia" w:ascii="仿宋" w:hAnsi="仿宋" w:eastAsia="仿宋" w:cs="仿宋"/>
          <w:spacing w:val="7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柴油发动机氮氧化物还原剂 尿素水溶液（AUS 32）快</w:t>
      </w:r>
    </w:p>
    <w:p w14:paraId="3070EBBC">
      <w:pPr>
        <w:pStyle w:val="2"/>
        <w:spacing w:before="161" w:line="228" w:lineRule="auto"/>
        <w:ind w:left="438"/>
        <w:rPr>
          <w:rFonts w:hint="eastAsia" w:ascii="仿宋" w:hAnsi="仿宋" w:eastAsia="仿宋" w:cs="仿宋"/>
          <w:sz w:val="28"/>
          <w:szCs w:val="28"/>
          <w:lang w:val="en-US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速筛查技术规范</w:t>
      </w:r>
    </w:p>
    <w:p w14:paraId="300C902F">
      <w:pPr>
        <w:pStyle w:val="2"/>
        <w:spacing w:before="161" w:line="227" w:lineRule="auto"/>
        <w:ind w:left="442"/>
        <w:rPr>
          <w:rFonts w:hint="eastAsia" w:ascii="仿宋" w:hAnsi="仿宋" w:eastAsia="仿宋" w:cs="仿宋"/>
          <w:spacing w:val="9"/>
          <w:sz w:val="28"/>
          <w:szCs w:val="28"/>
        </w:rPr>
      </w:pPr>
      <w:r>
        <w:rPr>
          <w:rFonts w:hint="eastAsia" w:ascii="仿宋" w:hAnsi="仿宋" w:eastAsia="仿宋" w:cs="仿宋"/>
          <w:spacing w:val="9"/>
          <w:sz w:val="28"/>
          <w:szCs w:val="28"/>
        </w:rPr>
        <w:t>相关的法律、行政法规、部门规章、规范性文件</w:t>
      </w:r>
    </w:p>
    <w:p w14:paraId="56889174">
      <w:pPr>
        <w:pStyle w:val="2"/>
        <w:spacing w:before="161" w:line="227" w:lineRule="auto"/>
        <w:ind w:left="442"/>
        <w:rPr>
          <w:rFonts w:hint="eastAsia" w:ascii="仿宋" w:hAnsi="仿宋" w:eastAsia="仿宋" w:cs="仿宋"/>
          <w:spacing w:val="9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pacing w:val="9"/>
          <w:sz w:val="28"/>
          <w:szCs w:val="28"/>
          <w:lang w:val="en-US" w:eastAsia="zh-CN"/>
        </w:rPr>
        <w:t>现行有效的企业标准、团体标准、地方标准及产品明示质量要求</w:t>
      </w:r>
    </w:p>
    <w:p w14:paraId="277042FF">
      <w:pPr>
        <w:pStyle w:val="2"/>
        <w:spacing w:before="165" w:line="362" w:lineRule="auto"/>
        <w:ind w:right="2065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4"/>
          <w:sz w:val="28"/>
          <w:szCs w:val="28"/>
        </w:rPr>
        <w:t>3.2</w:t>
      </w:r>
      <w:r>
        <w:rPr>
          <w:rFonts w:hint="eastAsia" w:ascii="仿宋" w:hAnsi="仿宋" w:eastAsia="仿宋" w:cs="仿宋"/>
          <w:spacing w:val="-37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4"/>
          <w:sz w:val="28"/>
          <w:szCs w:val="28"/>
        </w:rPr>
        <w:t>判定原则</w:t>
      </w:r>
    </w:p>
    <w:p w14:paraId="21F27ED2">
      <w:pPr>
        <w:pStyle w:val="2"/>
        <w:spacing w:before="31" w:line="362" w:lineRule="auto"/>
        <w:ind w:left="25" w:firstLine="415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7"/>
          <w:sz w:val="28"/>
          <w:szCs w:val="28"/>
        </w:rPr>
        <w:t>经检验，快速筛查项目全部符合，判定为被抽查产品所检项目未发现不合格；快速筛查</w:t>
      </w:r>
      <w:r>
        <w:rPr>
          <w:rFonts w:hint="eastAsia" w:ascii="仿宋" w:hAnsi="仿宋" w:eastAsia="仿宋" w:cs="仿宋"/>
          <w:spacing w:val="9"/>
          <w:sz w:val="28"/>
          <w:szCs w:val="28"/>
        </w:rPr>
        <w:t>项目中任一项或一项以上结果可疑，</w:t>
      </w:r>
      <w:r>
        <w:rPr>
          <w:rFonts w:hint="eastAsia" w:ascii="仿宋" w:hAnsi="仿宋" w:eastAsia="仿宋" w:cs="仿宋"/>
          <w:spacing w:val="9"/>
          <w:sz w:val="28"/>
          <w:szCs w:val="28"/>
          <w:lang w:val="en-US" w:eastAsia="zh-CN"/>
        </w:rPr>
        <w:t>尽快返回承检单位实验室进入常规检验流程</w:t>
      </w:r>
      <w:r>
        <w:rPr>
          <w:rFonts w:hint="eastAsia" w:ascii="仿宋" w:hAnsi="仿宋" w:eastAsia="仿宋" w:cs="仿宋"/>
          <w:spacing w:val="8"/>
          <w:sz w:val="28"/>
          <w:szCs w:val="28"/>
        </w:rPr>
        <w:t>。</w:t>
      </w:r>
    </w:p>
    <w:sectPr>
      <w:footerReference r:id="rId5" w:type="default"/>
      <w:pgSz w:w="11906" w:h="16839"/>
      <w:pgMar w:top="1417" w:right="1417" w:bottom="1417" w:left="1417" w:header="0" w:footer="1212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527F184">
    <w:pPr>
      <w:spacing w:line="169" w:lineRule="auto"/>
      <w:ind w:left="4129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sz w:val="18"/>
        <w:szCs w:val="18"/>
      </w:rPr>
      <w:t>3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docVars>
    <w:docVar w:name="commondata" w:val="eyJoZGlkIjoiZDJkMjAyOWJhNTI3NzY2MjM5ZTE2OGE4ZTQyZDE1ZGYifQ=="/>
  </w:docVars>
  <w:rsids>
    <w:rsidRoot w:val="00000000"/>
    <w:rsid w:val="26435B6E"/>
    <w:rsid w:val="2E0807D5"/>
    <w:rsid w:val="376F69DB"/>
    <w:rsid w:val="420A1D5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宋体" w:hAnsi="宋体" w:eastAsia="宋体" w:cs="宋体"/>
      <w:sz w:val="20"/>
      <w:szCs w:val="20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6">
    <w:name w:val="Table Text"/>
    <w:basedOn w:val="1"/>
    <w:semiHidden/>
    <w:qFormat/>
    <w:uiPriority w:val="0"/>
    <w:rPr>
      <w:rFonts w:ascii="宋体" w:hAnsi="宋体" w:eastAsia="宋体" w:cs="宋体"/>
      <w:sz w:val="20"/>
      <w:szCs w:val="20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2</Pages>
  <Words>511</Words>
  <Characters>604</Characters>
  <TotalTime>2</TotalTime>
  <ScaleCrop>false</ScaleCrop>
  <LinksUpToDate>false</LinksUpToDate>
  <CharactersWithSpaces>639</CharactersWithSpaces>
  <Application>WPS Office_12.1.0.18276_F1E327BC-269C-435d-A152-05C5408002CA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2024-02-01T22:28:00Z</dcterms:created>
  <dc:creator>Windows 用户</dc:creator>
  <cp:lastModifiedBy>A</cp:lastModifiedBy>
  <dcterms:modified xsi:type="dcterms:W3CDTF">2024-09-26T02:07:48Z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wqlLaW5nc29mdCBQREYgdG8gV1BTIDEwMA</vt:lpwstr>
  </property>
  <property fmtid="{D5CDD505-2E9C-101B-9397-08002B2CF9AE}" pid="3" name="Created">
    <vt:filetime>2024-09-26T08:57:29Z</vt:filetime>
  </property>
  <property fmtid="{D5CDD505-2E9C-101B-9397-08002B2CF9AE}" pid="4" name="KSOProductBuildVer">
    <vt:lpwstr>2052-12.1.0.18276</vt:lpwstr>
  </property>
  <property fmtid="{D5CDD505-2E9C-101B-9397-08002B2CF9AE}" pid="5" name="ICV">
    <vt:lpwstr>25D254E25FB54F829D5BF9D6A4E6E23C_12</vt:lpwstr>
  </property>
</Properties>
</file>