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B04D6">
      <w:pPr>
        <w:jc w:val="left"/>
        <w:rPr>
          <w:rFonts w:hint="eastAsia" w:ascii="黑体" w:hAnsi="黑体" w:eastAsia="黑体" w:cs="楷体_GB2312"/>
          <w:sz w:val="32"/>
          <w:szCs w:val="32"/>
        </w:rPr>
      </w:pPr>
    </w:p>
    <w:p w14:paraId="0E2621D4">
      <w:pPr>
        <w:contextualSpacing/>
        <w:jc w:val="center"/>
        <w:rPr>
          <w:rFonts w:hint="eastAsia" w:ascii="文星标宋" w:hAnsi="黑体" w:eastAsia="方正小标宋简体" w:cs="黑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2024年民生实事项目进展情况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（四季度）</w:t>
      </w:r>
    </w:p>
    <w:bookmarkEnd w:id="0"/>
    <w:tbl>
      <w:tblPr>
        <w:tblStyle w:val="10"/>
        <w:tblW w:w="132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665"/>
        <w:gridCol w:w="7355"/>
        <w:gridCol w:w="1015"/>
        <w:gridCol w:w="1515"/>
      </w:tblGrid>
      <w:tr w14:paraId="08E78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tblHeader/>
          <w:jc w:val="center"/>
        </w:trPr>
        <w:tc>
          <w:tcPr>
            <w:tcW w:w="720" w:type="dxa"/>
            <w:noWrap w:val="0"/>
            <w:vAlign w:val="center"/>
          </w:tcPr>
          <w:p w14:paraId="340DA9DD">
            <w:pPr>
              <w:overflowPunct w:val="0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序号</w:t>
            </w:r>
          </w:p>
        </w:tc>
        <w:tc>
          <w:tcPr>
            <w:tcW w:w="2665" w:type="dxa"/>
            <w:noWrap w:val="0"/>
            <w:vAlign w:val="center"/>
          </w:tcPr>
          <w:p w14:paraId="1F53DC43">
            <w:pPr>
              <w:overflowPunct w:val="0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任务目标</w:t>
            </w:r>
          </w:p>
        </w:tc>
        <w:tc>
          <w:tcPr>
            <w:tcW w:w="7355" w:type="dxa"/>
            <w:noWrap w:val="0"/>
            <w:vAlign w:val="center"/>
          </w:tcPr>
          <w:p w14:paraId="16AF28BF">
            <w:pPr>
              <w:overflowPunct w:val="0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进展情况</w:t>
            </w:r>
          </w:p>
        </w:tc>
        <w:tc>
          <w:tcPr>
            <w:tcW w:w="1015" w:type="dxa"/>
            <w:noWrap w:val="0"/>
            <w:vAlign w:val="center"/>
          </w:tcPr>
          <w:p w14:paraId="11B6FEB7">
            <w:pPr>
              <w:overflowPunct w:val="0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完成率（%）</w:t>
            </w:r>
          </w:p>
        </w:tc>
        <w:tc>
          <w:tcPr>
            <w:tcW w:w="1515" w:type="dxa"/>
            <w:noWrap w:val="0"/>
            <w:vAlign w:val="center"/>
          </w:tcPr>
          <w:p w14:paraId="721BAA26">
            <w:pPr>
              <w:overflowPunct w:val="0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责任单位</w:t>
            </w:r>
          </w:p>
        </w:tc>
      </w:tr>
      <w:tr w14:paraId="02F3D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  <w:jc w:val="center"/>
        </w:trPr>
        <w:tc>
          <w:tcPr>
            <w:tcW w:w="720" w:type="dxa"/>
            <w:noWrap w:val="0"/>
            <w:vAlign w:val="center"/>
          </w:tcPr>
          <w:p w14:paraId="664E23F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baseline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1</w:t>
            </w:r>
          </w:p>
        </w:tc>
        <w:tc>
          <w:tcPr>
            <w:tcW w:w="2665" w:type="dxa"/>
            <w:noWrap w:val="0"/>
            <w:vAlign w:val="center"/>
          </w:tcPr>
          <w:p w14:paraId="62D22CE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420" w:firstLineChars="200"/>
              <w:textAlignment w:val="baseline"/>
              <w:rPr>
                <w:rFonts w:hint="eastAsia" w:ascii="宋体" w:hAnsi="宋体" w:cs="仿宋_GB2312"/>
                <w:color w:val="auto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szCs w:val="21"/>
              </w:rPr>
              <w:t>实施便民停车工程。整合企事业单位、老旧小区、道路两侧等资源，通过新建、改造、共享等方式，增加不低于900个停车泊位。</w:t>
            </w:r>
          </w:p>
        </w:tc>
        <w:tc>
          <w:tcPr>
            <w:tcW w:w="7355" w:type="dxa"/>
            <w:noWrap w:val="0"/>
            <w:vAlign w:val="center"/>
          </w:tcPr>
          <w:p w14:paraId="14FDAF3E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420" w:firstLineChars="200"/>
              <w:textAlignment w:val="baseline"/>
              <w:rPr>
                <w:rFonts w:hint="eastAsia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auto"/>
                <w:sz w:val="21"/>
                <w:szCs w:val="21"/>
              </w:rPr>
              <w:t>通过新建停车场、路边施划停车位新增车位</w:t>
            </w:r>
            <w:r>
              <w:rPr>
                <w:rFonts w:hint="eastAsia" w:ascii="宋体" w:hAnsi="宋体" w:cs="仿宋_GB2312"/>
                <w:color w:val="auto"/>
                <w:sz w:val="21"/>
                <w:szCs w:val="21"/>
                <w:lang w:val="en-US" w:eastAsia="zh-CN"/>
              </w:rPr>
              <w:t>974</w:t>
            </w:r>
            <w:r>
              <w:rPr>
                <w:rFonts w:hint="eastAsia" w:ascii="宋体" w:hAnsi="宋体" w:cs="仿宋_GB2312"/>
                <w:color w:val="auto"/>
                <w:sz w:val="21"/>
                <w:szCs w:val="21"/>
              </w:rPr>
              <w:t>个</w:t>
            </w:r>
            <w:r>
              <w:rPr>
                <w:rFonts w:hint="eastAsia" w:ascii="宋体" w:hAnsi="宋体" w:cs="仿宋_GB2312"/>
                <w:color w:val="auto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015" w:type="dxa"/>
            <w:noWrap w:val="0"/>
            <w:vAlign w:val="center"/>
          </w:tcPr>
          <w:p w14:paraId="69778D8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baseline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 w:cs="仿宋_GB2312"/>
                <w:szCs w:val="21"/>
              </w:rPr>
              <w:t>%</w:t>
            </w:r>
          </w:p>
        </w:tc>
        <w:tc>
          <w:tcPr>
            <w:tcW w:w="1515" w:type="dxa"/>
            <w:noWrap w:val="0"/>
            <w:vAlign w:val="center"/>
          </w:tcPr>
          <w:p w14:paraId="536381E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baseline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区住建局</w:t>
            </w:r>
          </w:p>
          <w:p w14:paraId="10650ED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baseline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自然资源局</w:t>
            </w:r>
          </w:p>
          <w:p w14:paraId="564EEDC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baseline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城市管理局</w:t>
            </w:r>
          </w:p>
          <w:p w14:paraId="072FE46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baseline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交警大队</w:t>
            </w:r>
          </w:p>
          <w:p w14:paraId="52496D2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baseline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控股集团</w:t>
            </w:r>
          </w:p>
        </w:tc>
      </w:tr>
      <w:tr w14:paraId="388B2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0" w:type="dxa"/>
            <w:noWrap w:val="0"/>
            <w:vAlign w:val="center"/>
          </w:tcPr>
          <w:p w14:paraId="585FEED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baseline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2</w:t>
            </w:r>
          </w:p>
        </w:tc>
        <w:tc>
          <w:tcPr>
            <w:tcW w:w="2665" w:type="dxa"/>
            <w:noWrap w:val="0"/>
            <w:vAlign w:val="center"/>
          </w:tcPr>
          <w:p w14:paraId="1836033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420" w:firstLineChars="200"/>
              <w:textAlignment w:val="baseline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推动实现更高质量就业。开展“社区微业”行动计划，建设社区就业服务站10家，全年实现新增城镇就业6800人以上；深入推进高校毕业生就业；加强公益性岗位开发、管理和使用；开展培训进乡村活动，推行企业、劳动者“点单式”技能培训。</w:t>
            </w:r>
          </w:p>
        </w:tc>
        <w:tc>
          <w:tcPr>
            <w:tcW w:w="7355" w:type="dxa"/>
            <w:noWrap w:val="0"/>
            <w:vAlign w:val="center"/>
          </w:tcPr>
          <w:p w14:paraId="0298B59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420" w:firstLineChars="200"/>
              <w:textAlignment w:val="baseline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完成城镇新增就业7570人。枣园街道绣源北城社区、双山街道泉山社区等10个社区就业驿站已经全部建成。对全区在岗的12852名乡村公益岗做好动态调整及日常监管工作，落实在岗人员岗位补贴政策。联动交运、农业农村、乡村振兴、残联等部门开发乡村公岗1952个并实现全部上岗，实现城镇公岗上岗271人。开展电工、焊工线下技能培训188人，线上职业技能培训3239人。</w:t>
            </w:r>
          </w:p>
        </w:tc>
        <w:tc>
          <w:tcPr>
            <w:tcW w:w="1015" w:type="dxa"/>
            <w:noWrap w:val="0"/>
            <w:vAlign w:val="center"/>
          </w:tcPr>
          <w:p w14:paraId="00D34EA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baseline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100%</w:t>
            </w:r>
          </w:p>
        </w:tc>
        <w:tc>
          <w:tcPr>
            <w:tcW w:w="1515" w:type="dxa"/>
            <w:noWrap w:val="0"/>
            <w:vAlign w:val="center"/>
          </w:tcPr>
          <w:p w14:paraId="0CBE023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baseline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区人社局</w:t>
            </w:r>
          </w:p>
        </w:tc>
      </w:tr>
      <w:tr w14:paraId="5FCCB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720" w:type="dxa"/>
            <w:noWrap w:val="0"/>
            <w:vAlign w:val="center"/>
          </w:tcPr>
          <w:p w14:paraId="4345065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baseline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3</w:t>
            </w:r>
          </w:p>
        </w:tc>
        <w:tc>
          <w:tcPr>
            <w:tcW w:w="2665" w:type="dxa"/>
            <w:noWrap w:val="0"/>
            <w:vAlign w:val="center"/>
          </w:tcPr>
          <w:p w14:paraId="3DF1D29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420" w:firstLineChars="200"/>
              <w:textAlignment w:val="baseline"/>
              <w:rPr>
                <w:rFonts w:hint="eastAsia" w:ascii="宋体" w:hAnsi="宋体" w:cs="仿宋_GB2312"/>
                <w:color w:val="FF0000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筹集保障性租赁住房280套。</w:t>
            </w:r>
          </w:p>
        </w:tc>
        <w:tc>
          <w:tcPr>
            <w:tcW w:w="7355" w:type="dxa"/>
            <w:noWrap w:val="0"/>
            <w:vAlign w:val="center"/>
          </w:tcPr>
          <w:p w14:paraId="0731EBE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420" w:firstLineChars="200"/>
              <w:jc w:val="left"/>
              <w:textAlignment w:val="baseline"/>
              <w:rPr>
                <w:rFonts w:hint="eastAsia" w:ascii="宋体" w:hAnsi="宋体" w:cs="仿宋_GB2312"/>
                <w:color w:val="FF0000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  <w:lang w:eastAsia="zh-CN"/>
              </w:rPr>
              <w:t>筹集到产发先进装备智造港项目、明水古城配套服务设施项目共280套保障性租赁住房。</w:t>
            </w:r>
          </w:p>
        </w:tc>
        <w:tc>
          <w:tcPr>
            <w:tcW w:w="1015" w:type="dxa"/>
            <w:noWrap w:val="0"/>
            <w:vAlign w:val="center"/>
          </w:tcPr>
          <w:p w14:paraId="2E81920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baseline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仿宋_GB2312"/>
                <w:szCs w:val="21"/>
              </w:rPr>
              <w:t>0%</w:t>
            </w:r>
          </w:p>
        </w:tc>
        <w:tc>
          <w:tcPr>
            <w:tcW w:w="1515" w:type="dxa"/>
            <w:noWrap w:val="0"/>
            <w:vAlign w:val="center"/>
          </w:tcPr>
          <w:p w14:paraId="74F8611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baseline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区住建局</w:t>
            </w:r>
          </w:p>
        </w:tc>
      </w:tr>
      <w:tr w14:paraId="00C63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720" w:type="dxa"/>
            <w:noWrap w:val="0"/>
            <w:vAlign w:val="center"/>
          </w:tcPr>
          <w:p w14:paraId="45A3D71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baseline"/>
              <w:rPr>
                <w:rFonts w:hint="eastAsia" w:ascii="宋体" w:hAnsi="宋体" w:cs="仿宋_GB2312"/>
                <w:color w:val="auto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szCs w:val="21"/>
              </w:rPr>
              <w:t>4</w:t>
            </w:r>
          </w:p>
        </w:tc>
        <w:tc>
          <w:tcPr>
            <w:tcW w:w="2665" w:type="dxa"/>
            <w:noWrap w:val="0"/>
            <w:vAlign w:val="center"/>
          </w:tcPr>
          <w:p w14:paraId="462094E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420" w:firstLineChars="200"/>
              <w:textAlignment w:val="baseline"/>
              <w:rPr>
                <w:rFonts w:hint="eastAsia" w:ascii="宋体" w:hAnsi="宋体" w:cs="仿宋_GB2312"/>
                <w:color w:val="auto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szCs w:val="21"/>
              </w:rPr>
              <w:t>实施全域光储充检一体化综合能源项目。新增公用及专用充电终端800个。</w:t>
            </w:r>
          </w:p>
        </w:tc>
        <w:tc>
          <w:tcPr>
            <w:tcW w:w="7355" w:type="dxa"/>
            <w:noWrap w:val="0"/>
            <w:vAlign w:val="center"/>
          </w:tcPr>
          <w:p w14:paraId="278CEA2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420" w:firstLineChars="200"/>
              <w:textAlignment w:val="baseline"/>
              <w:rPr>
                <w:rFonts w:hint="eastAsia" w:ascii="宋体" w:hAnsi="宋体" w:cs="仿宋_GB2312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完成公用及专用充电终端800个，并全面投入使用，发挥效能。</w:t>
            </w:r>
          </w:p>
        </w:tc>
        <w:tc>
          <w:tcPr>
            <w:tcW w:w="1015" w:type="dxa"/>
            <w:noWrap w:val="0"/>
            <w:vAlign w:val="center"/>
          </w:tcPr>
          <w:p w14:paraId="61547A2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baseline"/>
              <w:rPr>
                <w:rFonts w:hint="eastAsia" w:ascii="宋体" w:hAnsi="宋体" w:cs="仿宋_GB2312"/>
                <w:color w:val="auto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仿宋_GB2312"/>
                <w:color w:val="auto"/>
                <w:szCs w:val="21"/>
              </w:rPr>
              <w:t>0%</w:t>
            </w:r>
          </w:p>
        </w:tc>
        <w:tc>
          <w:tcPr>
            <w:tcW w:w="1515" w:type="dxa"/>
            <w:noWrap w:val="0"/>
            <w:vAlign w:val="center"/>
          </w:tcPr>
          <w:p w14:paraId="7EF377F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baseline"/>
              <w:rPr>
                <w:rFonts w:hint="eastAsia" w:ascii="宋体" w:hAnsi="宋体" w:cs="仿宋_GB2312"/>
                <w:color w:val="auto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szCs w:val="21"/>
              </w:rPr>
              <w:t>区发改局</w:t>
            </w:r>
          </w:p>
          <w:p w14:paraId="0D78C47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baseline"/>
              <w:rPr>
                <w:rFonts w:hint="eastAsia" w:ascii="宋体" w:hAnsi="宋体" w:cs="仿宋_GB2312"/>
                <w:color w:val="auto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szCs w:val="21"/>
              </w:rPr>
              <w:t>产发集团</w:t>
            </w:r>
          </w:p>
        </w:tc>
      </w:tr>
      <w:tr w14:paraId="4636A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  <w:jc w:val="center"/>
        </w:trPr>
        <w:tc>
          <w:tcPr>
            <w:tcW w:w="720" w:type="dxa"/>
            <w:noWrap w:val="0"/>
            <w:vAlign w:val="center"/>
          </w:tcPr>
          <w:p w14:paraId="0787C33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baseline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5</w:t>
            </w:r>
          </w:p>
        </w:tc>
        <w:tc>
          <w:tcPr>
            <w:tcW w:w="2665" w:type="dxa"/>
            <w:noWrap w:val="0"/>
            <w:vAlign w:val="center"/>
          </w:tcPr>
          <w:p w14:paraId="6F6AD4C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420" w:firstLineChars="200"/>
              <w:textAlignment w:val="baseline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开展交通畅通工程。优化调整3条公交线路；推进“绿波城”建设，进一步优化城区及外围17条主要道路绿波信号配时参数，提升道路通行效率和市民出行舒适度。</w:t>
            </w:r>
          </w:p>
        </w:tc>
        <w:tc>
          <w:tcPr>
            <w:tcW w:w="7355" w:type="dxa"/>
            <w:noWrap w:val="0"/>
            <w:vAlign w:val="center"/>
          </w:tcPr>
          <w:p w14:paraId="42774C4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420" w:firstLineChars="200"/>
              <w:jc w:val="left"/>
              <w:textAlignment w:val="baseline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城乡交运局、产发集团于6月底全部完成103路、103路支线、12路支线、晚间1路的线路优化调整工作，群众出行更加便捷。公安分局完成4处交通堵点分析报告，2处路口4条路段交通堵点渠化改造设计；完成17条、179个路口单点优化，路口通行效率明显提升。</w:t>
            </w:r>
          </w:p>
        </w:tc>
        <w:tc>
          <w:tcPr>
            <w:tcW w:w="1015" w:type="dxa"/>
            <w:noWrap w:val="0"/>
            <w:vAlign w:val="center"/>
          </w:tcPr>
          <w:p w14:paraId="3E00BC2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baseline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100</w:t>
            </w:r>
            <w:r>
              <w:rPr>
                <w:rFonts w:ascii="宋体" w:hAnsi="宋体" w:cs="仿宋_GB2312"/>
                <w:szCs w:val="21"/>
              </w:rPr>
              <w:t>%</w:t>
            </w:r>
          </w:p>
        </w:tc>
        <w:tc>
          <w:tcPr>
            <w:tcW w:w="1515" w:type="dxa"/>
            <w:noWrap w:val="0"/>
            <w:vAlign w:val="center"/>
          </w:tcPr>
          <w:p w14:paraId="6983F17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baseline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区城乡交运局</w:t>
            </w:r>
          </w:p>
          <w:p w14:paraId="2F14C1E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baseline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区公安分局</w:t>
            </w:r>
          </w:p>
          <w:p w14:paraId="4DF8BC1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baseline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产发集团</w:t>
            </w:r>
          </w:p>
        </w:tc>
      </w:tr>
      <w:tr w14:paraId="2F5D3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720" w:type="dxa"/>
            <w:noWrap w:val="0"/>
            <w:vAlign w:val="center"/>
          </w:tcPr>
          <w:p w14:paraId="3AF502F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baseline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6</w:t>
            </w:r>
          </w:p>
        </w:tc>
        <w:tc>
          <w:tcPr>
            <w:tcW w:w="2665" w:type="dxa"/>
            <w:noWrap w:val="0"/>
            <w:vAlign w:val="center"/>
          </w:tcPr>
          <w:p w14:paraId="64543D1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420" w:firstLineChars="200"/>
              <w:textAlignment w:val="baseline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实施章丘黄河防洪安全提升项目。对章丘黄河河段7处、46段坝防洪工程进行续建改建。</w:t>
            </w:r>
          </w:p>
        </w:tc>
        <w:tc>
          <w:tcPr>
            <w:tcW w:w="7355" w:type="dxa"/>
            <w:noWrap w:val="0"/>
            <w:vAlign w:val="center"/>
          </w:tcPr>
          <w:p w14:paraId="2E3B93C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420" w:firstLineChars="200"/>
              <w:jc w:val="left"/>
              <w:textAlignment w:val="baseline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黄河下游十四五防洪工程章丘段涉及的蒋家控导、马家控导、河王控导、王家圈控导4处续建和蒋家控导、马家控导、王家圈控导3处改建共计46段坝已全部完工并投入使用，章丘黄河工程防洪能力进一步增强。</w:t>
            </w:r>
          </w:p>
        </w:tc>
        <w:tc>
          <w:tcPr>
            <w:tcW w:w="1015" w:type="dxa"/>
            <w:noWrap w:val="0"/>
            <w:vAlign w:val="center"/>
          </w:tcPr>
          <w:p w14:paraId="5A4F1D3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baseline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100%</w:t>
            </w:r>
          </w:p>
        </w:tc>
        <w:tc>
          <w:tcPr>
            <w:tcW w:w="1515" w:type="dxa"/>
            <w:noWrap w:val="0"/>
            <w:vAlign w:val="center"/>
          </w:tcPr>
          <w:p w14:paraId="401575A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baseline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黄河河务局</w:t>
            </w:r>
          </w:p>
          <w:p w14:paraId="311FCB8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baseline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区自然资源局</w:t>
            </w:r>
          </w:p>
          <w:p w14:paraId="5A660C1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baseline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黄河街道</w:t>
            </w:r>
          </w:p>
        </w:tc>
      </w:tr>
      <w:tr w14:paraId="1D0D2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  <w:jc w:val="center"/>
        </w:trPr>
        <w:tc>
          <w:tcPr>
            <w:tcW w:w="720" w:type="dxa"/>
            <w:noWrap w:val="0"/>
            <w:vAlign w:val="center"/>
          </w:tcPr>
          <w:p w14:paraId="03A827D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baseline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7</w:t>
            </w:r>
          </w:p>
        </w:tc>
        <w:tc>
          <w:tcPr>
            <w:tcW w:w="2665" w:type="dxa"/>
            <w:noWrap w:val="0"/>
            <w:vAlign w:val="center"/>
          </w:tcPr>
          <w:p w14:paraId="6F0CC04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420" w:firstLineChars="200"/>
              <w:textAlignment w:val="baseline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开展医药惠民工程。开展中医药三级服务体系建设，新建高品质国医堂；设置集采药品销售专柜的医保定点药店不少于200家，让群众用上质优价宜的集采药品。</w:t>
            </w:r>
          </w:p>
        </w:tc>
        <w:tc>
          <w:tcPr>
            <w:tcW w:w="7355" w:type="dxa"/>
            <w:noWrap w:val="0"/>
            <w:vAlign w:val="center"/>
          </w:tcPr>
          <w:p w14:paraId="07EFBE4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420" w:firstLineChars="200"/>
              <w:textAlignment w:val="baseline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卫健局完成中医药三级服务体系建设。区级层面，山水泉城北城国医堂、山东警察学院国医堂全面建成投入使用。街镇层面，20家镇街卫生院（社区卫生服务中心）建成开诊运行。村级层面，遴选100家村卫生室（社区卫生站）建设中医阁，全部投入运行。医保局在294家医保定点药店设置集采药品销售专柜，群众购药更加便捷。</w:t>
            </w:r>
          </w:p>
        </w:tc>
        <w:tc>
          <w:tcPr>
            <w:tcW w:w="1015" w:type="dxa"/>
            <w:noWrap w:val="0"/>
            <w:vAlign w:val="center"/>
          </w:tcPr>
          <w:p w14:paraId="5F96B90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baseline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 w:cs="仿宋_GB2312"/>
                <w:szCs w:val="21"/>
              </w:rPr>
              <w:t>%</w:t>
            </w:r>
          </w:p>
        </w:tc>
        <w:tc>
          <w:tcPr>
            <w:tcW w:w="1515" w:type="dxa"/>
            <w:noWrap w:val="0"/>
            <w:vAlign w:val="center"/>
          </w:tcPr>
          <w:p w14:paraId="573EB76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baseline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区卫健局</w:t>
            </w:r>
          </w:p>
          <w:p w14:paraId="3061069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baseline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区医保局</w:t>
            </w:r>
          </w:p>
        </w:tc>
      </w:tr>
      <w:tr w14:paraId="47CC8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720" w:type="dxa"/>
            <w:noWrap w:val="0"/>
            <w:vAlign w:val="center"/>
          </w:tcPr>
          <w:p w14:paraId="49F786B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baseline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8</w:t>
            </w:r>
          </w:p>
        </w:tc>
        <w:tc>
          <w:tcPr>
            <w:tcW w:w="2665" w:type="dxa"/>
            <w:noWrap w:val="0"/>
            <w:vAlign w:val="center"/>
          </w:tcPr>
          <w:p w14:paraId="2A1AED3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420" w:firstLineChars="200"/>
              <w:textAlignment w:val="baseline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开展文化惠民活动。组织百姓剧场、民星才艺大赛、广场舞大赛等文化活动200场次以上；举办乡村好时节活动。</w:t>
            </w:r>
          </w:p>
        </w:tc>
        <w:tc>
          <w:tcPr>
            <w:tcW w:w="7355" w:type="dxa"/>
            <w:noWrap w:val="0"/>
            <w:vAlign w:val="center"/>
          </w:tcPr>
          <w:p w14:paraId="1A71134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420" w:firstLineChars="200"/>
              <w:textAlignment w:val="baseline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开展文化惠民活动542场，惠及群众49.6万人。其中，区文化馆开展“我们的中国梦文化进万家”群众性小戏小剧巡演、“百姓剧场”“民星才艺大赛”、济南市章丘区第十三届广场健身舞大赛等文艺演出活动；围绕“乡村好时节·乐动生活”主题，相继指导举办了高官寨甜瓜季、白云湖生态文化旅游季、第六届过半年乡村振兴戏剧节等10余项活动。</w:t>
            </w:r>
          </w:p>
        </w:tc>
        <w:tc>
          <w:tcPr>
            <w:tcW w:w="1015" w:type="dxa"/>
            <w:noWrap w:val="0"/>
            <w:vAlign w:val="center"/>
          </w:tcPr>
          <w:p w14:paraId="6B8A735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baseline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100%</w:t>
            </w:r>
          </w:p>
        </w:tc>
        <w:tc>
          <w:tcPr>
            <w:tcW w:w="1515" w:type="dxa"/>
            <w:noWrap w:val="0"/>
            <w:vAlign w:val="center"/>
          </w:tcPr>
          <w:p w14:paraId="3F4E0A8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baseline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区文旅局</w:t>
            </w:r>
          </w:p>
        </w:tc>
      </w:tr>
      <w:tr w14:paraId="2E86E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  <w:jc w:val="center"/>
        </w:trPr>
        <w:tc>
          <w:tcPr>
            <w:tcW w:w="720" w:type="dxa"/>
            <w:noWrap w:val="0"/>
            <w:vAlign w:val="center"/>
          </w:tcPr>
          <w:p w14:paraId="00F8395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baseline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9</w:t>
            </w:r>
          </w:p>
        </w:tc>
        <w:tc>
          <w:tcPr>
            <w:tcW w:w="2665" w:type="dxa"/>
            <w:noWrap w:val="0"/>
            <w:vAlign w:val="center"/>
          </w:tcPr>
          <w:p w14:paraId="469D991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420" w:firstLineChars="200"/>
              <w:textAlignment w:val="baseline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开展“希望学堂”暑期托管活动。在各镇街同步开设“希望学堂”暑期托管班，统一招募持有教师资格证的专业志愿者和辅助志愿者，为1-6年级的特殊困境、留守等青少年提供免费托管服务。</w:t>
            </w:r>
          </w:p>
        </w:tc>
        <w:tc>
          <w:tcPr>
            <w:tcW w:w="7355" w:type="dxa"/>
            <w:noWrap w:val="0"/>
            <w:vAlign w:val="center"/>
          </w:tcPr>
          <w:p w14:paraId="5CC620C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420" w:firstLineChars="200"/>
              <w:textAlignment w:val="baseline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通过规范步骤、充实课程内容、延伸托管服务，在18个街镇同步开展“希望学堂”暑托班。联合高校及公安、医院等社会资源走进课堂，开展走进华侨城欢乐荟、区生态环境监控中心、乡村博物馆等多地实践研学，设置武术、书法、漆扇、机器人、手工等10种特色课程，大大帮助学生丰富知识、开阔眼界。</w:t>
            </w:r>
          </w:p>
        </w:tc>
        <w:tc>
          <w:tcPr>
            <w:tcW w:w="1015" w:type="dxa"/>
            <w:noWrap w:val="0"/>
            <w:vAlign w:val="center"/>
          </w:tcPr>
          <w:p w14:paraId="3A669A2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baseline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100%</w:t>
            </w:r>
          </w:p>
        </w:tc>
        <w:tc>
          <w:tcPr>
            <w:tcW w:w="1515" w:type="dxa"/>
            <w:noWrap w:val="0"/>
            <w:vAlign w:val="center"/>
          </w:tcPr>
          <w:p w14:paraId="72235DE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baseline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团区委</w:t>
            </w:r>
          </w:p>
          <w:p w14:paraId="59E2158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baseline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各镇街</w:t>
            </w:r>
          </w:p>
        </w:tc>
      </w:tr>
      <w:tr w14:paraId="727BB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  <w:jc w:val="center"/>
        </w:trPr>
        <w:tc>
          <w:tcPr>
            <w:tcW w:w="720" w:type="dxa"/>
            <w:noWrap w:val="0"/>
            <w:vAlign w:val="center"/>
          </w:tcPr>
          <w:p w14:paraId="34BABBB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baseline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10</w:t>
            </w:r>
          </w:p>
        </w:tc>
        <w:tc>
          <w:tcPr>
            <w:tcW w:w="2665" w:type="dxa"/>
            <w:noWrap w:val="0"/>
            <w:vAlign w:val="center"/>
          </w:tcPr>
          <w:p w14:paraId="6D1FAC8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420" w:firstLineChars="200"/>
              <w:textAlignment w:val="baseline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实施残疾人教育资助工程。对就读高中以上阶段的残疾学生及残疾人子女实施教育资助，优先享受国家省市有关部门教育资助。</w:t>
            </w:r>
          </w:p>
        </w:tc>
        <w:tc>
          <w:tcPr>
            <w:tcW w:w="7355" w:type="dxa"/>
            <w:noWrap w:val="0"/>
            <w:vAlign w:val="center"/>
          </w:tcPr>
          <w:p w14:paraId="1DED3C3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420" w:firstLineChars="200"/>
              <w:textAlignment w:val="baseline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  <w:lang w:val="en-US" w:eastAsia="zh-CN"/>
              </w:rPr>
              <w:t>发放2023年度教育资助经费284.76万元。组织完成2024年度残疾学生及残疾人子女摸底调查、建立资助台账、申报审核、经费发放工作，12月5日，向1008名残疾学生及残疾人子女发放282.04万资助经费。</w:t>
            </w:r>
          </w:p>
        </w:tc>
        <w:tc>
          <w:tcPr>
            <w:tcW w:w="1015" w:type="dxa"/>
            <w:noWrap w:val="0"/>
            <w:vAlign w:val="center"/>
          </w:tcPr>
          <w:p w14:paraId="73E1F91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baseline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 w:cs="仿宋_GB2312"/>
                <w:szCs w:val="21"/>
              </w:rPr>
              <w:t>%</w:t>
            </w:r>
          </w:p>
        </w:tc>
        <w:tc>
          <w:tcPr>
            <w:tcW w:w="1515" w:type="dxa"/>
            <w:noWrap w:val="0"/>
            <w:vAlign w:val="center"/>
          </w:tcPr>
          <w:p w14:paraId="0FE98CB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baseline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区残联</w:t>
            </w:r>
          </w:p>
        </w:tc>
      </w:tr>
      <w:tr w14:paraId="4BADE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720" w:type="dxa"/>
            <w:noWrap w:val="0"/>
            <w:vAlign w:val="center"/>
          </w:tcPr>
          <w:p w14:paraId="50D5F08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baseline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11</w:t>
            </w:r>
          </w:p>
        </w:tc>
        <w:tc>
          <w:tcPr>
            <w:tcW w:w="2665" w:type="dxa"/>
            <w:noWrap w:val="0"/>
            <w:vAlign w:val="center"/>
          </w:tcPr>
          <w:p w14:paraId="4FA8D34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420" w:firstLineChars="200"/>
              <w:textAlignment w:val="baseline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开展“放心消费在章丘”提升活动。对100家放心消费单位进行规范提升，为消费者创造良好的消费环境。</w:t>
            </w:r>
          </w:p>
        </w:tc>
        <w:tc>
          <w:tcPr>
            <w:tcW w:w="7355" w:type="dxa"/>
            <w:noWrap w:val="0"/>
            <w:vAlign w:val="center"/>
          </w:tcPr>
          <w:p w14:paraId="41D68F7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420" w:firstLineChars="200"/>
              <w:textAlignment w:val="baseline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规范提升100家放心消费单位。同时，结合“3·15国际消费者权益日”，组织开展放心消费系列宣传活动，积极引导与群众生活消费相关的市场主体参与放心消费活动，不断扩大活动的影响力和覆盖面。</w:t>
            </w:r>
          </w:p>
        </w:tc>
        <w:tc>
          <w:tcPr>
            <w:tcW w:w="1015" w:type="dxa"/>
            <w:noWrap w:val="0"/>
            <w:vAlign w:val="center"/>
          </w:tcPr>
          <w:p w14:paraId="1D6DD20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baseline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100%</w:t>
            </w:r>
          </w:p>
        </w:tc>
        <w:tc>
          <w:tcPr>
            <w:tcW w:w="1515" w:type="dxa"/>
            <w:noWrap w:val="0"/>
            <w:vAlign w:val="center"/>
          </w:tcPr>
          <w:p w14:paraId="2B4F492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baseline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区市场监管局</w:t>
            </w:r>
          </w:p>
        </w:tc>
      </w:tr>
      <w:tr w14:paraId="3B015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  <w:jc w:val="center"/>
        </w:trPr>
        <w:tc>
          <w:tcPr>
            <w:tcW w:w="720" w:type="dxa"/>
            <w:noWrap w:val="0"/>
            <w:vAlign w:val="center"/>
          </w:tcPr>
          <w:p w14:paraId="4E360EE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baseline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12</w:t>
            </w:r>
          </w:p>
        </w:tc>
        <w:tc>
          <w:tcPr>
            <w:tcW w:w="2665" w:type="dxa"/>
            <w:noWrap w:val="0"/>
            <w:vAlign w:val="center"/>
          </w:tcPr>
          <w:p w14:paraId="1EB84A2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420" w:firstLineChars="200"/>
              <w:textAlignment w:val="baseline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实施便民消费提升项目。新引进商业品牌首店2家；建设改造社区一刻钟便民生活圈2个；建成至少1个数字人民币消费集聚区。</w:t>
            </w:r>
          </w:p>
        </w:tc>
        <w:tc>
          <w:tcPr>
            <w:tcW w:w="7355" w:type="dxa"/>
            <w:noWrap w:val="0"/>
            <w:vAlign w:val="center"/>
          </w:tcPr>
          <w:p w14:paraId="20BFA3C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420" w:firstLineChars="200"/>
              <w:textAlignment w:val="baseline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新引进商业品牌首店2家（山河悦购、茶猫），联合明水、双山、普集、黄河改造提升社区一刻钟便民生活圈4个。明水古城数字人民币消费集聚区建成。</w:t>
            </w:r>
            <w:r>
              <w:rPr>
                <w:rFonts w:hint="eastAsia" w:ascii="宋体" w:hAnsi="宋体" w:cs="仿宋_GB2312"/>
                <w:szCs w:val="21"/>
                <w:lang w:eastAsia="zh-CN"/>
              </w:rPr>
              <w:t>组织</w:t>
            </w:r>
            <w:r>
              <w:rPr>
                <w:rFonts w:hint="eastAsia" w:ascii="宋体" w:hAnsi="宋体" w:cs="仿宋_GB2312"/>
                <w:szCs w:val="21"/>
              </w:rPr>
              <w:t>工商银行等数字人民币运营服务银行，持续开展数字人民币宣传推广活动。</w:t>
            </w:r>
          </w:p>
        </w:tc>
        <w:tc>
          <w:tcPr>
            <w:tcW w:w="1015" w:type="dxa"/>
            <w:noWrap w:val="0"/>
            <w:vAlign w:val="center"/>
          </w:tcPr>
          <w:p w14:paraId="685FD80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baseline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100%</w:t>
            </w:r>
          </w:p>
        </w:tc>
        <w:tc>
          <w:tcPr>
            <w:tcW w:w="1515" w:type="dxa"/>
            <w:noWrap w:val="0"/>
            <w:vAlign w:val="center"/>
          </w:tcPr>
          <w:p w14:paraId="6F3B1CD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baseline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区发改局</w:t>
            </w:r>
          </w:p>
          <w:p w14:paraId="27E6134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baseline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商务服务中心</w:t>
            </w:r>
          </w:p>
          <w:p w14:paraId="23813F1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baseline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金融运行监测中心</w:t>
            </w:r>
          </w:p>
        </w:tc>
      </w:tr>
      <w:tr w14:paraId="5C31C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  <w:jc w:val="center"/>
        </w:trPr>
        <w:tc>
          <w:tcPr>
            <w:tcW w:w="720" w:type="dxa"/>
            <w:noWrap w:val="0"/>
            <w:vAlign w:val="center"/>
          </w:tcPr>
          <w:p w14:paraId="3F733A9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baseline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13</w:t>
            </w:r>
          </w:p>
        </w:tc>
        <w:tc>
          <w:tcPr>
            <w:tcW w:w="2665" w:type="dxa"/>
            <w:noWrap w:val="0"/>
            <w:vAlign w:val="center"/>
          </w:tcPr>
          <w:p w14:paraId="7066888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420" w:firstLineChars="200"/>
              <w:textAlignment w:val="baseline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实施“博爱光明”项目。对罹患白内障等需手术治疗的60岁以上困难群众实施专项医疗救助活动，全年救助困难群众2000人。</w:t>
            </w:r>
          </w:p>
        </w:tc>
        <w:tc>
          <w:tcPr>
            <w:tcW w:w="7355" w:type="dxa"/>
            <w:noWrap w:val="0"/>
            <w:vAlign w:val="center"/>
          </w:tcPr>
          <w:p w14:paraId="0A4BEE7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420" w:firstLineChars="200"/>
              <w:textAlignment w:val="baseline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明水眼科医院组织专家团队深入镇街村居（社区），开展眼病筛查，对罹患白内障、眼胬肉，需手术治疗的60岁以上困难群众2519人实施专项救助，帮助患者重见光明。</w:t>
            </w:r>
          </w:p>
        </w:tc>
        <w:tc>
          <w:tcPr>
            <w:tcW w:w="1015" w:type="dxa"/>
            <w:noWrap w:val="0"/>
            <w:vAlign w:val="center"/>
          </w:tcPr>
          <w:p w14:paraId="6F4D12B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baseline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100%</w:t>
            </w:r>
          </w:p>
        </w:tc>
        <w:tc>
          <w:tcPr>
            <w:tcW w:w="1515" w:type="dxa"/>
            <w:noWrap w:val="0"/>
            <w:vAlign w:val="center"/>
          </w:tcPr>
          <w:p w14:paraId="4611EB1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baseline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红十字会</w:t>
            </w:r>
          </w:p>
        </w:tc>
      </w:tr>
      <w:tr w14:paraId="6FFDB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atLeast"/>
          <w:jc w:val="center"/>
        </w:trPr>
        <w:tc>
          <w:tcPr>
            <w:tcW w:w="720" w:type="dxa"/>
            <w:noWrap w:val="0"/>
            <w:vAlign w:val="center"/>
          </w:tcPr>
          <w:p w14:paraId="6669668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baseline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14</w:t>
            </w:r>
          </w:p>
        </w:tc>
        <w:tc>
          <w:tcPr>
            <w:tcW w:w="2665" w:type="dxa"/>
            <w:noWrap w:val="0"/>
            <w:vAlign w:val="center"/>
          </w:tcPr>
          <w:p w14:paraId="0C1AC31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420" w:firstLineChars="200"/>
              <w:textAlignment w:val="baseline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开展长者互助食堂活动。动员社工、慈善、志愿者组织等社会力量参与幸福院助老食堂运转，为农村老人提供助餐、文化娱乐、卫生清洁等服务。全年计划开展30周，涉及150个村以上、惠及老人6000人次。</w:t>
            </w:r>
          </w:p>
        </w:tc>
        <w:tc>
          <w:tcPr>
            <w:tcW w:w="7355" w:type="dxa"/>
            <w:noWrap w:val="0"/>
            <w:vAlign w:val="center"/>
          </w:tcPr>
          <w:p w14:paraId="0BCADE0D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textAlignment w:val="baseline"/>
              <w:rPr>
                <w:rFonts w:hint="eastAsia" w:ascii="宋体" w:hAnsi="宋体"/>
              </w:rPr>
            </w:pPr>
            <w:r>
              <w:rPr>
                <w:rFonts w:hint="eastAsia" w:ascii="宋体" w:hAnsi="宋体" w:eastAsia="宋体" w:cs="仿宋_GB2312"/>
                <w:kern w:val="2"/>
                <w:sz w:val="21"/>
                <w:szCs w:val="21"/>
                <w:lang w:val="en-US" w:eastAsia="zh-CN" w:bidi="ar-SA"/>
              </w:rPr>
              <w:t>共开展长者互助食堂活动30周、215村次，惠及老人约8300余人次。</w:t>
            </w:r>
          </w:p>
        </w:tc>
        <w:tc>
          <w:tcPr>
            <w:tcW w:w="1015" w:type="dxa"/>
            <w:noWrap w:val="0"/>
            <w:vAlign w:val="center"/>
          </w:tcPr>
          <w:p w14:paraId="698F9E9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baseline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 w:cs="仿宋_GB2312"/>
                <w:szCs w:val="21"/>
              </w:rPr>
              <w:t>%</w:t>
            </w:r>
          </w:p>
        </w:tc>
        <w:tc>
          <w:tcPr>
            <w:tcW w:w="1515" w:type="dxa"/>
            <w:noWrap w:val="0"/>
            <w:vAlign w:val="center"/>
          </w:tcPr>
          <w:p w14:paraId="08ADFE9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baseline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区委宣传部</w:t>
            </w:r>
          </w:p>
          <w:p w14:paraId="420278F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baseline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区民政局</w:t>
            </w:r>
          </w:p>
        </w:tc>
      </w:tr>
      <w:tr w14:paraId="20A70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atLeast"/>
          <w:jc w:val="center"/>
        </w:trPr>
        <w:tc>
          <w:tcPr>
            <w:tcW w:w="720" w:type="dxa"/>
            <w:noWrap w:val="0"/>
            <w:vAlign w:val="center"/>
          </w:tcPr>
          <w:p w14:paraId="31610D8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baseline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15</w:t>
            </w:r>
          </w:p>
        </w:tc>
        <w:tc>
          <w:tcPr>
            <w:tcW w:w="2665" w:type="dxa"/>
            <w:noWrap w:val="0"/>
            <w:vAlign w:val="center"/>
          </w:tcPr>
          <w:p w14:paraId="473CC94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420" w:firstLineChars="200"/>
              <w:textAlignment w:val="baseline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提高困难群众生活保障标准。将城乡低保标准、特困人员照料护理标准、困难残疾人生活补贴、重度残疾人护理补贴提高5%以上，惠及困难群众3万人。</w:t>
            </w:r>
          </w:p>
        </w:tc>
        <w:tc>
          <w:tcPr>
            <w:tcW w:w="7355" w:type="dxa"/>
            <w:noWrap w:val="0"/>
            <w:vAlign w:val="center"/>
          </w:tcPr>
          <w:p w14:paraId="143F350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420" w:firstLineChars="200"/>
              <w:textAlignment w:val="baseline"/>
              <w:rPr>
                <w:rFonts w:hint="eastAsia" w:ascii="宋体" w:hAnsi="宋体" w:eastAsia="宋体" w:cs="仿宋_GB2312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szCs w:val="21"/>
              </w:rPr>
              <w:t>2024年1月起，章丘区城市低保标准由每人每月1045元提高到1114元，农村低保标准由每人每月814元提高到884元。农村特困人员照料护理标准按照自理、半自理和完全不能自理人员三种档次，由每人每月分别为281元、466元、932元提高到每人每月296元、491元、982元。全年累计发放补贴2.96亿元、惠及4万余人。</w:t>
            </w:r>
          </w:p>
        </w:tc>
        <w:tc>
          <w:tcPr>
            <w:tcW w:w="1015" w:type="dxa"/>
            <w:noWrap w:val="0"/>
            <w:vAlign w:val="center"/>
          </w:tcPr>
          <w:p w14:paraId="121FA6A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baseline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100%</w:t>
            </w:r>
          </w:p>
        </w:tc>
        <w:tc>
          <w:tcPr>
            <w:tcW w:w="1515" w:type="dxa"/>
            <w:noWrap w:val="0"/>
            <w:vAlign w:val="center"/>
          </w:tcPr>
          <w:p w14:paraId="3356C0E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baseline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区民政局</w:t>
            </w:r>
          </w:p>
        </w:tc>
      </w:tr>
      <w:tr w14:paraId="2A72D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  <w:jc w:val="center"/>
        </w:trPr>
        <w:tc>
          <w:tcPr>
            <w:tcW w:w="720" w:type="dxa"/>
            <w:noWrap w:val="0"/>
            <w:vAlign w:val="center"/>
          </w:tcPr>
          <w:p w14:paraId="28AACFD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baseline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16</w:t>
            </w:r>
          </w:p>
        </w:tc>
        <w:tc>
          <w:tcPr>
            <w:tcW w:w="2665" w:type="dxa"/>
            <w:noWrap w:val="0"/>
            <w:vAlign w:val="center"/>
          </w:tcPr>
          <w:p w14:paraId="23CA1A2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baseline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开展人间真爱·助老助浴活动。为章丘户籍、享受长护险60周岁以上老年人群、80周岁以上有助浴需求的高龄老年人、不能自理的60周岁以上残疾人及其他有助浴需求的特殊群体老年人提供助浴服务。</w:t>
            </w:r>
          </w:p>
        </w:tc>
        <w:tc>
          <w:tcPr>
            <w:tcW w:w="7355" w:type="dxa"/>
            <w:noWrap w:val="0"/>
            <w:vAlign w:val="center"/>
          </w:tcPr>
          <w:p w14:paraId="5AA1203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420" w:firstLineChars="200"/>
              <w:textAlignment w:val="baseline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完成上门助浴106次，累计服务106名老人。在完成有助浴意愿申请的既定任务的同时，总结前期经验做法，筛选名单，面向更多符合条件的服务对象开展助浴活动。</w:t>
            </w:r>
          </w:p>
        </w:tc>
        <w:tc>
          <w:tcPr>
            <w:tcW w:w="1015" w:type="dxa"/>
            <w:noWrap w:val="0"/>
            <w:vAlign w:val="center"/>
          </w:tcPr>
          <w:p w14:paraId="55606C1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baseline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100%</w:t>
            </w:r>
          </w:p>
        </w:tc>
        <w:tc>
          <w:tcPr>
            <w:tcW w:w="1515" w:type="dxa"/>
            <w:noWrap w:val="0"/>
            <w:vAlign w:val="center"/>
          </w:tcPr>
          <w:p w14:paraId="73A7FB5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baseline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区民政局</w:t>
            </w:r>
          </w:p>
        </w:tc>
      </w:tr>
      <w:tr w14:paraId="0B08A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720" w:type="dxa"/>
            <w:noWrap w:val="0"/>
            <w:vAlign w:val="center"/>
          </w:tcPr>
          <w:p w14:paraId="025C375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baseline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17</w:t>
            </w:r>
          </w:p>
        </w:tc>
        <w:tc>
          <w:tcPr>
            <w:tcW w:w="2665" w:type="dxa"/>
            <w:noWrap w:val="0"/>
            <w:vAlign w:val="center"/>
          </w:tcPr>
          <w:p w14:paraId="295842B6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420" w:firstLineChars="200"/>
              <w:textAlignment w:val="baseline"/>
              <w:rPr>
                <w:rFonts w:hint="eastAsia" w:ascii="宋体" w:hAnsi="宋体" w:eastAsia="宋体" w:cs="仿宋_GB2312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2"/>
                <w:sz w:val="21"/>
                <w:szCs w:val="21"/>
              </w:rPr>
              <w:t>免费为低收入适龄妇女办理“两癌”保险。为全区18-70岁低收入妇女免费办理“两癌”保险，每人保额3万元。</w:t>
            </w:r>
          </w:p>
        </w:tc>
        <w:tc>
          <w:tcPr>
            <w:tcW w:w="7355" w:type="dxa"/>
            <w:noWrap w:val="0"/>
            <w:vAlign w:val="center"/>
          </w:tcPr>
          <w:p w14:paraId="31664D99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420" w:firstLineChars="200"/>
              <w:textAlignment w:val="baseline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仿宋_GB2312"/>
                <w:kern w:val="2"/>
                <w:sz w:val="21"/>
                <w:szCs w:val="21"/>
              </w:rPr>
              <w:t>组织完成全区低收入适龄妇女摸排、建档、资格审核工作，全区77</w:t>
            </w:r>
            <w:r>
              <w:rPr>
                <w:rFonts w:hint="eastAsia" w:ascii="宋体" w:hAnsi="宋体" w:eastAsia="宋体" w:cs="仿宋_GB2312"/>
                <w:kern w:val="2"/>
                <w:sz w:val="21"/>
                <w:szCs w:val="21"/>
                <w:lang w:val="en-US" w:eastAsia="zh-CN"/>
              </w:rPr>
              <w:t>96</w:t>
            </w:r>
            <w:r>
              <w:rPr>
                <w:rFonts w:hint="eastAsia" w:ascii="宋体" w:hAnsi="宋体" w:eastAsia="宋体" w:cs="仿宋_GB2312"/>
                <w:kern w:val="2"/>
                <w:sz w:val="21"/>
                <w:szCs w:val="21"/>
              </w:rPr>
              <w:t>人完成投保。</w:t>
            </w:r>
          </w:p>
        </w:tc>
        <w:tc>
          <w:tcPr>
            <w:tcW w:w="1015" w:type="dxa"/>
            <w:noWrap w:val="0"/>
            <w:vAlign w:val="center"/>
          </w:tcPr>
          <w:p w14:paraId="7D435BC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baseline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100%</w:t>
            </w:r>
          </w:p>
        </w:tc>
        <w:tc>
          <w:tcPr>
            <w:tcW w:w="1515" w:type="dxa"/>
            <w:noWrap w:val="0"/>
            <w:vAlign w:val="center"/>
          </w:tcPr>
          <w:p w14:paraId="258B555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baseline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区妇联</w:t>
            </w:r>
          </w:p>
        </w:tc>
      </w:tr>
      <w:tr w14:paraId="0765F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  <w:jc w:val="center"/>
        </w:trPr>
        <w:tc>
          <w:tcPr>
            <w:tcW w:w="720" w:type="dxa"/>
            <w:noWrap w:val="0"/>
            <w:vAlign w:val="center"/>
          </w:tcPr>
          <w:p w14:paraId="317ACE3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baseline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18</w:t>
            </w:r>
          </w:p>
        </w:tc>
        <w:tc>
          <w:tcPr>
            <w:tcW w:w="2665" w:type="dxa"/>
            <w:noWrap w:val="0"/>
            <w:vAlign w:val="center"/>
          </w:tcPr>
          <w:p w14:paraId="565600C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420" w:firstLineChars="200"/>
              <w:textAlignment w:val="baseline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实施“生命安全·应急救护”培训项目。开展“生命安全应急救护”持证培训3000人，公益性“生命安全应急救护”培训3万人。</w:t>
            </w:r>
          </w:p>
        </w:tc>
        <w:tc>
          <w:tcPr>
            <w:tcW w:w="7355" w:type="dxa"/>
            <w:noWrap w:val="0"/>
            <w:vAlign w:val="center"/>
          </w:tcPr>
          <w:p w14:paraId="0C97D382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420" w:firstLineChars="200"/>
              <w:textAlignment w:val="baseline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开展持证培训3080人、公益性普及培训3.3万余人。其中，为企业员工、教师、干部职工、学生等有需求的群体开展“生命安全·应急救护”持证培训，培训持证急救员3080人。积极开展救护培训进机关、进社区、进学校、进企业、进农村、进集市、进夜市，防溺水宣传培训进校园、暑期红十字青少年急救营等多种活动，通过发放宣传册、制作宣传展板、现场讲解演示等多种形式，开展“生命安全·应急救护”公益性普及培训3.3万余人。</w:t>
            </w:r>
          </w:p>
        </w:tc>
        <w:tc>
          <w:tcPr>
            <w:tcW w:w="1015" w:type="dxa"/>
            <w:noWrap w:val="0"/>
            <w:vAlign w:val="center"/>
          </w:tcPr>
          <w:p w14:paraId="0A8593F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baseline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100%</w:t>
            </w:r>
          </w:p>
        </w:tc>
        <w:tc>
          <w:tcPr>
            <w:tcW w:w="1515" w:type="dxa"/>
            <w:noWrap w:val="0"/>
            <w:vAlign w:val="center"/>
          </w:tcPr>
          <w:p w14:paraId="067C543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baseline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红十字会</w:t>
            </w:r>
          </w:p>
        </w:tc>
      </w:tr>
      <w:tr w14:paraId="79EE9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  <w:jc w:val="center"/>
        </w:trPr>
        <w:tc>
          <w:tcPr>
            <w:tcW w:w="720" w:type="dxa"/>
            <w:noWrap w:val="0"/>
            <w:vAlign w:val="center"/>
          </w:tcPr>
          <w:p w14:paraId="11D2431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baseline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19</w:t>
            </w:r>
          </w:p>
        </w:tc>
        <w:tc>
          <w:tcPr>
            <w:tcW w:w="2665" w:type="dxa"/>
            <w:noWrap w:val="0"/>
            <w:vAlign w:val="center"/>
          </w:tcPr>
          <w:p w14:paraId="325EAC4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420" w:firstLineChars="200"/>
              <w:textAlignment w:val="baseline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实施知识产权惠企服务提升项目。建设线上线下融合一体的知识产权服务平台，创建区域性知识产权联盟，为企业提供培训、产学院交流、质押融资等服务。</w:t>
            </w:r>
          </w:p>
        </w:tc>
        <w:tc>
          <w:tcPr>
            <w:tcW w:w="7355" w:type="dxa"/>
            <w:noWrap w:val="0"/>
            <w:vAlign w:val="center"/>
          </w:tcPr>
          <w:p w14:paraId="54E144A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420" w:firstLineChars="200"/>
              <w:textAlignment w:val="baseline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在双创基地建立线下知识产权运营(公共)服务平台，为园区企业、高校等提供产学研交流、合作、咨询等服务40余次；帮助企业更好的理解专利申请流程、规避风险、及保护自身的创新成果，提升企业发明专利申请的质量和成功率，明水经开区有效发明专利突破1787个。知识产权惠企服务线上平台已开始正式运行，目前访问量9700余次，知识产权基础服务、战略咨询服务、数据分析服务、法律维权服务、知产运营服务等功能模块已公开开放，为辖区企业无偿提供知识产权公益服务。</w:t>
            </w:r>
          </w:p>
        </w:tc>
        <w:tc>
          <w:tcPr>
            <w:tcW w:w="1015" w:type="dxa"/>
            <w:noWrap w:val="0"/>
            <w:vAlign w:val="center"/>
          </w:tcPr>
          <w:p w14:paraId="5664BD7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baseline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100%</w:t>
            </w:r>
          </w:p>
        </w:tc>
        <w:tc>
          <w:tcPr>
            <w:tcW w:w="1515" w:type="dxa"/>
            <w:noWrap w:val="0"/>
            <w:vAlign w:val="center"/>
          </w:tcPr>
          <w:p w14:paraId="66ECF88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baseline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区市场监管局</w:t>
            </w:r>
          </w:p>
          <w:p w14:paraId="4028FC2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baseline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明水经济技术开发区管委会</w:t>
            </w:r>
          </w:p>
          <w:p w14:paraId="62CBCD9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baseline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区工信局</w:t>
            </w:r>
          </w:p>
        </w:tc>
      </w:tr>
      <w:tr w14:paraId="6DAB3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  <w:jc w:val="center"/>
        </w:trPr>
        <w:tc>
          <w:tcPr>
            <w:tcW w:w="720" w:type="dxa"/>
            <w:noWrap w:val="0"/>
            <w:vAlign w:val="center"/>
          </w:tcPr>
          <w:p w14:paraId="507E844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baseline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20</w:t>
            </w:r>
          </w:p>
        </w:tc>
        <w:tc>
          <w:tcPr>
            <w:tcW w:w="2665" w:type="dxa"/>
            <w:noWrap w:val="0"/>
            <w:vAlign w:val="center"/>
          </w:tcPr>
          <w:p w14:paraId="5CB8900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420" w:firstLineChars="200"/>
              <w:textAlignment w:val="baseline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实施市政路灯维护工程。更换城区25条路段的灯具，LED灯头4100余个，加装单灯控制器4100余套，更换灯杆内线5.5万米，搭建智慧管理平台，实现智慧控制。</w:t>
            </w:r>
          </w:p>
        </w:tc>
        <w:tc>
          <w:tcPr>
            <w:tcW w:w="7355" w:type="dxa"/>
            <w:noWrap w:val="0"/>
            <w:vAlign w:val="center"/>
          </w:tcPr>
          <w:p w14:paraId="68705A1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420" w:firstLineChars="200"/>
              <w:textAlignment w:val="baseline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市政路灯节能智慧提升工程自3月1日正式开工，共计更换城区32条道路、4817个灯头，加装单灯控制器4281个，更换灯杆内线5.8万米。所有提升道路实现智慧化控制，进入节能运行模式。</w:t>
            </w:r>
          </w:p>
        </w:tc>
        <w:tc>
          <w:tcPr>
            <w:tcW w:w="1015" w:type="dxa"/>
            <w:noWrap w:val="0"/>
            <w:vAlign w:val="center"/>
          </w:tcPr>
          <w:p w14:paraId="75AFE1E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baseline"/>
              <w:rPr>
                <w:rFonts w:hint="eastAsia"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100</w:t>
            </w:r>
            <w:r>
              <w:rPr>
                <w:rFonts w:hint="eastAsia" w:ascii="宋体" w:hAnsi="宋体" w:cs="仿宋_GB2312"/>
                <w:szCs w:val="21"/>
              </w:rPr>
              <w:t>%</w:t>
            </w:r>
          </w:p>
        </w:tc>
        <w:tc>
          <w:tcPr>
            <w:tcW w:w="1515" w:type="dxa"/>
            <w:noWrap w:val="0"/>
            <w:vAlign w:val="center"/>
          </w:tcPr>
          <w:p w14:paraId="2ABA210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baseline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区城市管理局</w:t>
            </w:r>
          </w:p>
        </w:tc>
      </w:tr>
    </w:tbl>
    <w:p w14:paraId="22BDD5BB">
      <w:pPr>
        <w:spacing w:line="240" w:lineRule="exact"/>
        <w:rPr>
          <w:rStyle w:val="13"/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 xml:space="preserve">                             </w:t>
      </w:r>
    </w:p>
    <w:sectPr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2559885"/>
    </w:sdtPr>
    <w:sdtContent>
      <w:p w14:paraId="7BAF83EA"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3C9AC11">
    <w:pPr>
      <w:pStyle w:val="7"/>
      <w:rPr>
        <w:rStyle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HorizontalSpacing w:val="105"/>
  <w:drawingGridVerticalSpacing w:val="156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iOWRkNWE1ZTg0MDRmZDAxZTEzYjI0N2JhMGY3YjAifQ=="/>
  </w:docVars>
  <w:rsids>
    <w:rsidRoot w:val="00B105EB"/>
    <w:rsid w:val="000037C9"/>
    <w:rsid w:val="000047E8"/>
    <w:rsid w:val="00004ACC"/>
    <w:rsid w:val="00016E9E"/>
    <w:rsid w:val="00021E19"/>
    <w:rsid w:val="00040665"/>
    <w:rsid w:val="00050898"/>
    <w:rsid w:val="00050F19"/>
    <w:rsid w:val="00054486"/>
    <w:rsid w:val="00055D6A"/>
    <w:rsid w:val="00060C1E"/>
    <w:rsid w:val="00060D53"/>
    <w:rsid w:val="000616C2"/>
    <w:rsid w:val="000618F3"/>
    <w:rsid w:val="00066170"/>
    <w:rsid w:val="000735B3"/>
    <w:rsid w:val="00087B72"/>
    <w:rsid w:val="00093265"/>
    <w:rsid w:val="0009513C"/>
    <w:rsid w:val="00096B0F"/>
    <w:rsid w:val="0009744C"/>
    <w:rsid w:val="000B1937"/>
    <w:rsid w:val="000D0D51"/>
    <w:rsid w:val="000D48C3"/>
    <w:rsid w:val="000D78FE"/>
    <w:rsid w:val="000E127E"/>
    <w:rsid w:val="000E3B05"/>
    <w:rsid w:val="000E3F3D"/>
    <w:rsid w:val="000E6F5A"/>
    <w:rsid w:val="000F2375"/>
    <w:rsid w:val="000F3559"/>
    <w:rsid w:val="000F3908"/>
    <w:rsid w:val="00102B3C"/>
    <w:rsid w:val="0010449F"/>
    <w:rsid w:val="001349C2"/>
    <w:rsid w:val="0013743A"/>
    <w:rsid w:val="001406C6"/>
    <w:rsid w:val="0014089E"/>
    <w:rsid w:val="00146E7F"/>
    <w:rsid w:val="0014754C"/>
    <w:rsid w:val="00154D21"/>
    <w:rsid w:val="0016753F"/>
    <w:rsid w:val="0018110F"/>
    <w:rsid w:val="00181690"/>
    <w:rsid w:val="00184EA7"/>
    <w:rsid w:val="001A2170"/>
    <w:rsid w:val="001E4D39"/>
    <w:rsid w:val="001E5042"/>
    <w:rsid w:val="001F2913"/>
    <w:rsid w:val="001F4AD6"/>
    <w:rsid w:val="00205870"/>
    <w:rsid w:val="002130BC"/>
    <w:rsid w:val="0022289B"/>
    <w:rsid w:val="002271F9"/>
    <w:rsid w:val="0023068C"/>
    <w:rsid w:val="00234407"/>
    <w:rsid w:val="00244838"/>
    <w:rsid w:val="00247C14"/>
    <w:rsid w:val="00253596"/>
    <w:rsid w:val="00261801"/>
    <w:rsid w:val="002618A3"/>
    <w:rsid w:val="0026258A"/>
    <w:rsid w:val="002675D6"/>
    <w:rsid w:val="002726A6"/>
    <w:rsid w:val="0028022F"/>
    <w:rsid w:val="002834D7"/>
    <w:rsid w:val="00293C8E"/>
    <w:rsid w:val="002B2532"/>
    <w:rsid w:val="002B4211"/>
    <w:rsid w:val="002B737D"/>
    <w:rsid w:val="002B76E2"/>
    <w:rsid w:val="002C0B84"/>
    <w:rsid w:val="002C6D9E"/>
    <w:rsid w:val="002C6F90"/>
    <w:rsid w:val="002C7389"/>
    <w:rsid w:val="002E15A3"/>
    <w:rsid w:val="002E1640"/>
    <w:rsid w:val="002F0CD5"/>
    <w:rsid w:val="002F171F"/>
    <w:rsid w:val="00306FBD"/>
    <w:rsid w:val="00325D03"/>
    <w:rsid w:val="003341B5"/>
    <w:rsid w:val="00337024"/>
    <w:rsid w:val="00337C25"/>
    <w:rsid w:val="00343091"/>
    <w:rsid w:val="003442F7"/>
    <w:rsid w:val="00351F5C"/>
    <w:rsid w:val="00361749"/>
    <w:rsid w:val="00362615"/>
    <w:rsid w:val="00366BAA"/>
    <w:rsid w:val="00370B72"/>
    <w:rsid w:val="00370D8F"/>
    <w:rsid w:val="003803E7"/>
    <w:rsid w:val="00386AB7"/>
    <w:rsid w:val="00390E69"/>
    <w:rsid w:val="00392251"/>
    <w:rsid w:val="00394912"/>
    <w:rsid w:val="003A128D"/>
    <w:rsid w:val="003A68F4"/>
    <w:rsid w:val="003A73F4"/>
    <w:rsid w:val="003A7C7E"/>
    <w:rsid w:val="003C57FE"/>
    <w:rsid w:val="003C5D2B"/>
    <w:rsid w:val="003C6F03"/>
    <w:rsid w:val="003C7783"/>
    <w:rsid w:val="003D1399"/>
    <w:rsid w:val="003D5D60"/>
    <w:rsid w:val="003D6443"/>
    <w:rsid w:val="003D75AC"/>
    <w:rsid w:val="003E4725"/>
    <w:rsid w:val="003F241F"/>
    <w:rsid w:val="003F3E2B"/>
    <w:rsid w:val="0040529B"/>
    <w:rsid w:val="00406D56"/>
    <w:rsid w:val="0041456C"/>
    <w:rsid w:val="00414A9A"/>
    <w:rsid w:val="004213E2"/>
    <w:rsid w:val="00423B79"/>
    <w:rsid w:val="00433729"/>
    <w:rsid w:val="0043717B"/>
    <w:rsid w:val="0044093D"/>
    <w:rsid w:val="00453026"/>
    <w:rsid w:val="00457FC1"/>
    <w:rsid w:val="00462F7A"/>
    <w:rsid w:val="0047125B"/>
    <w:rsid w:val="00474265"/>
    <w:rsid w:val="0047453A"/>
    <w:rsid w:val="0047642E"/>
    <w:rsid w:val="00481118"/>
    <w:rsid w:val="00485C03"/>
    <w:rsid w:val="00493879"/>
    <w:rsid w:val="0049733F"/>
    <w:rsid w:val="004A335E"/>
    <w:rsid w:val="004A47FB"/>
    <w:rsid w:val="004A59D1"/>
    <w:rsid w:val="004B0000"/>
    <w:rsid w:val="004B0085"/>
    <w:rsid w:val="004B1B56"/>
    <w:rsid w:val="004C3118"/>
    <w:rsid w:val="004C3794"/>
    <w:rsid w:val="004C5DB7"/>
    <w:rsid w:val="004C70F8"/>
    <w:rsid w:val="004D7FCD"/>
    <w:rsid w:val="004E3A1D"/>
    <w:rsid w:val="004F16E7"/>
    <w:rsid w:val="004F3000"/>
    <w:rsid w:val="004F6B99"/>
    <w:rsid w:val="004F7E1E"/>
    <w:rsid w:val="0050498B"/>
    <w:rsid w:val="00504E5F"/>
    <w:rsid w:val="00514DB6"/>
    <w:rsid w:val="00515B60"/>
    <w:rsid w:val="00517BBA"/>
    <w:rsid w:val="00527AA1"/>
    <w:rsid w:val="00531921"/>
    <w:rsid w:val="00536BB2"/>
    <w:rsid w:val="00537948"/>
    <w:rsid w:val="00540354"/>
    <w:rsid w:val="0054285D"/>
    <w:rsid w:val="00543496"/>
    <w:rsid w:val="005450B4"/>
    <w:rsid w:val="00552753"/>
    <w:rsid w:val="00570AB9"/>
    <w:rsid w:val="00575681"/>
    <w:rsid w:val="00577928"/>
    <w:rsid w:val="00580C9D"/>
    <w:rsid w:val="00590303"/>
    <w:rsid w:val="005A3E4F"/>
    <w:rsid w:val="005B31B3"/>
    <w:rsid w:val="005C0712"/>
    <w:rsid w:val="005C3FBD"/>
    <w:rsid w:val="005C75F0"/>
    <w:rsid w:val="005D2FC6"/>
    <w:rsid w:val="005D47A1"/>
    <w:rsid w:val="005D66BF"/>
    <w:rsid w:val="005D694F"/>
    <w:rsid w:val="005E4249"/>
    <w:rsid w:val="005E7D48"/>
    <w:rsid w:val="005F1F21"/>
    <w:rsid w:val="006006A6"/>
    <w:rsid w:val="00604EE0"/>
    <w:rsid w:val="00605F74"/>
    <w:rsid w:val="006107DF"/>
    <w:rsid w:val="006146B1"/>
    <w:rsid w:val="00615F28"/>
    <w:rsid w:val="00626B22"/>
    <w:rsid w:val="00632474"/>
    <w:rsid w:val="0063282C"/>
    <w:rsid w:val="0063736C"/>
    <w:rsid w:val="0064190F"/>
    <w:rsid w:val="00666FA1"/>
    <w:rsid w:val="0067245F"/>
    <w:rsid w:val="006771B8"/>
    <w:rsid w:val="00681A47"/>
    <w:rsid w:val="006935D4"/>
    <w:rsid w:val="006B3E25"/>
    <w:rsid w:val="006B6692"/>
    <w:rsid w:val="006C2A68"/>
    <w:rsid w:val="006C466B"/>
    <w:rsid w:val="006C5C56"/>
    <w:rsid w:val="006D0523"/>
    <w:rsid w:val="006D0D13"/>
    <w:rsid w:val="006D19DC"/>
    <w:rsid w:val="006D51EC"/>
    <w:rsid w:val="006E0B3A"/>
    <w:rsid w:val="006E2A21"/>
    <w:rsid w:val="006E42B0"/>
    <w:rsid w:val="006E7EFD"/>
    <w:rsid w:val="006F0073"/>
    <w:rsid w:val="006F3EBD"/>
    <w:rsid w:val="00701B13"/>
    <w:rsid w:val="00704D97"/>
    <w:rsid w:val="00706951"/>
    <w:rsid w:val="0071372D"/>
    <w:rsid w:val="00716AFC"/>
    <w:rsid w:val="00717CAA"/>
    <w:rsid w:val="00721F92"/>
    <w:rsid w:val="0072382E"/>
    <w:rsid w:val="0073098A"/>
    <w:rsid w:val="007376C0"/>
    <w:rsid w:val="00737B1B"/>
    <w:rsid w:val="007417E6"/>
    <w:rsid w:val="00742D3D"/>
    <w:rsid w:val="00745BD3"/>
    <w:rsid w:val="00747E89"/>
    <w:rsid w:val="007555CC"/>
    <w:rsid w:val="00767B56"/>
    <w:rsid w:val="0077289A"/>
    <w:rsid w:val="00774E78"/>
    <w:rsid w:val="00780A3C"/>
    <w:rsid w:val="007836B1"/>
    <w:rsid w:val="00790B11"/>
    <w:rsid w:val="00793A38"/>
    <w:rsid w:val="0079545D"/>
    <w:rsid w:val="00797126"/>
    <w:rsid w:val="007A242D"/>
    <w:rsid w:val="007A7AE3"/>
    <w:rsid w:val="007A7C16"/>
    <w:rsid w:val="007C28C7"/>
    <w:rsid w:val="007D367B"/>
    <w:rsid w:val="007D580D"/>
    <w:rsid w:val="007D6A8F"/>
    <w:rsid w:val="007E5993"/>
    <w:rsid w:val="007F1AF3"/>
    <w:rsid w:val="007F38EB"/>
    <w:rsid w:val="008043CD"/>
    <w:rsid w:val="008157D9"/>
    <w:rsid w:val="00816AA8"/>
    <w:rsid w:val="008238FD"/>
    <w:rsid w:val="008277F9"/>
    <w:rsid w:val="008366EE"/>
    <w:rsid w:val="00846107"/>
    <w:rsid w:val="00847060"/>
    <w:rsid w:val="00850056"/>
    <w:rsid w:val="00862D0D"/>
    <w:rsid w:val="0086334C"/>
    <w:rsid w:val="008662C0"/>
    <w:rsid w:val="00866BA9"/>
    <w:rsid w:val="00873F08"/>
    <w:rsid w:val="00874FDB"/>
    <w:rsid w:val="008913C5"/>
    <w:rsid w:val="0089406C"/>
    <w:rsid w:val="00897763"/>
    <w:rsid w:val="008B4352"/>
    <w:rsid w:val="008B7BE2"/>
    <w:rsid w:val="008C58C5"/>
    <w:rsid w:val="008D2F5F"/>
    <w:rsid w:val="008D3432"/>
    <w:rsid w:val="008E566C"/>
    <w:rsid w:val="008E725B"/>
    <w:rsid w:val="008F2B18"/>
    <w:rsid w:val="00900116"/>
    <w:rsid w:val="0091446F"/>
    <w:rsid w:val="0091786C"/>
    <w:rsid w:val="0092003B"/>
    <w:rsid w:val="0092169D"/>
    <w:rsid w:val="00934521"/>
    <w:rsid w:val="00946051"/>
    <w:rsid w:val="009462C7"/>
    <w:rsid w:val="009528EF"/>
    <w:rsid w:val="009538AE"/>
    <w:rsid w:val="0095455D"/>
    <w:rsid w:val="009676C0"/>
    <w:rsid w:val="00970C8B"/>
    <w:rsid w:val="00970D36"/>
    <w:rsid w:val="00971C8A"/>
    <w:rsid w:val="0097214E"/>
    <w:rsid w:val="00972729"/>
    <w:rsid w:val="009856F2"/>
    <w:rsid w:val="00990624"/>
    <w:rsid w:val="009913AC"/>
    <w:rsid w:val="009A3412"/>
    <w:rsid w:val="009B2512"/>
    <w:rsid w:val="009C246D"/>
    <w:rsid w:val="009D1542"/>
    <w:rsid w:val="009E74C9"/>
    <w:rsid w:val="009E753D"/>
    <w:rsid w:val="009F1D41"/>
    <w:rsid w:val="009F30A9"/>
    <w:rsid w:val="00A02BF7"/>
    <w:rsid w:val="00A034E2"/>
    <w:rsid w:val="00A122AA"/>
    <w:rsid w:val="00A12D97"/>
    <w:rsid w:val="00A137D2"/>
    <w:rsid w:val="00A17D1F"/>
    <w:rsid w:val="00A20959"/>
    <w:rsid w:val="00A24A12"/>
    <w:rsid w:val="00A27C0A"/>
    <w:rsid w:val="00A336F4"/>
    <w:rsid w:val="00A3663C"/>
    <w:rsid w:val="00A43CFE"/>
    <w:rsid w:val="00A46BDB"/>
    <w:rsid w:val="00A56A5C"/>
    <w:rsid w:val="00A61B79"/>
    <w:rsid w:val="00A66527"/>
    <w:rsid w:val="00A66CC2"/>
    <w:rsid w:val="00A7057C"/>
    <w:rsid w:val="00A7541D"/>
    <w:rsid w:val="00A77295"/>
    <w:rsid w:val="00AA0A33"/>
    <w:rsid w:val="00AB56F4"/>
    <w:rsid w:val="00AC0E32"/>
    <w:rsid w:val="00AC16BB"/>
    <w:rsid w:val="00AC4F27"/>
    <w:rsid w:val="00AC5B5D"/>
    <w:rsid w:val="00AC7306"/>
    <w:rsid w:val="00AD0078"/>
    <w:rsid w:val="00AD3102"/>
    <w:rsid w:val="00AD4C2B"/>
    <w:rsid w:val="00AD5DC7"/>
    <w:rsid w:val="00AD6FC9"/>
    <w:rsid w:val="00AD70C4"/>
    <w:rsid w:val="00AD726B"/>
    <w:rsid w:val="00AE4E59"/>
    <w:rsid w:val="00AE58F6"/>
    <w:rsid w:val="00AF07F3"/>
    <w:rsid w:val="00AF08AE"/>
    <w:rsid w:val="00AF0F5B"/>
    <w:rsid w:val="00B1026E"/>
    <w:rsid w:val="00B105EB"/>
    <w:rsid w:val="00B13F43"/>
    <w:rsid w:val="00B2350D"/>
    <w:rsid w:val="00B25001"/>
    <w:rsid w:val="00B25C13"/>
    <w:rsid w:val="00B2622B"/>
    <w:rsid w:val="00B2629C"/>
    <w:rsid w:val="00B35801"/>
    <w:rsid w:val="00B35A1D"/>
    <w:rsid w:val="00B36264"/>
    <w:rsid w:val="00B46BE1"/>
    <w:rsid w:val="00B505F5"/>
    <w:rsid w:val="00B54BE7"/>
    <w:rsid w:val="00B55BBE"/>
    <w:rsid w:val="00B55FFD"/>
    <w:rsid w:val="00B60102"/>
    <w:rsid w:val="00B67B73"/>
    <w:rsid w:val="00B77AC2"/>
    <w:rsid w:val="00B93BC5"/>
    <w:rsid w:val="00B972B8"/>
    <w:rsid w:val="00B979A9"/>
    <w:rsid w:val="00BA0345"/>
    <w:rsid w:val="00BA6C6A"/>
    <w:rsid w:val="00BB3D4C"/>
    <w:rsid w:val="00BB6959"/>
    <w:rsid w:val="00BC214B"/>
    <w:rsid w:val="00BC2EA2"/>
    <w:rsid w:val="00BD0002"/>
    <w:rsid w:val="00BD1F11"/>
    <w:rsid w:val="00BD3202"/>
    <w:rsid w:val="00BD40DB"/>
    <w:rsid w:val="00BD4D21"/>
    <w:rsid w:val="00BE0601"/>
    <w:rsid w:val="00BE50C9"/>
    <w:rsid w:val="00BF5F36"/>
    <w:rsid w:val="00BF6F0B"/>
    <w:rsid w:val="00C01AC8"/>
    <w:rsid w:val="00C05AEE"/>
    <w:rsid w:val="00C116A4"/>
    <w:rsid w:val="00C14D21"/>
    <w:rsid w:val="00C15BD6"/>
    <w:rsid w:val="00C20EAE"/>
    <w:rsid w:val="00C22F95"/>
    <w:rsid w:val="00C261D1"/>
    <w:rsid w:val="00C34008"/>
    <w:rsid w:val="00C363EA"/>
    <w:rsid w:val="00C42666"/>
    <w:rsid w:val="00C42D30"/>
    <w:rsid w:val="00C50BDC"/>
    <w:rsid w:val="00C51CEB"/>
    <w:rsid w:val="00C54341"/>
    <w:rsid w:val="00C54D2D"/>
    <w:rsid w:val="00C80226"/>
    <w:rsid w:val="00C81311"/>
    <w:rsid w:val="00C831C0"/>
    <w:rsid w:val="00C852DC"/>
    <w:rsid w:val="00C87142"/>
    <w:rsid w:val="00C909DB"/>
    <w:rsid w:val="00CA0AF3"/>
    <w:rsid w:val="00CA4315"/>
    <w:rsid w:val="00CA6665"/>
    <w:rsid w:val="00CB297B"/>
    <w:rsid w:val="00CB6EE7"/>
    <w:rsid w:val="00CB7BFF"/>
    <w:rsid w:val="00CC1EAD"/>
    <w:rsid w:val="00CC5D3B"/>
    <w:rsid w:val="00CD39B2"/>
    <w:rsid w:val="00CD5DCB"/>
    <w:rsid w:val="00CE0B2A"/>
    <w:rsid w:val="00CE4D28"/>
    <w:rsid w:val="00D06F46"/>
    <w:rsid w:val="00D075DC"/>
    <w:rsid w:val="00D12CDE"/>
    <w:rsid w:val="00D13CDC"/>
    <w:rsid w:val="00D215ED"/>
    <w:rsid w:val="00D22415"/>
    <w:rsid w:val="00D23669"/>
    <w:rsid w:val="00D2527C"/>
    <w:rsid w:val="00D305C2"/>
    <w:rsid w:val="00D314A3"/>
    <w:rsid w:val="00D36ABB"/>
    <w:rsid w:val="00D40CCF"/>
    <w:rsid w:val="00D45A42"/>
    <w:rsid w:val="00D45A71"/>
    <w:rsid w:val="00D47373"/>
    <w:rsid w:val="00D50DA0"/>
    <w:rsid w:val="00D52E71"/>
    <w:rsid w:val="00D52ED5"/>
    <w:rsid w:val="00D57528"/>
    <w:rsid w:val="00D61528"/>
    <w:rsid w:val="00D66568"/>
    <w:rsid w:val="00D66D62"/>
    <w:rsid w:val="00D67E9D"/>
    <w:rsid w:val="00D7483D"/>
    <w:rsid w:val="00D764E3"/>
    <w:rsid w:val="00D83902"/>
    <w:rsid w:val="00D86D6D"/>
    <w:rsid w:val="00D9202B"/>
    <w:rsid w:val="00D93603"/>
    <w:rsid w:val="00DA2D19"/>
    <w:rsid w:val="00DB3A82"/>
    <w:rsid w:val="00DB3E8A"/>
    <w:rsid w:val="00DC4868"/>
    <w:rsid w:val="00DC54C5"/>
    <w:rsid w:val="00DD2915"/>
    <w:rsid w:val="00DE6E0F"/>
    <w:rsid w:val="00DE7658"/>
    <w:rsid w:val="00DE7E5E"/>
    <w:rsid w:val="00E02A26"/>
    <w:rsid w:val="00E06752"/>
    <w:rsid w:val="00E116C9"/>
    <w:rsid w:val="00E167B2"/>
    <w:rsid w:val="00E23B27"/>
    <w:rsid w:val="00E23D92"/>
    <w:rsid w:val="00E35F0E"/>
    <w:rsid w:val="00E414C2"/>
    <w:rsid w:val="00E462F0"/>
    <w:rsid w:val="00E54AAF"/>
    <w:rsid w:val="00E600F8"/>
    <w:rsid w:val="00E6542B"/>
    <w:rsid w:val="00E6578E"/>
    <w:rsid w:val="00E7269D"/>
    <w:rsid w:val="00E75FA4"/>
    <w:rsid w:val="00E77ABE"/>
    <w:rsid w:val="00E8176C"/>
    <w:rsid w:val="00E85F8E"/>
    <w:rsid w:val="00E94EE5"/>
    <w:rsid w:val="00E96092"/>
    <w:rsid w:val="00EA1A55"/>
    <w:rsid w:val="00EB2DC9"/>
    <w:rsid w:val="00EB495C"/>
    <w:rsid w:val="00EB7E89"/>
    <w:rsid w:val="00EC440B"/>
    <w:rsid w:val="00EC48A5"/>
    <w:rsid w:val="00ED6FA9"/>
    <w:rsid w:val="00ED7880"/>
    <w:rsid w:val="00EF3AB3"/>
    <w:rsid w:val="00EF66B3"/>
    <w:rsid w:val="00EF6ABE"/>
    <w:rsid w:val="00F00B1A"/>
    <w:rsid w:val="00F01555"/>
    <w:rsid w:val="00F06198"/>
    <w:rsid w:val="00F062BA"/>
    <w:rsid w:val="00F1150F"/>
    <w:rsid w:val="00F14D24"/>
    <w:rsid w:val="00F32339"/>
    <w:rsid w:val="00F35CED"/>
    <w:rsid w:val="00F35F43"/>
    <w:rsid w:val="00F415FD"/>
    <w:rsid w:val="00F4348E"/>
    <w:rsid w:val="00F4477E"/>
    <w:rsid w:val="00F506B6"/>
    <w:rsid w:val="00F56DA6"/>
    <w:rsid w:val="00F57000"/>
    <w:rsid w:val="00F610C8"/>
    <w:rsid w:val="00F648B8"/>
    <w:rsid w:val="00F64E30"/>
    <w:rsid w:val="00F70443"/>
    <w:rsid w:val="00F8135F"/>
    <w:rsid w:val="00F901FA"/>
    <w:rsid w:val="00FA0ED8"/>
    <w:rsid w:val="00FA1D96"/>
    <w:rsid w:val="00FA3B2B"/>
    <w:rsid w:val="00FA703F"/>
    <w:rsid w:val="00FB712C"/>
    <w:rsid w:val="00FC4FF9"/>
    <w:rsid w:val="00FC517F"/>
    <w:rsid w:val="00FC7C7D"/>
    <w:rsid w:val="00FD22F5"/>
    <w:rsid w:val="00FE131D"/>
    <w:rsid w:val="00FE17F6"/>
    <w:rsid w:val="00FE3A0E"/>
    <w:rsid w:val="00FE5BAA"/>
    <w:rsid w:val="00FE615E"/>
    <w:rsid w:val="00FE7775"/>
    <w:rsid w:val="00FF185D"/>
    <w:rsid w:val="00FF1FFE"/>
    <w:rsid w:val="00FF34D6"/>
    <w:rsid w:val="01796970"/>
    <w:rsid w:val="022168D5"/>
    <w:rsid w:val="02353F27"/>
    <w:rsid w:val="02380ADA"/>
    <w:rsid w:val="02EE31A1"/>
    <w:rsid w:val="032C2E64"/>
    <w:rsid w:val="03952BC9"/>
    <w:rsid w:val="03A15B57"/>
    <w:rsid w:val="03BC063A"/>
    <w:rsid w:val="03EE6183"/>
    <w:rsid w:val="047B30B3"/>
    <w:rsid w:val="04FA483A"/>
    <w:rsid w:val="05091C0C"/>
    <w:rsid w:val="054D4833"/>
    <w:rsid w:val="05FB65FA"/>
    <w:rsid w:val="061856A0"/>
    <w:rsid w:val="06963006"/>
    <w:rsid w:val="06C31E5D"/>
    <w:rsid w:val="0768282B"/>
    <w:rsid w:val="07A1396F"/>
    <w:rsid w:val="08AB05D1"/>
    <w:rsid w:val="090D258E"/>
    <w:rsid w:val="094C6CC2"/>
    <w:rsid w:val="0A0B6DC9"/>
    <w:rsid w:val="0A5D2BC7"/>
    <w:rsid w:val="0A970246"/>
    <w:rsid w:val="0AB43FF5"/>
    <w:rsid w:val="0B7E41C1"/>
    <w:rsid w:val="0B8B2142"/>
    <w:rsid w:val="0BE84478"/>
    <w:rsid w:val="0CDE751F"/>
    <w:rsid w:val="0D8E44D9"/>
    <w:rsid w:val="0DBA5827"/>
    <w:rsid w:val="0DBE0844"/>
    <w:rsid w:val="0E2E7B06"/>
    <w:rsid w:val="0E4C7A8F"/>
    <w:rsid w:val="0FC623ED"/>
    <w:rsid w:val="0FE167E2"/>
    <w:rsid w:val="0FFA2381"/>
    <w:rsid w:val="100458D5"/>
    <w:rsid w:val="12506502"/>
    <w:rsid w:val="12907A87"/>
    <w:rsid w:val="12C62AFC"/>
    <w:rsid w:val="13164E19"/>
    <w:rsid w:val="138422E8"/>
    <w:rsid w:val="138C4036"/>
    <w:rsid w:val="13AA778E"/>
    <w:rsid w:val="13AC043A"/>
    <w:rsid w:val="13DF7FB6"/>
    <w:rsid w:val="13FE7C6D"/>
    <w:rsid w:val="144D2351"/>
    <w:rsid w:val="14992A68"/>
    <w:rsid w:val="150C073C"/>
    <w:rsid w:val="152F73A3"/>
    <w:rsid w:val="15A10226"/>
    <w:rsid w:val="164B6F7F"/>
    <w:rsid w:val="16CE195E"/>
    <w:rsid w:val="17D6744D"/>
    <w:rsid w:val="17D96986"/>
    <w:rsid w:val="180C5F0E"/>
    <w:rsid w:val="18FA5F44"/>
    <w:rsid w:val="19483C4A"/>
    <w:rsid w:val="196D128E"/>
    <w:rsid w:val="19B20A6C"/>
    <w:rsid w:val="19D811D0"/>
    <w:rsid w:val="1A002803"/>
    <w:rsid w:val="1A0D0446"/>
    <w:rsid w:val="1A16264F"/>
    <w:rsid w:val="1B664C49"/>
    <w:rsid w:val="1BDE3FAE"/>
    <w:rsid w:val="1CA60353"/>
    <w:rsid w:val="1D290D4B"/>
    <w:rsid w:val="1DAB03A0"/>
    <w:rsid w:val="1E08141E"/>
    <w:rsid w:val="1E201763"/>
    <w:rsid w:val="1EA10FB7"/>
    <w:rsid w:val="1F2A12AE"/>
    <w:rsid w:val="1F2D7F7F"/>
    <w:rsid w:val="1F8E503C"/>
    <w:rsid w:val="1F9574BD"/>
    <w:rsid w:val="1FF91B61"/>
    <w:rsid w:val="211A1FE3"/>
    <w:rsid w:val="21276E59"/>
    <w:rsid w:val="2176090C"/>
    <w:rsid w:val="227C1DA8"/>
    <w:rsid w:val="227D0592"/>
    <w:rsid w:val="23B04AB4"/>
    <w:rsid w:val="240D361B"/>
    <w:rsid w:val="24160F0E"/>
    <w:rsid w:val="2434316A"/>
    <w:rsid w:val="24386A63"/>
    <w:rsid w:val="244D65B8"/>
    <w:rsid w:val="25CC175F"/>
    <w:rsid w:val="26284457"/>
    <w:rsid w:val="26C1271E"/>
    <w:rsid w:val="2715610A"/>
    <w:rsid w:val="27635C2B"/>
    <w:rsid w:val="27F25F8F"/>
    <w:rsid w:val="27F3759D"/>
    <w:rsid w:val="287F4EED"/>
    <w:rsid w:val="29554573"/>
    <w:rsid w:val="29896B40"/>
    <w:rsid w:val="29AB7035"/>
    <w:rsid w:val="2A13663A"/>
    <w:rsid w:val="2A3C3582"/>
    <w:rsid w:val="2ABC4B2C"/>
    <w:rsid w:val="2B013B6F"/>
    <w:rsid w:val="2B195E4A"/>
    <w:rsid w:val="2B670C03"/>
    <w:rsid w:val="2BFB5A53"/>
    <w:rsid w:val="2DBA4461"/>
    <w:rsid w:val="2DC05C79"/>
    <w:rsid w:val="2E0876A0"/>
    <w:rsid w:val="2EEA4D37"/>
    <w:rsid w:val="2EED1674"/>
    <w:rsid w:val="2F4D0025"/>
    <w:rsid w:val="2F866E22"/>
    <w:rsid w:val="2FB64CEA"/>
    <w:rsid w:val="2FEC460E"/>
    <w:rsid w:val="2FF7069B"/>
    <w:rsid w:val="30574A6C"/>
    <w:rsid w:val="3082601A"/>
    <w:rsid w:val="30C22E1E"/>
    <w:rsid w:val="31DB50A6"/>
    <w:rsid w:val="32412064"/>
    <w:rsid w:val="326551A1"/>
    <w:rsid w:val="32794F54"/>
    <w:rsid w:val="33060208"/>
    <w:rsid w:val="3361409D"/>
    <w:rsid w:val="33902D44"/>
    <w:rsid w:val="33EE1CCB"/>
    <w:rsid w:val="33F85EC8"/>
    <w:rsid w:val="34E47FD6"/>
    <w:rsid w:val="353F2B61"/>
    <w:rsid w:val="36563293"/>
    <w:rsid w:val="36BE2F41"/>
    <w:rsid w:val="3748158D"/>
    <w:rsid w:val="378227A8"/>
    <w:rsid w:val="379D0CB7"/>
    <w:rsid w:val="37E94C02"/>
    <w:rsid w:val="388B3098"/>
    <w:rsid w:val="393A62DD"/>
    <w:rsid w:val="397A0699"/>
    <w:rsid w:val="397C235B"/>
    <w:rsid w:val="3A297C5F"/>
    <w:rsid w:val="3A874290"/>
    <w:rsid w:val="3B0E305A"/>
    <w:rsid w:val="3B425087"/>
    <w:rsid w:val="3B6028FC"/>
    <w:rsid w:val="3C080C7C"/>
    <w:rsid w:val="3C3D4466"/>
    <w:rsid w:val="3C4801F9"/>
    <w:rsid w:val="3C6A0089"/>
    <w:rsid w:val="3E5B351B"/>
    <w:rsid w:val="3EAC0160"/>
    <w:rsid w:val="40EB3A1A"/>
    <w:rsid w:val="4111283B"/>
    <w:rsid w:val="414A0CEC"/>
    <w:rsid w:val="41AE4E2D"/>
    <w:rsid w:val="41F6583C"/>
    <w:rsid w:val="425F0FD5"/>
    <w:rsid w:val="42701895"/>
    <w:rsid w:val="4288051C"/>
    <w:rsid w:val="428816C3"/>
    <w:rsid w:val="4489205D"/>
    <w:rsid w:val="44E034CB"/>
    <w:rsid w:val="44FC3EF4"/>
    <w:rsid w:val="4516357D"/>
    <w:rsid w:val="458E713D"/>
    <w:rsid w:val="45956211"/>
    <w:rsid w:val="45A34871"/>
    <w:rsid w:val="45CA0E28"/>
    <w:rsid w:val="460A692F"/>
    <w:rsid w:val="46762552"/>
    <w:rsid w:val="46A51C83"/>
    <w:rsid w:val="47080AF9"/>
    <w:rsid w:val="470F7C14"/>
    <w:rsid w:val="479D480B"/>
    <w:rsid w:val="48022A19"/>
    <w:rsid w:val="488F17A8"/>
    <w:rsid w:val="48DF31EC"/>
    <w:rsid w:val="49007A20"/>
    <w:rsid w:val="49121BEA"/>
    <w:rsid w:val="49505DD6"/>
    <w:rsid w:val="49A546ED"/>
    <w:rsid w:val="4A0F4E1A"/>
    <w:rsid w:val="4A2032F8"/>
    <w:rsid w:val="4A305D30"/>
    <w:rsid w:val="4A44447F"/>
    <w:rsid w:val="4B22512F"/>
    <w:rsid w:val="4B595402"/>
    <w:rsid w:val="4B5B6FFA"/>
    <w:rsid w:val="4B78022A"/>
    <w:rsid w:val="4B786999"/>
    <w:rsid w:val="4BFE4817"/>
    <w:rsid w:val="4C5D0DF3"/>
    <w:rsid w:val="4C6B762C"/>
    <w:rsid w:val="4CA46812"/>
    <w:rsid w:val="4CB5474C"/>
    <w:rsid w:val="4CE373B4"/>
    <w:rsid w:val="4CE96918"/>
    <w:rsid w:val="4D2D09C8"/>
    <w:rsid w:val="4D430762"/>
    <w:rsid w:val="4D533E22"/>
    <w:rsid w:val="4DC54639"/>
    <w:rsid w:val="4E6A08AC"/>
    <w:rsid w:val="4EE34AD7"/>
    <w:rsid w:val="4F5329B5"/>
    <w:rsid w:val="4F94173A"/>
    <w:rsid w:val="4FBE7698"/>
    <w:rsid w:val="4FDD5C70"/>
    <w:rsid w:val="4FF322B4"/>
    <w:rsid w:val="51253D94"/>
    <w:rsid w:val="529B5E96"/>
    <w:rsid w:val="52A676D1"/>
    <w:rsid w:val="52FC20D8"/>
    <w:rsid w:val="53965F18"/>
    <w:rsid w:val="539E4778"/>
    <w:rsid w:val="53C2174D"/>
    <w:rsid w:val="53C31185"/>
    <w:rsid w:val="53CA39BE"/>
    <w:rsid w:val="544375B1"/>
    <w:rsid w:val="54934A33"/>
    <w:rsid w:val="54FE5F02"/>
    <w:rsid w:val="55213483"/>
    <w:rsid w:val="55395837"/>
    <w:rsid w:val="55475277"/>
    <w:rsid w:val="55C81B90"/>
    <w:rsid w:val="55CD45AD"/>
    <w:rsid w:val="55D7670B"/>
    <w:rsid w:val="55DF72E8"/>
    <w:rsid w:val="560D77B3"/>
    <w:rsid w:val="56473813"/>
    <w:rsid w:val="5649283B"/>
    <w:rsid w:val="579C2213"/>
    <w:rsid w:val="57C37992"/>
    <w:rsid w:val="57C6603F"/>
    <w:rsid w:val="58013251"/>
    <w:rsid w:val="58425D65"/>
    <w:rsid w:val="58462650"/>
    <w:rsid w:val="58C414B1"/>
    <w:rsid w:val="596A2FB8"/>
    <w:rsid w:val="5A09056C"/>
    <w:rsid w:val="5A8A37E2"/>
    <w:rsid w:val="5AA8087B"/>
    <w:rsid w:val="5BCD6411"/>
    <w:rsid w:val="5C4311DE"/>
    <w:rsid w:val="5D1C6207"/>
    <w:rsid w:val="5D815999"/>
    <w:rsid w:val="5DF654B2"/>
    <w:rsid w:val="5E5876B1"/>
    <w:rsid w:val="5E6A153A"/>
    <w:rsid w:val="5F0F108C"/>
    <w:rsid w:val="5F915429"/>
    <w:rsid w:val="5F972529"/>
    <w:rsid w:val="5FCA5E96"/>
    <w:rsid w:val="604F1456"/>
    <w:rsid w:val="60A51D60"/>
    <w:rsid w:val="60DF662C"/>
    <w:rsid w:val="61413DED"/>
    <w:rsid w:val="617C6AFE"/>
    <w:rsid w:val="61FE7CF8"/>
    <w:rsid w:val="623427C4"/>
    <w:rsid w:val="631E09BF"/>
    <w:rsid w:val="640E0860"/>
    <w:rsid w:val="647B0D52"/>
    <w:rsid w:val="649E4A88"/>
    <w:rsid w:val="65227F1C"/>
    <w:rsid w:val="653058B4"/>
    <w:rsid w:val="65722283"/>
    <w:rsid w:val="658E5D94"/>
    <w:rsid w:val="659757B0"/>
    <w:rsid w:val="65BD5640"/>
    <w:rsid w:val="65F269AB"/>
    <w:rsid w:val="665D2124"/>
    <w:rsid w:val="66A10F5F"/>
    <w:rsid w:val="67006426"/>
    <w:rsid w:val="674D494C"/>
    <w:rsid w:val="67A0771E"/>
    <w:rsid w:val="68AB4136"/>
    <w:rsid w:val="69056AC1"/>
    <w:rsid w:val="69912B5A"/>
    <w:rsid w:val="69976878"/>
    <w:rsid w:val="69C97E5A"/>
    <w:rsid w:val="69E9701B"/>
    <w:rsid w:val="6A920A7B"/>
    <w:rsid w:val="6AF04C15"/>
    <w:rsid w:val="6B1421E6"/>
    <w:rsid w:val="6B2F79C4"/>
    <w:rsid w:val="6BBC3789"/>
    <w:rsid w:val="6BC53082"/>
    <w:rsid w:val="6BCD5C2B"/>
    <w:rsid w:val="6BFD5DC2"/>
    <w:rsid w:val="6C186AE6"/>
    <w:rsid w:val="6D0102C6"/>
    <w:rsid w:val="6D3F16C7"/>
    <w:rsid w:val="6D411B2B"/>
    <w:rsid w:val="6D4F683E"/>
    <w:rsid w:val="6DB456F6"/>
    <w:rsid w:val="6E776260"/>
    <w:rsid w:val="6EB819AF"/>
    <w:rsid w:val="6EFD27DD"/>
    <w:rsid w:val="6F4F3EB5"/>
    <w:rsid w:val="6FE1661C"/>
    <w:rsid w:val="706346E0"/>
    <w:rsid w:val="707A58D6"/>
    <w:rsid w:val="70F34E95"/>
    <w:rsid w:val="711944CF"/>
    <w:rsid w:val="71C93205"/>
    <w:rsid w:val="71D52872"/>
    <w:rsid w:val="72C21D45"/>
    <w:rsid w:val="73510585"/>
    <w:rsid w:val="74090BAA"/>
    <w:rsid w:val="745A254B"/>
    <w:rsid w:val="757E2CC6"/>
    <w:rsid w:val="75C4029B"/>
    <w:rsid w:val="75CE14D5"/>
    <w:rsid w:val="766F5948"/>
    <w:rsid w:val="769B22DB"/>
    <w:rsid w:val="771E7BA7"/>
    <w:rsid w:val="77533429"/>
    <w:rsid w:val="77E229E9"/>
    <w:rsid w:val="77FC5C4F"/>
    <w:rsid w:val="77FF0779"/>
    <w:rsid w:val="780D4B19"/>
    <w:rsid w:val="78F46372"/>
    <w:rsid w:val="78FF4112"/>
    <w:rsid w:val="7B52047F"/>
    <w:rsid w:val="7B8E18B1"/>
    <w:rsid w:val="7BC97448"/>
    <w:rsid w:val="7BF429CD"/>
    <w:rsid w:val="7C0677E4"/>
    <w:rsid w:val="7C163606"/>
    <w:rsid w:val="7C3D4FC1"/>
    <w:rsid w:val="7C7554E6"/>
    <w:rsid w:val="7CE267D9"/>
    <w:rsid w:val="7D7A3929"/>
    <w:rsid w:val="7DC24231"/>
    <w:rsid w:val="7DC720AD"/>
    <w:rsid w:val="7DE20954"/>
    <w:rsid w:val="7E90170E"/>
    <w:rsid w:val="7F157C72"/>
    <w:rsid w:val="7F615550"/>
    <w:rsid w:val="7F83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160" w:line="278" w:lineRule="auto"/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 w:val="44"/>
      <w:szCs w:val="44"/>
    </w:rPr>
  </w:style>
  <w:style w:type="paragraph" w:styleId="3">
    <w:name w:val="Body Text First Indent 2"/>
    <w:basedOn w:val="4"/>
    <w:next w:val="1"/>
    <w:qFormat/>
    <w:uiPriority w:val="0"/>
    <w:pPr>
      <w:ind w:firstLine="420" w:firstLineChars="200"/>
    </w:p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customStyle="1" w:styleId="5">
    <w:name w:val="样式 正文文本缩进 + 行距: 1.5 倍行距"/>
    <w:basedOn w:val="1"/>
    <w:qFormat/>
    <w:uiPriority w:val="0"/>
    <w:pPr>
      <w:spacing w:after="120" w:line="360" w:lineRule="auto"/>
      <w:ind w:left="90" w:leftChars="32" w:firstLine="560" w:firstLineChars="200"/>
    </w:pPr>
    <w:rPr>
      <w:rFonts w:ascii="Calibri" w:hAnsi="Calibri" w:cs="Times New Roman"/>
      <w:sz w:val="24"/>
    </w:rPr>
  </w:style>
  <w:style w:type="paragraph" w:styleId="7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Body Text 2"/>
    <w:basedOn w:val="1"/>
    <w:qFormat/>
    <w:uiPriority w:val="0"/>
    <w:pPr>
      <w:adjustRightInd w:val="0"/>
      <w:spacing w:line="360" w:lineRule="auto"/>
    </w:pPr>
    <w:rPr>
      <w:rFonts w:ascii="楷体_GB2312" w:eastAsia="楷体_GB2312"/>
      <w:kern w:val="44"/>
      <w:sz w:val="28"/>
    </w:rPr>
  </w:style>
  <w:style w:type="character" w:styleId="12">
    <w:name w:val="Emphasis"/>
    <w:basedOn w:val="11"/>
    <w:qFormat/>
    <w:uiPriority w:val="20"/>
    <w:rPr>
      <w:i/>
      <w:iCs/>
    </w:rPr>
  </w:style>
  <w:style w:type="character" w:customStyle="1" w:styleId="13">
    <w:name w:val="NormalCharacter"/>
    <w:semiHidden/>
    <w:qFormat/>
    <w:uiPriority w:val="0"/>
  </w:style>
  <w:style w:type="table" w:customStyle="1" w:styleId="14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="Calibri" w:hAnsi="Calibri" w:cs="Times New Roman"/>
      <w:szCs w:val="22"/>
    </w:rPr>
  </w:style>
  <w:style w:type="character" w:customStyle="1" w:styleId="16">
    <w:name w:val="页脚 字符"/>
    <w:basedOn w:val="11"/>
    <w:link w:val="7"/>
    <w:qFormat/>
    <w:uiPriority w:val="99"/>
    <w:rPr>
      <w:rFonts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3516</Words>
  <Characters>3782</Characters>
  <Lines>19</Lines>
  <Paragraphs>5</Paragraphs>
  <TotalTime>11</TotalTime>
  <ScaleCrop>false</ScaleCrop>
  <LinksUpToDate>false</LinksUpToDate>
  <CharactersWithSpaces>3819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2022-06-26T06:27:00Z</dcterms:created>
  <dc:creator>lenovo</dc:creator>
  <cp:lastModifiedBy>Administrator</cp:lastModifiedBy>
  <cp:lastPrinted>2024-11-18T06:08:00Z</cp:lastPrinted>
  <dcterms:modified xsi:type="dcterms:W3CDTF">2025-03-13T09:16:25Z</dcterms:modified>
  <cp:revision>1240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1385FB9F4AC749EBB94D8DB85FB6BC14_13</vt:lpwstr>
  </property>
  <property fmtid="{D5CDD505-2E9C-101B-9397-08002B2CF9AE}" pid="4" name="KSOTemplateDocerSaveRecord">
    <vt:lpwstr>eyJoZGlkIjoiY2Y4YzgzNjgyODIzNjkzZmNjNGI2MGFiODhkZjBlYjYifQ==</vt:lpwstr>
  </property>
</Properties>
</file>