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217"/>
        <w:ind w:left="0" w:leftChars="0" w:firstLine="0" w:firstLineChars="0"/>
        <w:rPr>
          <w:rFonts w:ascii="黑体"/>
        </w:rPr>
      </w:pPr>
      <w:r>
        <w:rPr>
          <w:rFonts w:ascii="黑体"/>
        </w:rPr>
        <w:t>ZQDR-2025-0010002</w:t>
      </w:r>
    </w:p>
    <w:p>
      <w:pPr>
        <w:spacing w:line="200" w:lineRule="exact"/>
        <w:ind w:left="0" w:leftChars="0" w:firstLine="0" w:firstLineChars="0"/>
        <w:jc w:val="both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ind w:left="0" w:leftChars="0" w:firstLine="0" w:firstLineChars="0"/>
        <w:jc w:val="both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1500" w:lineRule="exact"/>
        <w:ind w:left="0" w:leftChars="0" w:firstLine="0" w:firstLineChars="0"/>
        <w:jc w:val="center"/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</w:pPr>
      <w:r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  <w:t>济南市章丘区人民政府文件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</w:p>
    <w:p>
      <w:pPr>
        <w:spacing w:line="600" w:lineRule="exact"/>
        <w:jc w:val="center"/>
        <w:rPr>
          <w:rFonts w:hint="eastAsia" w:hAnsi="文星标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tabs>
          <w:tab w:val="center" w:pos="4422"/>
          <w:tab w:val="right" w:pos="8844"/>
        </w:tabs>
        <w:spacing w:line="400" w:lineRule="exact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default" w:ascii="华文中宋" w:hAnsi="华文中宋" w:eastAsia="华文中宋"/>
          <w:b/>
          <w:color w:val="000000"/>
          <w:sz w:val="125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615940" cy="0"/>
                <wp:effectExtent l="0" t="9525" r="381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4pt;height:0pt;width:442.2pt;z-index:251659264;mso-width-relative:page;mso-height-relative:page;" filled="f" stroked="t" coordsize="21600,21600" o:gfxdata="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AjG69UAAAAGAQAADwAAAAAAAAABACAAAAAiAAAAZHJzL2Rvd25y&#10;ZXYueG1sUEsBAhQAFAAAAAgAh07iQL9qM3wBAgAA/QMAAA4AAAAAAAAAAQAgAAAAJA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eastAsia"/>
          <w:sz w:val="43"/>
          <w:szCs w:val="4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8" w:firstLineChars="45"/>
        <w:contextualSpacing/>
        <w:jc w:val="center"/>
        <w:textAlignment w:val="auto"/>
        <w:outlineLvl w:val="0"/>
        <w:rPr>
          <w:rFonts w:ascii="文星标宋" w:hAnsi="文星标宋" w:eastAsia="文星标宋" w:cs="文星标宋"/>
          <w:kern w:val="36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kern w:val="36"/>
          <w:sz w:val="44"/>
          <w:szCs w:val="44"/>
          <w:lang w:eastAsia="zh-CN"/>
        </w:rPr>
        <w:t>济南市章丘区人民政府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8" w:firstLineChars="45"/>
        <w:contextualSpacing/>
        <w:jc w:val="center"/>
        <w:textAlignment w:val="auto"/>
        <w:outlineLvl w:val="0"/>
        <w:rPr>
          <w:rFonts w:ascii="文星标宋" w:hAnsi="文星标宋" w:eastAsia="文星标宋" w:cs="文星标宋"/>
          <w:kern w:val="36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kern w:val="36"/>
          <w:sz w:val="44"/>
          <w:szCs w:val="44"/>
          <w:lang w:eastAsia="zh-CN"/>
        </w:rPr>
        <w:t>关于公布禁止开垦陡坡地范围的通告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为有效预防和治理水土流失，保护生态环境，根据《中华人民共和国水土保持法》《山东省水土保持条例》《济南市水土保持条例》等法律法规，我区已划定二十五度以上陡坡地禁止开垦范围。现就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一、范围划定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济南市章丘区禁止开垦陡坡地范围涉及双山街道、埠村街道、普集街道、绣惠街道、相公庄街道、文祖街道、官庄街道、曹范街道、刁镇街道及垛庄镇等10个街镇。具体分布区域及面积详见附件。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二、禁止内容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在划定范围内，禁止新开垦土地种植农作物。已开垦的土地应按照国家有关规定实施退耕，恢复植树种草；对耕地短缺、退耕确有困难的，须采取修建梯田或其他水土保持措施，有效防治水土流失。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三、经济林管理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在禁止开垦陡坡地范围内种植经济林的，应科学选择树种，合理控制规模，严格落实林下植被保护、蓄水保土等措施，防止造成水土流失。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四、违规处罚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对违反本通告规定，在禁止开垦陡坡地范围内开垦种植农作物的，将依据《中华人民共和国水土保持法》第四十九条予以处罚。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五、施行时间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本通告自2025年11月1日起施行。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特此通告。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附件：1.章丘区禁止开垦陡坡地面积统计表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1600" w:firstLineChars="50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2.章丘区禁止开垦陡坡地范围分布示意图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济南市章丘区人民政府</w:t>
      </w:r>
    </w:p>
    <w:p>
      <w:pPr>
        <w:keepNext w:val="0"/>
        <w:keepLines w:val="0"/>
        <w:pageBreakBefore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320"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ascii="仿宋_GB2312" w:hAnsi="仿宋" w:eastAsia="仿宋_GB2312" w:cs="仿宋"/>
          <w:sz w:val="32"/>
          <w:szCs w:val="32"/>
          <w:lang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left"/>
        <w:textAlignment w:val="auto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-10"/>
          <w:sz w:val="32"/>
          <w:szCs w:val="32"/>
          <w:lang w:eastAsia="zh-CN"/>
        </w:rPr>
        <w:t>联系电话：区城乡水务局水保科，0</w:t>
      </w:r>
      <w:r>
        <w:rPr>
          <w:rFonts w:ascii="仿宋_GB2312" w:hAnsi="宋体" w:eastAsia="仿宋_GB2312" w:cs="宋体"/>
          <w:spacing w:val="-10"/>
          <w:sz w:val="32"/>
          <w:szCs w:val="32"/>
          <w:lang w:eastAsia="zh-CN"/>
        </w:rPr>
        <w:t>531-83214151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（此件公开发布）</w:t>
      </w:r>
    </w:p>
    <w:p>
      <w:pPr>
        <w:ind w:firstLine="0" w:firstLineChars="0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1</w:t>
      </w:r>
    </w:p>
    <w:p>
      <w:pPr>
        <w:ind w:firstLine="0" w:firstLineChars="0"/>
        <w:jc w:val="center"/>
        <w:rPr>
          <w:rFonts w:ascii="文星标宋" w:hAnsi="文星标宋" w:eastAsia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/>
          <w:sz w:val="44"/>
          <w:szCs w:val="44"/>
          <w:lang w:eastAsia="zh-CN"/>
        </w:rPr>
        <w:t>章丘区禁止开垦陡坡地面积统计表</w:t>
      </w:r>
    </w:p>
    <w:tbl>
      <w:tblPr>
        <w:tblStyle w:val="16"/>
        <w:tblW w:w="513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44"/>
        <w:gridCol w:w="3682"/>
        <w:gridCol w:w="2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tblHeader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序号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镇街名称</w:t>
            </w:r>
          </w:p>
        </w:tc>
        <w:tc>
          <w:tcPr>
            <w:tcW w:w="1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禁止开垦陡坡地面积（hm</w:t>
            </w:r>
            <w:r>
              <w:rPr>
                <w:rFonts w:hint="eastAsia" w:ascii="黑体" w:hAnsi="黑体" w:eastAsia="黑体" w:cs="Times New Roman"/>
                <w:kern w:val="2"/>
                <w:szCs w:val="28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）</w:t>
            </w:r>
          </w:p>
        </w:tc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辖区国土面积（km</w:t>
            </w:r>
            <w:r>
              <w:rPr>
                <w:rFonts w:ascii="Calibri" w:hAnsi="Calibri" w:eastAsia="黑体" w:cs="Calibri"/>
                <w:kern w:val="2"/>
                <w:szCs w:val="28"/>
                <w:lang w:eastAsia="zh-CN"/>
              </w:rPr>
              <w:t>²</w:t>
            </w: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双山街道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291.40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7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3.64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埠村街道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88.60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4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普集街道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983.01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4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绣惠街道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48.33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5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5.84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5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相公庄街道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677.20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8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6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文祖街道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2197.00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19.98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7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官庄街道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3692.56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86.36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8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曹范街道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1786.14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19.97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9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刁镇街道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138.38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64.50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10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垛庄镇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4090.86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2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9.50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合计</w:t>
            </w:r>
          </w:p>
        </w:tc>
        <w:tc>
          <w:tcPr>
            <w:tcW w:w="1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13993.48</w:t>
            </w:r>
          </w:p>
        </w:tc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1092.16</w:t>
            </w:r>
          </w:p>
        </w:tc>
      </w:tr>
    </w:tbl>
    <w:p>
      <w:pPr>
        <w:ind w:firstLine="560"/>
        <w:jc w:val="center"/>
        <w:rPr>
          <w:lang w:eastAsia="zh-CN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>
      <w:pPr>
        <w:ind w:firstLine="0" w:firstLineChars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附件2</w:t>
      </w:r>
    </w:p>
    <w:p>
      <w:pPr>
        <w:ind w:firstLine="0" w:firstLineChars="0"/>
        <w:jc w:val="center"/>
        <w:rPr>
          <w:rFonts w:ascii="文星标宋" w:hAnsi="文星标宋" w:eastAsia="文星标宋"/>
          <w:sz w:val="44"/>
          <w:szCs w:val="44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287655</wp:posOffset>
            </wp:positionV>
            <wp:extent cx="4576445" cy="5831840"/>
            <wp:effectExtent l="0" t="0" r="14605" b="16510"/>
            <wp:wrapNone/>
            <wp:docPr id="1" name="图片 1" descr="章丘区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丘区分布图"/>
                    <pic:cNvPicPr>
                      <a:picLocks noChangeAspect="1"/>
                    </pic:cNvPicPr>
                  </pic:nvPicPr>
                  <pic:blipFill>
                    <a:blip r:embed="rId12"/>
                    <a:srcRect b="1062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58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章丘区禁止开垦陡坡地范围分布示意图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80" w:rightChars="100"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23495</wp:posOffset>
                </wp:positionV>
                <wp:extent cx="5615940" cy="17780"/>
                <wp:effectExtent l="0" t="7620" r="3810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5pt;margin-top:1.85pt;height:1.4pt;width:442.2pt;z-index:251661312;mso-width-relative:page;mso-height-relative:page;" filled="f" stroked="t" coordsize="21600,21600" o:gfxdata="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z0LKPVAAAABwEAAA8AAAAAAAAAAQAgAAAAIgAA&#10;AGRycy9kb3ducmV2LnhtbFBLAQIUABQAAAAIAIdO4kBv0l7VCwIAAAsEAAAOAAAAAAAAAAEAIAAA&#10;ACQ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抄送：区委办公室，区人大常委会办公室，区政协办公室，区法院，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" w:leftChars="100" w:right="280" w:rightChars="100" w:firstLine="84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80" w:rightChars="100" w:firstLine="280" w:firstLineChars="100"/>
        <w:textAlignment w:val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435610</wp:posOffset>
                </wp:positionV>
                <wp:extent cx="5615940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5pt;margin-top:34.3pt;height:0.3pt;width:442.2pt;z-index:251662336;mso-width-relative:page;mso-height-relative:page;" filled="f" stroked="t" coordsize="21600,21600" o:gfxdata="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+wZ9q1gAAAAkBAAAPAAAAAAAAAAEAIAAAACIA&#10;AABkcnMvZG93bnJldi54bWxQSwECFAAUAAAACACHTuJAgNkACwsCAAAKBAAADgAAAAAAAAABACAA&#10;AAAl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50165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5pt;margin-top:3.95pt;height:0pt;width:442.2pt;z-index:251663360;mso-width-relative:page;mso-height-relative:page;" filled="f" stroked="t" coordsize="21600,21600" o:gfxdata="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JnXfdMAAAAHAQAADwAAAAAAAAABACAAAAAiAAAAZHJzL2Rv&#10;d25yZXYueG1sUEsBAhQAFAAAAAgAh07iQMLaLC8GAgAABgQAAA4AAAAAAAAAAQAgAAAAI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济南市章丘区人民政府办公室　　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4384;mso-width-relative:page;mso-height-relative:page;" fillcolor="#FFFFFF" filled="t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+Cw62gAAAA0BAAAPAAAAAAAAAAEAIAAAACIAAABkcnMvZG93bnJl&#10;di54bWxQSwECFAAUAAAACACHTuJAq5JoYfsBAAAsBAAADgAAAAAAAAABACAAAAAp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0288;mso-width-relative:page;mso-height-relative:page;" fillcolor="#FFFFFF" filled="t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vgsOtoAAAANAQAADwAAAAAAAAABACAAAAAiAAAAZHJzL2Rvd25y&#10;ZXYueG1sUEsBAhQAFAAAAAgAh07iQGX/zvr8AQAALg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4747284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ind w:firstLine="0" w:firstLineChars="0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4747284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ind w:firstLine="0" w:firstLineChars="0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YTdiNGE5NWFjMmY5MTFkYThkYTk0YWZjYzg2MjgifQ=="/>
  </w:docVars>
  <w:rsids>
    <w:rsidRoot w:val="00C93949"/>
    <w:rsid w:val="00067AC6"/>
    <w:rsid w:val="00070F49"/>
    <w:rsid w:val="000E3626"/>
    <w:rsid w:val="000E6BEC"/>
    <w:rsid w:val="0011611C"/>
    <w:rsid w:val="00126D7D"/>
    <w:rsid w:val="001C23B9"/>
    <w:rsid w:val="00240062"/>
    <w:rsid w:val="00270BAB"/>
    <w:rsid w:val="002F633C"/>
    <w:rsid w:val="00342222"/>
    <w:rsid w:val="00431FAE"/>
    <w:rsid w:val="0047488D"/>
    <w:rsid w:val="00483366"/>
    <w:rsid w:val="00496C6B"/>
    <w:rsid w:val="004B6D9A"/>
    <w:rsid w:val="00531CBE"/>
    <w:rsid w:val="005669D5"/>
    <w:rsid w:val="00636C44"/>
    <w:rsid w:val="006B3CDA"/>
    <w:rsid w:val="00792002"/>
    <w:rsid w:val="007B2122"/>
    <w:rsid w:val="007D3B89"/>
    <w:rsid w:val="00813518"/>
    <w:rsid w:val="008B60C7"/>
    <w:rsid w:val="00965FB1"/>
    <w:rsid w:val="00984A0F"/>
    <w:rsid w:val="00A10CD7"/>
    <w:rsid w:val="00B4173F"/>
    <w:rsid w:val="00B70226"/>
    <w:rsid w:val="00C93949"/>
    <w:rsid w:val="00CB5D7A"/>
    <w:rsid w:val="00D63617"/>
    <w:rsid w:val="00DA299B"/>
    <w:rsid w:val="00DE2074"/>
    <w:rsid w:val="00E07E06"/>
    <w:rsid w:val="00E27F40"/>
    <w:rsid w:val="00FF6674"/>
    <w:rsid w:val="06A3355A"/>
    <w:rsid w:val="07822D06"/>
    <w:rsid w:val="1FFC646D"/>
    <w:rsid w:val="32A0200E"/>
    <w:rsid w:val="43D95F5E"/>
    <w:rsid w:val="475F0D2D"/>
    <w:rsid w:val="65564E26"/>
    <w:rsid w:val="69B56E68"/>
    <w:rsid w:val="780C57A3"/>
    <w:rsid w:val="794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Cs w:val="28"/>
      <w:lang w:eastAsia="zh-CN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lang w:eastAsia="zh-CN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12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paragraph" w:customStyle="1" w:styleId="18">
    <w:name w:val="BodyText"/>
    <w:basedOn w:val="1"/>
    <w:qFormat/>
    <w:uiPriority w:val="99"/>
    <w:pPr>
      <w:adjustRightInd/>
      <w:snapToGrid/>
      <w:spacing w:after="120" w:line="240" w:lineRule="auto"/>
      <w:ind w:firstLine="0" w:firstLineChars="0"/>
    </w:pPr>
    <w:rPr>
      <w:rFonts w:asciiTheme="minorHAnsi" w:hAnsiTheme="minorHAnsi" w:eastAsiaTheme="minorEastAsia"/>
      <w:kern w:val="2"/>
      <w:sz w:val="21"/>
      <w:szCs w:val="24"/>
      <w:lang w:eastAsia="zh-CN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autoRedefine/>
    <w:qFormat/>
    <w:uiPriority w:val="0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autoRedefine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kern w:val="2"/>
      <w:sz w:val="21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2F5597" w:themeColor="accent1" w:themeShade="BF"/>
      <w:kern w:val="2"/>
      <w:sz w:val="21"/>
      <w:lang w:eastAsia="zh-CN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强调1"/>
    <w:basedOn w:val="17"/>
    <w:autoRedefine/>
    <w:qFormat/>
    <w:uiPriority w:val="21"/>
    <w:rPr>
      <w:i/>
      <w:iCs/>
      <w:color w:val="2F5597" w:themeColor="accent1" w:themeShade="BF"/>
    </w:rPr>
  </w:style>
  <w:style w:type="character" w:customStyle="1" w:styleId="36">
    <w:name w:val="明显参考1"/>
    <w:basedOn w:val="17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autoRedefine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character" w:customStyle="1" w:styleId="38">
    <w:name w:val="页脚 字符"/>
    <w:basedOn w:val="17"/>
    <w:link w:val="12"/>
    <w:autoRedefine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614</Words>
  <Characters>670</Characters>
  <Lines>6</Lines>
  <Paragraphs>1</Paragraphs>
  <TotalTime>0</TotalTime>
  <ScaleCrop>false</ScaleCrop>
  <LinksUpToDate>false</LinksUpToDate>
  <CharactersWithSpaces>711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2025-10-29T02:49:00Z</dcterms:created>
  <dc:creator>Administrator</dc:creator>
  <cp:lastModifiedBy>爱舞</cp:lastModifiedBy>
  <cp:lastPrinted>2025-08-08T09:06:00Z</cp:lastPrinted>
  <dcterms:modified xsi:type="dcterms:W3CDTF">2025-11-05T02:17:30Z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eyJoZGlkIjoiY2Y4YzgzNjgyODIzNjkzZmNjNGI2MGFiODhkZjBlYjYiLCJ1c2VySWQiOiIyNDIyODMzODQifQ==</vt:lpwstr>
  </property>
  <property fmtid="{D5CDD505-2E9C-101B-9397-08002B2CF9AE}" pid="3" name="KSOProductBuildVer">
    <vt:lpwstr>2052-12.1.0.16120</vt:lpwstr>
  </property>
  <property fmtid="{D5CDD505-2E9C-101B-9397-08002B2CF9AE}" pid="4" name="ICV">
    <vt:lpwstr>D5253BD4A1E840F9B8947120F5F2C450_13</vt:lpwstr>
  </property>
</Properties>
</file>