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Times New Roman" w:eastAsia="方正小标宋简体" w:cs="Times New Roman"/>
          <w:bCs/>
          <w:color w:val="000000"/>
          <w:sz w:val="44"/>
          <w:szCs w:val="24"/>
        </w:rPr>
      </w:pPr>
      <w:r>
        <w:rPr>
          <w:rFonts w:hint="eastAsia" w:ascii="方正小标宋简体" w:hAnsi="Times New Roman" w:eastAsia="方正小标宋简体" w:cs="Times New Roman"/>
          <w:bCs/>
          <w:color w:val="000000"/>
          <w:sz w:val="44"/>
          <w:szCs w:val="24"/>
        </w:rPr>
        <w:t>济南市章丘区202</w:t>
      </w:r>
      <w:r>
        <w:rPr>
          <w:rFonts w:hint="eastAsia" w:ascii="方正小标宋简体" w:hAnsi="Times New Roman" w:eastAsia="方正小标宋简体" w:cs="Times New Roman"/>
          <w:bCs/>
          <w:color w:val="000000"/>
          <w:sz w:val="44"/>
          <w:szCs w:val="24"/>
          <w:lang w:val="en-US" w:eastAsia="zh-CN"/>
        </w:rPr>
        <w:t>4</w:t>
      </w:r>
      <w:r>
        <w:rPr>
          <w:rFonts w:hint="eastAsia" w:ascii="方正小标宋简体" w:hAnsi="Times New Roman" w:eastAsia="方正小标宋简体" w:cs="Times New Roman"/>
          <w:bCs/>
          <w:color w:val="000000"/>
          <w:sz w:val="44"/>
          <w:szCs w:val="24"/>
        </w:rPr>
        <w:t>年度区级</w:t>
      </w:r>
    </w:p>
    <w:p>
      <w:pPr>
        <w:spacing w:line="580" w:lineRule="exact"/>
        <w:jc w:val="center"/>
        <w:rPr>
          <w:rFonts w:ascii="方正小标宋简体" w:hAnsi="Times New Roman" w:eastAsia="方正小标宋简体" w:cs="Times New Roman"/>
          <w:bCs/>
          <w:color w:val="000000"/>
          <w:sz w:val="44"/>
          <w:szCs w:val="24"/>
        </w:rPr>
      </w:pPr>
      <w:r>
        <w:rPr>
          <w:rFonts w:hint="eastAsia" w:ascii="方正小标宋简体" w:hAnsi="Times New Roman" w:eastAsia="方正小标宋简体" w:cs="Times New Roman"/>
          <w:bCs/>
          <w:color w:val="000000"/>
          <w:sz w:val="44"/>
          <w:szCs w:val="24"/>
        </w:rPr>
        <w:t>绩效评价情况说明</w:t>
      </w:r>
    </w:p>
    <w:p>
      <w:pPr>
        <w:spacing w:line="580" w:lineRule="exact"/>
        <w:jc w:val="center"/>
        <w:rPr>
          <w:rFonts w:ascii="方正小标宋简体" w:hAnsi="Times New Roman" w:eastAsia="方正小标宋简体" w:cs="Times New Roman"/>
          <w:bCs/>
          <w:color w:val="000000"/>
          <w:sz w:val="44"/>
          <w:szCs w:val="24"/>
        </w:rPr>
      </w:pPr>
    </w:p>
    <w:p>
      <w:pPr>
        <w:adjustRightInd w:val="0"/>
        <w:snapToGrid w:val="0"/>
        <w:spacing w:line="620" w:lineRule="exact"/>
        <w:ind w:firstLine="707" w:firstLineChars="221"/>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为贯彻落实中央、省、市及我区关于全面推进预算绩效管理的决策部署，进一步深化预算绩效管理，202</w:t>
      </w:r>
      <w:r>
        <w:rPr>
          <w:rFonts w:hint="eastAsia" w:ascii="仿宋_GB2312" w:hAnsi="Times New Roman" w:eastAsia="仿宋_GB2312" w:cs="Times New Roman"/>
          <w:kern w:val="0"/>
          <w:sz w:val="32"/>
          <w:szCs w:val="32"/>
          <w:lang w:val="en-US" w:eastAsia="zh-CN"/>
        </w:rPr>
        <w:t>5</w:t>
      </w:r>
      <w:r>
        <w:rPr>
          <w:rFonts w:hint="eastAsia" w:ascii="仿宋_GB2312" w:hAnsi="Times New Roman" w:eastAsia="仿宋_GB2312" w:cs="Times New Roman"/>
          <w:kern w:val="0"/>
          <w:sz w:val="32"/>
          <w:szCs w:val="32"/>
        </w:rPr>
        <w:t>年我区积极开展绩效评价，区财政部门组织和指导区直部门单位开展了项目支出绩效自评、部门重点评价和财政重点评价等工作，全方位、多维度反映财政资金使用绩效和政策实施效果，进一步提高财政资金使用效益。现将有关情况公告如下：</w:t>
      </w:r>
    </w:p>
    <w:p>
      <w:pPr>
        <w:pStyle w:val="10"/>
        <w:adjustRightInd w:val="0"/>
        <w:snapToGrid w:val="0"/>
        <w:spacing w:line="620" w:lineRule="exact"/>
        <w:ind w:firstLine="707" w:firstLineChars="221"/>
        <w:rPr>
          <w:rFonts w:ascii="黑体" w:hAnsi="黑体" w:eastAsia="黑体"/>
          <w:sz w:val="32"/>
          <w:szCs w:val="32"/>
        </w:rPr>
      </w:pPr>
      <w:r>
        <w:rPr>
          <w:rFonts w:hint="eastAsia" w:ascii="黑体" w:hAnsi="黑体" w:eastAsia="黑体"/>
          <w:sz w:val="32"/>
          <w:szCs w:val="32"/>
        </w:rPr>
        <w:t>一、绩效自评开展情况和自评结果</w:t>
      </w:r>
    </w:p>
    <w:p>
      <w:pPr>
        <w:adjustRightInd w:val="0"/>
        <w:snapToGrid w:val="0"/>
        <w:spacing w:line="620" w:lineRule="exact"/>
        <w:ind w:firstLine="707" w:firstLineChars="221"/>
        <w:rPr>
          <w:rFonts w:ascii="仿宋_GB2312" w:hAnsi="仿宋_GB2312" w:eastAsia="仿宋_GB2312" w:cs="仿宋_GB2312"/>
          <w:sz w:val="32"/>
          <w:szCs w:val="32"/>
        </w:rPr>
      </w:pPr>
      <w:r>
        <w:rPr>
          <w:rFonts w:hint="eastAsia" w:ascii="仿宋_GB2312" w:hAnsi="Times New Roman" w:eastAsia="仿宋_GB2312" w:cs="Times New Roman"/>
          <w:kern w:val="0"/>
          <w:sz w:val="32"/>
          <w:szCs w:val="32"/>
        </w:rPr>
        <w:t>202</w:t>
      </w:r>
      <w:r>
        <w:rPr>
          <w:rFonts w:hint="eastAsia" w:ascii="仿宋_GB2312" w:hAnsi="Times New Roman" w:eastAsia="仿宋_GB2312" w:cs="Times New Roman"/>
          <w:kern w:val="0"/>
          <w:sz w:val="32"/>
          <w:szCs w:val="32"/>
          <w:lang w:val="en-US" w:eastAsia="zh-CN"/>
        </w:rPr>
        <w:t>5</w:t>
      </w:r>
      <w:r>
        <w:rPr>
          <w:rFonts w:hint="eastAsia" w:ascii="仿宋_GB2312" w:hAnsi="Times New Roman" w:eastAsia="仿宋_GB2312" w:cs="Times New Roman"/>
          <w:kern w:val="0"/>
          <w:sz w:val="32"/>
          <w:szCs w:val="32"/>
        </w:rPr>
        <w:t>年，区财政局组织区直部门单位开展了202</w:t>
      </w:r>
      <w:r>
        <w:rPr>
          <w:rFonts w:hint="eastAsia" w:ascii="仿宋_GB2312" w:hAnsi="Times New Roman" w:eastAsia="仿宋_GB2312" w:cs="Times New Roman"/>
          <w:kern w:val="0"/>
          <w:sz w:val="32"/>
          <w:szCs w:val="32"/>
          <w:lang w:val="en-US" w:eastAsia="zh-CN"/>
        </w:rPr>
        <w:t>4</w:t>
      </w:r>
      <w:r>
        <w:rPr>
          <w:rFonts w:hint="eastAsia" w:ascii="仿宋_GB2312" w:hAnsi="Times New Roman" w:eastAsia="仿宋_GB2312" w:cs="Times New Roman"/>
          <w:kern w:val="0"/>
          <w:sz w:val="32"/>
          <w:szCs w:val="32"/>
        </w:rPr>
        <w:t>年度项目支出绩效自评，</w:t>
      </w:r>
      <w:r>
        <w:rPr>
          <w:rFonts w:hint="eastAsia" w:ascii="仿宋_GB2312" w:hAnsi="仿宋_GB2312" w:eastAsia="仿宋_GB2312" w:cs="仿宋_GB2312"/>
          <w:sz w:val="32"/>
          <w:szCs w:val="32"/>
        </w:rPr>
        <w:t>对纳入部门决算范围的财政拨款、事业收入、经营收入、附属单位上缴、上级补助收入、结转收入等资金安排的项目支出均开展绩效自评，实现了自评资金全覆盖。202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继续</w:t>
      </w:r>
      <w:r>
        <w:rPr>
          <w:rFonts w:hint="eastAsia" w:ascii="仿宋_GB2312" w:hAnsi="仿宋_GB2312" w:eastAsia="仿宋_GB2312" w:cs="仿宋_GB2312"/>
          <w:sz w:val="32"/>
          <w:szCs w:val="32"/>
        </w:rPr>
        <w:t>压实单位绩效自评主体责任</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自评质量</w:t>
      </w:r>
      <w:r>
        <w:rPr>
          <w:rFonts w:hint="eastAsia" w:ascii="仿宋_GB2312" w:hAnsi="仿宋_GB2312" w:eastAsia="仿宋_GB2312" w:cs="仿宋_GB2312"/>
          <w:sz w:val="32"/>
          <w:szCs w:val="32"/>
        </w:rPr>
        <w:t>进一步提升，绩效自评真实性和有效性</w:t>
      </w:r>
      <w:r>
        <w:rPr>
          <w:rFonts w:hint="eastAsia" w:ascii="仿宋_GB2312" w:hAnsi="仿宋_GB2312" w:eastAsia="仿宋_GB2312" w:cs="仿宋_GB2312"/>
          <w:sz w:val="32"/>
          <w:szCs w:val="32"/>
          <w:lang w:eastAsia="zh-CN"/>
        </w:rPr>
        <w:t>进一步</w:t>
      </w:r>
      <w:r>
        <w:rPr>
          <w:rFonts w:hint="eastAsia" w:ascii="仿宋_GB2312" w:hAnsi="仿宋_GB2312" w:eastAsia="仿宋_GB2312" w:cs="仿宋_GB2312"/>
          <w:sz w:val="32"/>
          <w:szCs w:val="32"/>
        </w:rPr>
        <w:t>提高。</w:t>
      </w:r>
    </w:p>
    <w:p>
      <w:pPr>
        <w:pStyle w:val="10"/>
        <w:adjustRightInd w:val="0"/>
        <w:snapToGrid w:val="0"/>
        <w:spacing w:line="620" w:lineRule="exact"/>
        <w:ind w:firstLine="707" w:firstLineChars="221"/>
        <w:rPr>
          <w:rFonts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、重点绩效评价开展情况和评价结果</w:t>
      </w:r>
    </w:p>
    <w:p>
      <w:pPr>
        <w:adjustRightInd w:val="0"/>
        <w:snapToGrid w:val="0"/>
        <w:spacing w:line="620" w:lineRule="exact"/>
        <w:ind w:firstLine="707" w:firstLineChars="221"/>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202</w:t>
      </w:r>
      <w:r>
        <w:rPr>
          <w:rFonts w:hint="eastAsia" w:ascii="仿宋_GB2312" w:hAnsi="Times New Roman" w:eastAsia="仿宋_GB2312" w:cs="Times New Roman"/>
          <w:kern w:val="0"/>
          <w:sz w:val="32"/>
          <w:szCs w:val="32"/>
          <w:lang w:val="en-US" w:eastAsia="zh-CN"/>
        </w:rPr>
        <w:t>5</w:t>
      </w:r>
      <w:r>
        <w:rPr>
          <w:rFonts w:hint="eastAsia" w:ascii="仿宋_GB2312" w:hAnsi="Times New Roman" w:eastAsia="仿宋_GB2312" w:cs="Times New Roman"/>
          <w:kern w:val="0"/>
          <w:sz w:val="32"/>
          <w:szCs w:val="32"/>
        </w:rPr>
        <w:t>年，区财政部门组织开展重点政策和项目部门评价和财政评价。区直部门按照要求选取部分重点项目自行组织部门重点绩效评价工作，</w:t>
      </w:r>
      <w:r>
        <w:rPr>
          <w:rFonts w:hint="eastAsia" w:ascii="仿宋_GB2312" w:hAnsi="仿宋_GB2312" w:eastAsia="仿宋_GB2312" w:cs="仿宋_GB2312"/>
          <w:sz w:val="32"/>
          <w:szCs w:val="32"/>
        </w:rPr>
        <w:t>部门重点评价情况将随部门决算及时公开</w:t>
      </w:r>
      <w:r>
        <w:rPr>
          <w:rFonts w:hint="eastAsia" w:ascii="仿宋_GB2312" w:hAnsi="Times New Roman" w:eastAsia="仿宋_GB2312" w:cs="Times New Roman"/>
          <w:kern w:val="0"/>
          <w:sz w:val="32"/>
          <w:szCs w:val="32"/>
        </w:rPr>
        <w:t>。区财政局选取了</w:t>
      </w:r>
      <w:r>
        <w:rPr>
          <w:rFonts w:hint="eastAsia" w:ascii="仿宋_GB2312" w:hAnsi="Times New Roman" w:eastAsia="仿宋_GB2312" w:cs="Times New Roman"/>
          <w:kern w:val="0"/>
          <w:sz w:val="32"/>
          <w:szCs w:val="32"/>
          <w:lang w:eastAsia="zh-CN"/>
        </w:rPr>
        <w:t>民政局“农村最低生活保障金”、区粮食事业发展中心“地方储备粮管理经费”</w:t>
      </w:r>
      <w:r>
        <w:rPr>
          <w:rFonts w:hint="eastAsia" w:ascii="仿宋_GB2312" w:hAnsi="Times New Roman" w:eastAsia="仿宋_GB2312" w:cs="Times New Roman"/>
          <w:kern w:val="0"/>
          <w:sz w:val="32"/>
          <w:szCs w:val="32"/>
          <w:lang w:val="en-US" w:eastAsia="zh-CN"/>
        </w:rPr>
        <w:t>2</w:t>
      </w:r>
      <w:r>
        <w:rPr>
          <w:rFonts w:hint="eastAsia" w:ascii="仿宋_GB2312" w:hAnsi="Times New Roman" w:eastAsia="仿宋_GB2312" w:cs="Times New Roman"/>
          <w:kern w:val="0"/>
          <w:sz w:val="32"/>
          <w:szCs w:val="32"/>
        </w:rPr>
        <w:t>个项目开展财政重点绩效评价，项目</w:t>
      </w:r>
      <w:r>
        <w:rPr>
          <w:rFonts w:hint="eastAsia" w:ascii="仿宋_GB2312" w:hAnsi="仿宋_GB2312" w:eastAsia="仿宋_GB2312" w:cs="仿宋_GB2312"/>
          <w:sz w:val="32"/>
          <w:szCs w:val="32"/>
        </w:rPr>
        <w:t>金额</w:t>
      </w:r>
      <w:r>
        <w:rPr>
          <w:rFonts w:hint="eastAsia" w:ascii="仿宋_GB2312" w:hAnsi="仿宋_GB2312" w:eastAsia="仿宋_GB2312" w:cs="仿宋_GB2312"/>
          <w:sz w:val="32"/>
          <w:szCs w:val="32"/>
          <w:lang w:val="en-US" w:eastAsia="zh-CN"/>
        </w:rPr>
        <w:t>1.77</w:t>
      </w:r>
      <w:r>
        <w:rPr>
          <w:rFonts w:hint="eastAsia" w:ascii="仿宋_GB2312" w:hAnsi="仿宋_GB2312" w:eastAsia="仿宋_GB2312" w:cs="仿宋_GB2312"/>
          <w:sz w:val="32"/>
          <w:szCs w:val="32"/>
        </w:rPr>
        <w:t>亿元</w:t>
      </w:r>
      <w:r>
        <w:rPr>
          <w:rFonts w:hint="eastAsia" w:ascii="仿宋_GB2312" w:hAnsi="Times New Roman" w:eastAsia="仿宋_GB2312" w:cs="Times New Roman"/>
          <w:kern w:val="0"/>
          <w:sz w:val="32"/>
          <w:szCs w:val="32"/>
        </w:rPr>
        <w:t>。</w:t>
      </w:r>
    </w:p>
    <w:p>
      <w:pPr>
        <w:adjustRightInd w:val="0"/>
        <w:snapToGrid w:val="0"/>
        <w:spacing w:line="620" w:lineRule="exact"/>
        <w:ind w:firstLine="707" w:firstLineChars="221"/>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财政重点评价项目委托第三方机构独立评价，</w:t>
      </w:r>
      <w:r>
        <w:rPr>
          <w:rFonts w:hint="eastAsia" w:ascii="仿宋_GB2312" w:hAnsi="Times New Roman" w:eastAsia="仿宋_GB2312" w:cs="Times New Roman"/>
          <w:kern w:val="0"/>
          <w:sz w:val="32"/>
          <w:szCs w:val="32"/>
          <w:lang w:eastAsia="zh-CN"/>
        </w:rPr>
        <w:t>民政局“农村最低生活保障金”项目</w:t>
      </w:r>
      <w:r>
        <w:rPr>
          <w:rFonts w:hint="eastAsia" w:ascii="仿宋_GB2312" w:hAnsi="Times New Roman" w:eastAsia="仿宋_GB2312" w:cs="Times New Roman"/>
          <w:kern w:val="0"/>
          <w:sz w:val="32"/>
          <w:szCs w:val="32"/>
        </w:rPr>
        <w:t>被评价为“良”</w:t>
      </w:r>
      <w:r>
        <w:rPr>
          <w:rFonts w:hint="eastAsia" w:ascii="仿宋_GB2312" w:hAnsi="Times New Roman" w:eastAsia="仿宋_GB2312" w:cs="Times New Roman"/>
          <w:kern w:val="0"/>
          <w:sz w:val="32"/>
          <w:szCs w:val="32"/>
          <w:lang w:eastAsia="zh-CN"/>
        </w:rPr>
        <w:t>，民政局“农村最低生活保障金”</w:t>
      </w:r>
      <w:r>
        <w:rPr>
          <w:rFonts w:hint="eastAsia" w:ascii="仿宋_GB2312" w:hAnsi="Times New Roman" w:eastAsia="仿宋_GB2312" w:cs="Times New Roman"/>
          <w:kern w:val="0"/>
          <w:sz w:val="32"/>
          <w:szCs w:val="32"/>
        </w:rPr>
        <w:t>被评价为“优”</w:t>
      </w:r>
      <w:r>
        <w:rPr>
          <w:rFonts w:hint="eastAsia" w:ascii="仿宋_GB2312" w:hAnsi="Times New Roman" w:eastAsia="仿宋_GB2312" w:cs="Times New Roman"/>
          <w:kern w:val="0"/>
          <w:sz w:val="32"/>
          <w:szCs w:val="32"/>
          <w:lang w:eastAsia="zh-CN"/>
        </w:rPr>
        <w:t>。</w:t>
      </w:r>
      <w:r>
        <w:rPr>
          <w:rFonts w:hint="eastAsia" w:ascii="仿宋_GB2312" w:hAnsi="Times New Roman" w:eastAsia="仿宋_GB2312" w:cs="Times New Roman"/>
          <w:kern w:val="0"/>
          <w:sz w:val="32"/>
          <w:szCs w:val="32"/>
        </w:rPr>
        <w:t>从评价结果看，项目绩效目标完成情况总体较好，能够聚焦区委、区政府决策部署，民生政策和重点工作得到了很好的保障和落实，对促进全区经济高质量发展发挥了重要作用。但评价过程中也发现</w:t>
      </w:r>
      <w:r>
        <w:rPr>
          <w:rFonts w:hint="eastAsia" w:ascii="仿宋_GB2312" w:hAnsi="Times New Roman" w:eastAsia="仿宋_GB2312" w:cs="Times New Roman"/>
          <w:kern w:val="0"/>
          <w:sz w:val="32"/>
          <w:szCs w:val="32"/>
          <w:lang w:eastAsia="zh-CN"/>
        </w:rPr>
        <w:t>档案管理方面存在缺失、档案管理制度体系不完善、工作流程与规定不符、信息公示不规范</w:t>
      </w:r>
      <w:r>
        <w:rPr>
          <w:rFonts w:hint="eastAsia" w:ascii="仿宋_GB2312" w:hAnsi="Times New Roman" w:eastAsia="仿宋_GB2312" w:cs="Times New Roman"/>
          <w:kern w:val="0"/>
          <w:sz w:val="32"/>
          <w:szCs w:val="32"/>
        </w:rPr>
        <w:t>等问题。上述问题将组织相关单位进行全面整改，通过评价找问题、利用整改促提升，对存在问题进行整改纠偏，进一步促进预算管理水平提升。</w:t>
      </w:r>
    </w:p>
    <w:p>
      <w:pPr>
        <w:adjustRightInd w:val="0"/>
        <w:snapToGrid w:val="0"/>
        <w:spacing w:line="620" w:lineRule="exact"/>
        <w:ind w:firstLine="640" w:firstLineChars="20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下一步，我们将认真对照中央、省和市关于全面实施预算绩效管理改革的决策部署，按照“</w:t>
      </w:r>
      <w:r>
        <w:rPr>
          <w:rFonts w:hint="eastAsia" w:ascii="仿宋_GB2312" w:hAnsi="仿宋_GB2312" w:eastAsia="仿宋_GB2312" w:cs="仿宋_GB2312"/>
          <w:sz w:val="32"/>
          <w:szCs w:val="32"/>
          <w:lang w:eastAsia="zh-CN"/>
        </w:rPr>
        <w:t>零基预算</w:t>
      </w:r>
      <w:bookmarkStart w:id="0" w:name="_GoBack"/>
      <w:bookmarkEnd w:id="0"/>
      <w:r>
        <w:rPr>
          <w:rFonts w:hint="eastAsia" w:ascii="仿宋_GB2312" w:hAnsi="Times New Roman" w:eastAsia="仿宋_GB2312" w:cs="Times New Roman"/>
          <w:kern w:val="0"/>
          <w:sz w:val="32"/>
          <w:szCs w:val="32"/>
        </w:rPr>
        <w:t>”</w:t>
      </w:r>
      <w:r>
        <w:rPr>
          <w:rFonts w:hint="eastAsia" w:ascii="仿宋_GB2312" w:hAnsi="仿宋_GB2312" w:eastAsia="仿宋_GB2312" w:cs="仿宋_GB2312"/>
          <w:sz w:val="32"/>
          <w:szCs w:val="32"/>
        </w:rPr>
        <w:t>工作部署，</w:t>
      </w:r>
      <w:r>
        <w:rPr>
          <w:rFonts w:hint="eastAsia" w:ascii="仿宋_GB2312" w:hAnsi="Times New Roman" w:eastAsia="仿宋_GB2312" w:cs="Times New Roman"/>
          <w:kern w:val="0"/>
          <w:sz w:val="32"/>
          <w:szCs w:val="32"/>
        </w:rPr>
        <w:t>把绩效理念和方法深度融入预算管理，全面推进预算绩效管理，提高预算管理水平，促进财政资金提质增效。</w:t>
      </w:r>
    </w:p>
    <w:p>
      <w:pPr>
        <w:adjustRightInd w:val="0"/>
        <w:snapToGrid w:val="0"/>
        <w:spacing w:line="620" w:lineRule="exact"/>
        <w:ind w:firstLine="707" w:firstLineChars="221"/>
        <w:rPr>
          <w:rFonts w:ascii="仿宋_GB2312" w:hAnsi="Times New Roman" w:eastAsia="仿宋_GB2312" w:cs="Times New Roman"/>
          <w:kern w:val="0"/>
          <w:sz w:val="32"/>
          <w:szCs w:val="32"/>
        </w:rPr>
      </w:pPr>
    </w:p>
    <w:p>
      <w:pPr>
        <w:spacing w:line="440" w:lineRule="exact"/>
      </w:pPr>
    </w:p>
    <w:sectPr>
      <w:footerReference r:id="rId3" w:type="default"/>
      <w:footerReference r:id="rId4" w:type="even"/>
      <w:pgSz w:w="11906" w:h="16838"/>
      <w:pgMar w:top="1701" w:right="1758" w:bottom="1701" w:left="1758" w:header="851" w:footer="992" w:gutter="0"/>
      <w:pgNumType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0680032"/>
      <w:docPartObj>
        <w:docPartGallery w:val="AutoText"/>
      </w:docPartObj>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11773"/>
      <w:docPartObj>
        <w:docPartGallery w:val="AutoText"/>
      </w:docPartObj>
    </w:sdtPr>
    <w:sdtContent>
      <w:p>
        <w:pPr>
          <w:pStyle w:val="3"/>
        </w:pPr>
        <w:r>
          <w:rPr>
            <w:rFonts w:hint="eastAsia" w:asciiTheme="minorEastAsia" w:hAnsiTheme="minorEastAsia"/>
            <w:sz w:val="28"/>
            <w:szCs w:val="28"/>
          </w:rPr>
          <w:t>-</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2</w:t>
        </w:r>
        <w:r>
          <w:rPr>
            <w:rFonts w:asciiTheme="minorEastAsia" w:hAnsiTheme="minorEastAsia"/>
            <w:sz w:val="28"/>
            <w:szCs w:val="28"/>
          </w:rPr>
          <w:fldChar w:fldCharType="end"/>
        </w:r>
        <w:r>
          <w:rPr>
            <w:rFonts w:hint="eastAsia" w:asciiTheme="minorEastAsia" w:hAnsiTheme="minorEastAsia"/>
            <w:sz w:val="28"/>
            <w:szCs w:val="28"/>
          </w:rPr>
          <w:t>-</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BCD"/>
    <w:rsid w:val="00023291"/>
    <w:rsid w:val="000432B2"/>
    <w:rsid w:val="000E3AFF"/>
    <w:rsid w:val="000F5701"/>
    <w:rsid w:val="001065EC"/>
    <w:rsid w:val="00140780"/>
    <w:rsid w:val="001453BF"/>
    <w:rsid w:val="00145E64"/>
    <w:rsid w:val="00160378"/>
    <w:rsid w:val="001B4570"/>
    <w:rsid w:val="001C3E92"/>
    <w:rsid w:val="00230053"/>
    <w:rsid w:val="00257DF9"/>
    <w:rsid w:val="002A32D6"/>
    <w:rsid w:val="002A38ED"/>
    <w:rsid w:val="002E3081"/>
    <w:rsid w:val="00460867"/>
    <w:rsid w:val="00462929"/>
    <w:rsid w:val="00462BDB"/>
    <w:rsid w:val="004B4B8C"/>
    <w:rsid w:val="004D7FA9"/>
    <w:rsid w:val="00593439"/>
    <w:rsid w:val="005B1964"/>
    <w:rsid w:val="005D56A6"/>
    <w:rsid w:val="006221B4"/>
    <w:rsid w:val="0062376A"/>
    <w:rsid w:val="00636255"/>
    <w:rsid w:val="00657DDD"/>
    <w:rsid w:val="00663002"/>
    <w:rsid w:val="0069035D"/>
    <w:rsid w:val="006B5BCD"/>
    <w:rsid w:val="006C5E03"/>
    <w:rsid w:val="006D0937"/>
    <w:rsid w:val="00804BFD"/>
    <w:rsid w:val="008313BB"/>
    <w:rsid w:val="008338D6"/>
    <w:rsid w:val="0086745B"/>
    <w:rsid w:val="0087358D"/>
    <w:rsid w:val="008735BA"/>
    <w:rsid w:val="008E5399"/>
    <w:rsid w:val="009357FC"/>
    <w:rsid w:val="00965F26"/>
    <w:rsid w:val="00993744"/>
    <w:rsid w:val="009A5C06"/>
    <w:rsid w:val="009B2FD9"/>
    <w:rsid w:val="009D0002"/>
    <w:rsid w:val="00A24C7E"/>
    <w:rsid w:val="00A56EF1"/>
    <w:rsid w:val="00A84ABC"/>
    <w:rsid w:val="00AD47E5"/>
    <w:rsid w:val="00AF6747"/>
    <w:rsid w:val="00AF7007"/>
    <w:rsid w:val="00B70E65"/>
    <w:rsid w:val="00BE001A"/>
    <w:rsid w:val="00BE6869"/>
    <w:rsid w:val="00C0491B"/>
    <w:rsid w:val="00C45980"/>
    <w:rsid w:val="00C61E39"/>
    <w:rsid w:val="00C77ADD"/>
    <w:rsid w:val="00C935BD"/>
    <w:rsid w:val="00CF2967"/>
    <w:rsid w:val="00CF33AC"/>
    <w:rsid w:val="00D05E5E"/>
    <w:rsid w:val="00D42F56"/>
    <w:rsid w:val="00D56510"/>
    <w:rsid w:val="00D72A90"/>
    <w:rsid w:val="00E94F67"/>
    <w:rsid w:val="00F20ED2"/>
    <w:rsid w:val="00F56FB8"/>
    <w:rsid w:val="00F943CF"/>
    <w:rsid w:val="00FA352E"/>
    <w:rsid w:val="00FE174F"/>
    <w:rsid w:val="0A8B3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p0"/>
    <w:basedOn w:val="1"/>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6160FC-8AFF-49F8-BACC-EFDC80C4330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188</Words>
  <Characters>1077</Characters>
  <Lines>8</Lines>
  <Paragraphs>2</Paragraphs>
  <TotalTime>5</TotalTime>
  <ScaleCrop>false</ScaleCrop>
  <LinksUpToDate>false</LinksUpToDate>
  <CharactersWithSpaces>1263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2024-11-15T00:38:00Z</dcterms:created>
  <dc:creator>002</dc:creator>
  <cp:lastModifiedBy>Administrator</cp:lastModifiedBy>
  <cp:lastPrinted>2021-05-26T00:56:00Z</cp:lastPrinted>
  <dcterms:modified xsi:type="dcterms:W3CDTF">2026-01-20T10:12:10Z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