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00" w:lineRule="exact"/>
        <w:jc w:val="center"/>
        <w:rPr>
          <w:rFonts w:hint="eastAsia" w:ascii="华文中宋" w:hAnsi="华文中宋" w:eastAsia="华文中宋"/>
          <w:b/>
          <w:color w:val="000000"/>
          <w:spacing w:val="100"/>
          <w:w w:val="65"/>
          <w:sz w:val="115"/>
          <w:szCs w:val="22"/>
          <w:lang w:val="en-US" w:eastAsia="zh-CN"/>
        </w:rPr>
      </w:pPr>
      <w:r>
        <w:rPr>
          <w:rFonts w:hint="eastAsia" w:ascii="华文中宋" w:hAnsi="华文中宋" w:eastAsia="华文中宋"/>
          <w:b/>
          <w:color w:val="000000"/>
          <w:spacing w:val="100"/>
          <w:w w:val="65"/>
          <w:sz w:val="115"/>
          <w:szCs w:val="22"/>
          <w:lang w:val="en-US" w:eastAsia="zh-CN"/>
        </w:rPr>
        <w:t xml:space="preserve"> </w:t>
      </w:r>
    </w:p>
    <w:p>
      <w:pPr>
        <w:spacing w:line="200" w:lineRule="exact"/>
        <w:jc w:val="center"/>
        <w:rPr>
          <w:rFonts w:hint="eastAsia" w:ascii="华文中宋" w:hAnsi="华文中宋" w:eastAsia="华文中宋"/>
          <w:b/>
          <w:color w:val="000000"/>
          <w:spacing w:val="100"/>
          <w:w w:val="65"/>
          <w:sz w:val="115"/>
          <w:szCs w:val="22"/>
        </w:rPr>
      </w:pPr>
    </w:p>
    <w:p>
      <w:pPr>
        <w:spacing w:line="200" w:lineRule="exact"/>
        <w:jc w:val="center"/>
        <w:rPr>
          <w:rFonts w:hint="eastAsia" w:ascii="华文中宋" w:hAnsi="华文中宋" w:eastAsia="华文中宋"/>
          <w:b/>
          <w:color w:val="000000"/>
          <w:spacing w:val="100"/>
          <w:w w:val="65"/>
          <w:sz w:val="115"/>
          <w:szCs w:val="22"/>
        </w:rPr>
      </w:pPr>
    </w:p>
    <w:p>
      <w:pPr>
        <w:spacing w:line="200" w:lineRule="exact"/>
        <w:jc w:val="center"/>
        <w:rPr>
          <w:rFonts w:hint="eastAsia" w:ascii="华文中宋" w:hAnsi="华文中宋" w:eastAsia="华文中宋"/>
          <w:b/>
          <w:color w:val="000000"/>
          <w:spacing w:val="100"/>
          <w:w w:val="65"/>
          <w:sz w:val="115"/>
          <w:szCs w:val="22"/>
        </w:rPr>
      </w:pPr>
    </w:p>
    <w:p>
      <w:pPr>
        <w:spacing w:line="200" w:lineRule="exact"/>
        <w:jc w:val="center"/>
        <w:rPr>
          <w:rFonts w:hint="eastAsia" w:ascii="华文中宋" w:hAnsi="华文中宋" w:eastAsia="华文中宋"/>
          <w:b/>
          <w:color w:val="000000"/>
          <w:spacing w:val="100"/>
          <w:w w:val="65"/>
          <w:sz w:val="115"/>
          <w:szCs w:val="22"/>
        </w:rPr>
      </w:pPr>
    </w:p>
    <w:p>
      <w:pPr>
        <w:spacing w:line="1500" w:lineRule="exact"/>
        <w:jc w:val="center"/>
        <w:rPr>
          <w:rFonts w:hint="eastAsia" w:ascii="文星标宋" w:hAnsi="文星标宋" w:eastAsia="文星标宋"/>
          <w:b/>
          <w:color w:val="FF0000"/>
          <w:spacing w:val="-6"/>
          <w:w w:val="50"/>
          <w:sz w:val="147"/>
          <w:szCs w:val="22"/>
        </w:rPr>
      </w:pPr>
      <w:r>
        <w:rPr>
          <w:rFonts w:hint="eastAsia" w:ascii="文星标宋" w:hAnsi="文星标宋" w:eastAsia="文星标宋"/>
          <w:b/>
          <w:color w:val="FF0000"/>
          <w:spacing w:val="-6"/>
          <w:w w:val="50"/>
          <w:sz w:val="147"/>
          <w:szCs w:val="22"/>
        </w:rPr>
        <w:t>济南市章丘区人民政府文件</w:t>
      </w:r>
    </w:p>
    <w:p>
      <w:pPr>
        <w:spacing w:line="500" w:lineRule="exact"/>
        <w:jc w:val="center"/>
        <w:rPr>
          <w:rFonts w:hint="eastAsia" w:ascii="华文中宋" w:hAnsi="华文中宋" w:eastAsia="华文中宋"/>
          <w:b/>
          <w:color w:val="000000"/>
          <w:w w:val="70"/>
          <w:sz w:val="125"/>
          <w:szCs w:val="22"/>
        </w:rPr>
      </w:pPr>
      <w:r>
        <w:rPr>
          <w:rFonts w:hint="eastAsia" w:ascii="华文中宋" w:hAnsi="华文中宋" w:eastAsia="华文中宋"/>
          <w:b/>
          <w:color w:val="000000"/>
          <w:w w:val="70"/>
          <w:sz w:val="125"/>
          <w:szCs w:val="22"/>
        </w:rPr>
        <w:tab/>
      </w:r>
      <w:r>
        <w:rPr>
          <w:rFonts w:hint="eastAsia" w:ascii="华文中宋" w:hAnsi="华文中宋" w:eastAsia="华文中宋"/>
          <w:b/>
          <w:color w:val="000000"/>
          <w:w w:val="70"/>
          <w:sz w:val="125"/>
          <w:szCs w:val="22"/>
        </w:rPr>
        <w:tab/>
      </w:r>
    </w:p>
    <w:p>
      <w:pPr>
        <w:spacing w:line="600" w:lineRule="exact"/>
        <w:jc w:val="center"/>
        <w:rPr>
          <w:rFonts w:hint="eastAsia" w:hAnsi="文星标宋"/>
          <w:color w:val="000000"/>
          <w:sz w:val="32"/>
          <w:szCs w:val="32"/>
        </w:rPr>
      </w:pPr>
    </w:p>
    <w:p>
      <w:pPr>
        <w:spacing w:line="60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章政发〔202</w:t>
      </w: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号</w:t>
      </w:r>
    </w:p>
    <w:p>
      <w:pPr>
        <w:tabs>
          <w:tab w:val="center" w:pos="4422"/>
          <w:tab w:val="right" w:pos="8844"/>
        </w:tabs>
        <w:spacing w:line="400" w:lineRule="exact"/>
        <w:rPr>
          <w:rFonts w:hint="eastAsia" w:ascii="华文中宋" w:hAnsi="华文中宋" w:eastAsia="华文中宋"/>
          <w:b/>
          <w:color w:val="000000"/>
          <w:w w:val="70"/>
          <w:sz w:val="125"/>
          <w:szCs w:val="22"/>
        </w:rPr>
      </w:pPr>
      <w:r>
        <w:rPr>
          <w:rFonts w:hint="default" w:ascii="华文中宋" w:hAnsi="华文中宋" w:eastAsia="华文中宋"/>
          <w:b/>
          <w:color w:val="000000"/>
          <w:sz w:val="125"/>
          <w:szCs w:val="2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81280</wp:posOffset>
                </wp:positionV>
                <wp:extent cx="5615940" cy="0"/>
                <wp:effectExtent l="0" t="9525" r="3810" b="9525"/>
                <wp:wrapNone/>
                <wp:docPr id="5" name="直接连接符 5"/>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FF0000"/>
                          </a:solidFill>
                          <a:prstDash val="solid"/>
                          <a:round/>
                          <a:headEnd type="none" w="med" len="med"/>
                          <a:tailEnd type="none" w="med" len="med"/>
                        </a:ln>
                        <a:effectLst/>
                      </wps:spPr>
                      <wps:bodyPr upright="true"/>
                    </wps:wsp>
                  </a:graphicData>
                </a:graphic>
              </wp:anchor>
            </w:drawing>
          </mc:Choice>
          <mc:Fallback>
            <w:pict>
              <v:line id="_x0000_s1026" o:spid="_x0000_s1026" o:spt="20" style="position:absolute;left:0pt;margin-left:0pt;margin-top:6.4pt;height:0pt;width:442.2pt;z-index:251659264;mso-width-relative:page;mso-height-relative:page;" filled="f" stroked="t" coordsize="21600,21600" o:gfxdata="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LAjG69UAAAAGAQAADwAAAAAAAAABACAAAAA4AAAAZHJzL2Rvd25yZXYu&#10;eG1sUEsBAhQAFAAAAAgAh07iQN24X+3oAQAAsgMAAA4AAAAAAAAAAQAgAAAAOgEAAGRycy9lMm9E&#10;b2MueG1sUEsFBgAAAAAGAAYAWQEAAJQFAAAAAA==&#10;">
                <v:fill on="f" focussize="0,0"/>
                <v:stroke weight="1.5pt" color="#FF0000" joinstyle="round"/>
                <v:imagedata o:title=""/>
                <o:lock v:ext="edit" aspectratio="f"/>
              </v:line>
            </w:pict>
          </mc:Fallback>
        </mc:AlternateContent>
      </w:r>
    </w:p>
    <w:p>
      <w:pPr>
        <w:pStyle w:val="15"/>
        <w:keepNext w:val="0"/>
        <w:keepLines w:val="0"/>
        <w:pageBreakBefore w:val="0"/>
        <w:widowControl w:val="0"/>
        <w:kinsoku/>
        <w:wordWrap/>
        <w:overflowPunct w:val="0"/>
        <w:topLinePunct w:val="0"/>
        <w:autoSpaceDE/>
        <w:autoSpaceDN/>
        <w:bidi w:val="0"/>
        <w:adjustRightInd/>
        <w:snapToGrid/>
        <w:spacing w:before="0" w:after="0" w:line="560" w:lineRule="exact"/>
        <w:ind w:left="0" w:right="0" w:firstLine="0"/>
        <w:jc w:val="center"/>
        <w:textAlignment w:val="auto"/>
        <w:rPr>
          <w:rFonts w:hint="eastAsia"/>
          <w:sz w:val="43"/>
          <w:szCs w:val="43"/>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济南市章丘区人民政府</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关于印发济南市章丘区国民经济和社会发展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第十五个五年规划纲要的通知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各街道办事处、镇人民政府，区政府各部门（单位）：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《济南市章丘区国民经济和社会发展第十五个五年规划纲要》（以下简称《纲要》）已经区十八届人大五次会议审查批准，现印发给你们，请认真组织实施。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《纲要》坚持以习近平新时代中国特色社会主义思想为指导，深入贯彻党的二十大和二十届历次全会精神，</w:t>
      </w:r>
      <w:r>
        <w:rPr>
          <w:rFonts w:hint="eastAsia" w:ascii="仿宋_GB2312" w:hAnsi="仿宋_GB2312" w:eastAsia="仿宋_GB2312" w:cs="仿宋_GB2312"/>
          <w:sz w:val="32"/>
          <w:szCs w:val="32"/>
        </w:rPr>
        <w:t>认真落实习近平总书记视察山东重要讲话精神和重要指示批示要求，完整准确全面贯彻新发展理念，主动服务和融入新发展格局，</w:t>
      </w:r>
      <w:r>
        <w:rPr>
          <w:rFonts w:hint="eastAsia" w:ascii="仿宋_GB2312" w:hAnsi="仿宋_GB2312" w:eastAsia="仿宋_GB2312" w:cs="仿宋_GB2312"/>
          <w:sz w:val="32"/>
          <w:szCs w:val="32"/>
          <w:lang w:eastAsia="zh-CN"/>
        </w:rPr>
        <w:t>全面总结全区“十四五”时期发展成就，系统阐述“十五五”时期发展战略、总体目标、主要任务和重要举措，是“十五五”时期建设现代化强区的宏伟蓝图，是全区人民共同的行动纲领。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各级各部门要立足“</w:t>
      </w:r>
      <w:r>
        <w:rPr>
          <w:rFonts w:hint="eastAsia" w:ascii="仿宋_GB2312" w:hAnsi="仿宋_GB2312" w:eastAsia="仿宋_GB2312" w:cs="仿宋_GB2312"/>
          <w:sz w:val="32"/>
          <w:szCs w:val="32"/>
          <w:lang w:val="en-US" w:eastAsia="zh-CN"/>
        </w:rPr>
        <w:t>济南都市圈现代化强区、齐鲁科技创新智造高地、龙山泉韵文旅名城、济南校地协同融合示范区”四大定位，深入学习领会《纲要》精神，结合实际认真抓好落实，保障《纲要》顺利实施，奋力谱写新时代社会主义现代化强区新篇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济南市章丘区人民政府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2026年8月11日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（联系电话：济南市章丘区发展和改革局国民经济综合科，0531-83241181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sectPr>
          <w:footerReference r:id="rId5" w:type="default"/>
          <w:pgSz w:w="11906" w:h="16838"/>
          <w:pgMar w:top="2041" w:right="1531" w:bottom="2041" w:left="1531" w:header="851" w:footer="1587" w:gutter="0"/>
          <w:pgBorders>
            <w:top w:val="none" w:sz="0" w:space="0"/>
            <w:left w:val="none" w:sz="0" w:space="0"/>
            <w:bottom w:val="none" w:sz="0" w:space="0"/>
            <w:right w:val="none" w:sz="0" w:space="0"/>
          </w:pgBorders>
          <w:pgNumType w:fmt="numberInDash"/>
          <w:cols w:space="0" w:num="1"/>
          <w:rtlGutter w:val="0"/>
          <w:docGrid w:type="lines" w:linePitch="312" w:charSpace="0"/>
        </w:sectPr>
      </w:pPr>
      <w:r>
        <w:rPr>
          <w:rFonts w:hint="eastAsia" w:ascii="仿宋_GB2312" w:hAnsi="仿宋_GB2312" w:eastAsia="仿宋_GB2312" w:cs="仿宋_GB2312"/>
          <w:sz w:val="32"/>
          <w:szCs w:val="32"/>
          <w:lang w:val="en-US" w:eastAsia="zh-CN"/>
        </w:rPr>
        <w:t>（此件公开发布）</w:t>
      </w:r>
    </w:p>
    <w:p>
      <w:pPr>
        <w:pStyle w:val="5"/>
        <w:keepNext w:val="0"/>
        <w:keepLines w:val="0"/>
        <w:pageBreakBefore w:val="0"/>
        <w:widowControl w:val="0"/>
        <w:numPr>
          <w:ilvl w:val="0"/>
          <w:numId w:val="0"/>
        </w:numPr>
        <w:kinsoku/>
        <w:wordWrap/>
        <w:overflowPunct w:val="0"/>
        <w:topLinePunct w:val="0"/>
        <w:autoSpaceDE/>
        <w:autoSpaceDN/>
        <w:bidi w:val="0"/>
        <w:adjustRightInd/>
        <w:snapToGrid/>
        <w:spacing w:beforeAutospacing="0" w:after="313" w:afterLines="100" w:line="600" w:lineRule="exact"/>
        <w:ind w:left="0" w:leftChars="0" w:firstLine="0" w:firstLineChars="0"/>
        <w:jc w:val="center"/>
        <w:textAlignment w:val="auto"/>
        <w:outlineLvl w:val="9"/>
        <w:rPr>
          <w:rFonts w:hint="eastAsia" w:ascii="方正小标宋简体" w:hAnsi="方正小标宋简体" w:eastAsia="方正小标宋简体" w:cs="方正小标宋简体"/>
          <w:b w:val="0"/>
          <w:bCs w:val="0"/>
          <w:color w:val="auto"/>
          <w:kern w:val="2"/>
          <w:sz w:val="32"/>
          <w:szCs w:val="40"/>
          <w:highlight w:val="none"/>
          <w:lang w:val="en-US" w:eastAsia="zh-CN" w:bidi="ar-SA"/>
        </w:rPr>
      </w:pPr>
    </w:p>
    <w:p>
      <w:pPr>
        <w:rPr>
          <w:rFonts w:hint="eastAsia" w:ascii="方正小标宋简体" w:hAnsi="方正小标宋简体" w:eastAsia="方正小标宋简体" w:cs="方正小标宋简体"/>
          <w:b w:val="0"/>
          <w:bCs w:val="0"/>
          <w:color w:val="auto"/>
          <w:kern w:val="2"/>
          <w:sz w:val="32"/>
          <w:szCs w:val="40"/>
          <w:highlight w:val="none"/>
          <w:lang w:val="en-US" w:eastAsia="zh-CN" w:bidi="ar-SA"/>
        </w:rPr>
      </w:pPr>
    </w:p>
    <w:p>
      <w:pPr>
        <w:rPr>
          <w:rFonts w:hint="eastAsia" w:ascii="方正小标宋简体" w:hAnsi="方正小标宋简体" w:eastAsia="方正小标宋简体" w:cs="方正小标宋简体"/>
          <w:b w:val="0"/>
          <w:bCs w:val="0"/>
          <w:color w:val="auto"/>
          <w:kern w:val="2"/>
          <w:sz w:val="32"/>
          <w:szCs w:val="40"/>
          <w:highlight w:val="none"/>
          <w:lang w:val="en-US" w:eastAsia="zh-CN" w:bidi="ar-SA"/>
        </w:rPr>
      </w:pPr>
    </w:p>
    <w:p>
      <w:pPr>
        <w:rPr>
          <w:rFonts w:hint="eastAsia" w:ascii="方正小标宋简体" w:hAnsi="方正小标宋简体" w:eastAsia="方正小标宋简体" w:cs="方正小标宋简体"/>
          <w:b w:val="0"/>
          <w:bCs w:val="0"/>
          <w:color w:val="auto"/>
          <w:kern w:val="2"/>
          <w:sz w:val="32"/>
          <w:szCs w:val="40"/>
          <w:highlight w:val="none"/>
          <w:lang w:val="en-US" w:eastAsia="zh-CN" w:bidi="ar-SA"/>
        </w:rPr>
      </w:pPr>
    </w:p>
    <w:p>
      <w:pPr>
        <w:jc w:val="center"/>
        <w:rPr>
          <w:rFonts w:hint="eastAsia" w:ascii="方正小标宋简体" w:hAnsi="方正小标宋简体" w:eastAsia="方正小标宋简体" w:cs="方正小标宋简体"/>
          <w:b w:val="0"/>
          <w:bCs w:val="0"/>
          <w:color w:val="auto"/>
          <w:kern w:val="2"/>
          <w:sz w:val="56"/>
          <w:szCs w:val="56"/>
          <w:highlight w:val="none"/>
          <w:lang w:val="en-US" w:eastAsia="zh-CN" w:bidi="ar-SA"/>
        </w:rPr>
      </w:pPr>
      <w:r>
        <w:rPr>
          <w:rFonts w:hint="eastAsia" w:ascii="方正小标宋简体" w:hAnsi="方正小标宋简体" w:eastAsia="方正小标宋简体" w:cs="方正小标宋简体"/>
          <w:b w:val="0"/>
          <w:bCs w:val="0"/>
          <w:color w:val="auto"/>
          <w:kern w:val="2"/>
          <w:sz w:val="56"/>
          <w:szCs w:val="56"/>
          <w:highlight w:val="none"/>
          <w:lang w:val="en-US" w:eastAsia="zh-CN" w:bidi="ar-SA"/>
        </w:rPr>
        <w:t>济南市章丘区国民经济和社会发展第十五个五年规划纲要</w:t>
      </w:r>
    </w:p>
    <w:p>
      <w:pPr>
        <w:keepNext w:val="0"/>
        <w:keepLines w:val="0"/>
        <w:pageBreakBefore w:val="0"/>
        <w:widowControl w:val="0"/>
        <w:kinsoku/>
        <w:wordWrap/>
        <w:overflowPunct w:val="0"/>
        <w:topLinePunct w:val="0"/>
        <w:autoSpaceDE/>
        <w:autoSpaceDN/>
        <w:bidi w:val="0"/>
        <w:adjustRightInd w:val="0"/>
        <w:snapToGrid w:val="0"/>
        <w:spacing w:beforeAutospacing="0" w:line="600" w:lineRule="exact"/>
        <w:ind w:firstLine="640" w:firstLineChars="200"/>
        <w:textAlignment w:val="auto"/>
        <w:rPr>
          <w:rFonts w:hint="eastAsia" w:cs="仿宋_GB2312"/>
          <w:b w:val="0"/>
          <w:bCs w:val="0"/>
          <w:color w:val="auto"/>
          <w:kern w:val="2"/>
          <w:sz w:val="32"/>
          <w:szCs w:val="40"/>
          <w:highlight w:val="none"/>
          <w:lang w:val="en-US" w:eastAsia="zh-CN" w:bidi="ar-SA"/>
        </w:rPr>
      </w:pPr>
    </w:p>
    <w:p>
      <w:pPr>
        <w:keepNext w:val="0"/>
        <w:keepLines w:val="0"/>
        <w:pageBreakBefore w:val="0"/>
        <w:widowControl w:val="0"/>
        <w:kinsoku/>
        <w:wordWrap/>
        <w:overflowPunct w:val="0"/>
        <w:topLinePunct w:val="0"/>
        <w:autoSpaceDE/>
        <w:autoSpaceDN/>
        <w:bidi w:val="0"/>
        <w:adjustRightInd w:val="0"/>
        <w:snapToGrid w:val="0"/>
        <w:spacing w:beforeAutospacing="0" w:line="600" w:lineRule="exact"/>
        <w:ind w:firstLine="640" w:firstLineChars="200"/>
        <w:textAlignment w:val="auto"/>
        <w:rPr>
          <w:rFonts w:hint="eastAsia" w:cs="仿宋_GB2312"/>
          <w:b w:val="0"/>
          <w:bCs w:val="0"/>
          <w:color w:val="auto"/>
          <w:kern w:val="2"/>
          <w:sz w:val="32"/>
          <w:szCs w:val="40"/>
          <w:highlight w:val="none"/>
          <w:lang w:val="en-US" w:eastAsia="zh-CN" w:bidi="ar-SA"/>
        </w:rPr>
      </w:pPr>
    </w:p>
    <w:p>
      <w:pPr>
        <w:keepNext w:val="0"/>
        <w:keepLines w:val="0"/>
        <w:pageBreakBefore w:val="0"/>
        <w:widowControl w:val="0"/>
        <w:kinsoku/>
        <w:wordWrap/>
        <w:overflowPunct w:val="0"/>
        <w:topLinePunct w:val="0"/>
        <w:autoSpaceDE/>
        <w:autoSpaceDN/>
        <w:bidi w:val="0"/>
        <w:adjustRightInd w:val="0"/>
        <w:snapToGrid w:val="0"/>
        <w:spacing w:beforeAutospacing="0" w:line="600" w:lineRule="exact"/>
        <w:ind w:firstLine="640" w:firstLineChars="200"/>
        <w:textAlignment w:val="auto"/>
        <w:rPr>
          <w:rFonts w:hint="eastAsia" w:cs="仿宋_GB2312"/>
          <w:b w:val="0"/>
          <w:bCs w:val="0"/>
          <w:color w:val="auto"/>
          <w:kern w:val="2"/>
          <w:sz w:val="32"/>
          <w:szCs w:val="40"/>
          <w:highlight w:val="none"/>
          <w:lang w:val="en-US" w:eastAsia="zh-CN" w:bidi="ar-SA"/>
        </w:rPr>
      </w:pPr>
    </w:p>
    <w:p>
      <w:pPr>
        <w:keepNext w:val="0"/>
        <w:keepLines w:val="0"/>
        <w:pageBreakBefore w:val="0"/>
        <w:widowControl w:val="0"/>
        <w:kinsoku/>
        <w:wordWrap/>
        <w:overflowPunct w:val="0"/>
        <w:topLinePunct w:val="0"/>
        <w:autoSpaceDE/>
        <w:autoSpaceDN/>
        <w:bidi w:val="0"/>
        <w:adjustRightInd w:val="0"/>
        <w:snapToGrid w:val="0"/>
        <w:spacing w:beforeAutospacing="0" w:line="600" w:lineRule="exact"/>
        <w:ind w:firstLine="640" w:firstLineChars="200"/>
        <w:textAlignment w:val="auto"/>
        <w:rPr>
          <w:rFonts w:hint="eastAsia" w:cs="仿宋_GB2312"/>
          <w:b w:val="0"/>
          <w:bCs w:val="0"/>
          <w:color w:val="auto"/>
          <w:kern w:val="2"/>
          <w:sz w:val="32"/>
          <w:szCs w:val="40"/>
          <w:highlight w:val="none"/>
          <w:lang w:val="en-US" w:eastAsia="zh-CN" w:bidi="ar-SA"/>
        </w:rPr>
      </w:pPr>
    </w:p>
    <w:p>
      <w:pPr>
        <w:keepNext w:val="0"/>
        <w:keepLines w:val="0"/>
        <w:pageBreakBefore w:val="0"/>
        <w:widowControl w:val="0"/>
        <w:kinsoku/>
        <w:wordWrap/>
        <w:overflowPunct w:val="0"/>
        <w:topLinePunct w:val="0"/>
        <w:autoSpaceDE/>
        <w:autoSpaceDN/>
        <w:bidi w:val="0"/>
        <w:adjustRightInd w:val="0"/>
        <w:snapToGrid w:val="0"/>
        <w:spacing w:beforeAutospacing="0" w:line="600" w:lineRule="exact"/>
        <w:ind w:firstLine="640" w:firstLineChars="200"/>
        <w:textAlignment w:val="auto"/>
        <w:rPr>
          <w:rFonts w:hint="eastAsia" w:cs="仿宋_GB2312"/>
          <w:b w:val="0"/>
          <w:bCs w:val="0"/>
          <w:color w:val="auto"/>
          <w:kern w:val="2"/>
          <w:sz w:val="32"/>
          <w:szCs w:val="40"/>
          <w:highlight w:val="none"/>
          <w:lang w:val="en-US" w:eastAsia="zh-CN" w:bidi="ar-SA"/>
        </w:rPr>
      </w:pPr>
    </w:p>
    <w:p>
      <w:pPr>
        <w:keepNext w:val="0"/>
        <w:keepLines w:val="0"/>
        <w:pageBreakBefore w:val="0"/>
        <w:widowControl w:val="0"/>
        <w:kinsoku/>
        <w:wordWrap/>
        <w:overflowPunct w:val="0"/>
        <w:topLinePunct w:val="0"/>
        <w:autoSpaceDE/>
        <w:autoSpaceDN/>
        <w:bidi w:val="0"/>
        <w:adjustRightInd w:val="0"/>
        <w:snapToGrid w:val="0"/>
        <w:spacing w:beforeAutospacing="0" w:line="600" w:lineRule="exact"/>
        <w:ind w:firstLine="640" w:firstLineChars="200"/>
        <w:textAlignment w:val="auto"/>
        <w:rPr>
          <w:rFonts w:hint="eastAsia" w:cs="仿宋_GB2312"/>
          <w:b w:val="0"/>
          <w:bCs w:val="0"/>
          <w:color w:val="auto"/>
          <w:kern w:val="2"/>
          <w:sz w:val="32"/>
          <w:szCs w:val="40"/>
          <w:highlight w:val="none"/>
          <w:lang w:val="en-US" w:eastAsia="zh-CN" w:bidi="ar-SA"/>
        </w:rPr>
      </w:pPr>
    </w:p>
    <w:p>
      <w:pPr>
        <w:keepNext w:val="0"/>
        <w:keepLines w:val="0"/>
        <w:pageBreakBefore w:val="0"/>
        <w:widowControl w:val="0"/>
        <w:kinsoku/>
        <w:wordWrap/>
        <w:overflowPunct w:val="0"/>
        <w:topLinePunct w:val="0"/>
        <w:autoSpaceDE/>
        <w:autoSpaceDN/>
        <w:bidi w:val="0"/>
        <w:adjustRightInd w:val="0"/>
        <w:snapToGrid w:val="0"/>
        <w:spacing w:beforeAutospacing="0" w:line="600" w:lineRule="exact"/>
        <w:ind w:firstLine="640" w:firstLineChars="200"/>
        <w:textAlignment w:val="auto"/>
        <w:rPr>
          <w:rFonts w:hint="eastAsia" w:cs="仿宋_GB2312"/>
          <w:b w:val="0"/>
          <w:bCs w:val="0"/>
          <w:color w:val="auto"/>
          <w:kern w:val="2"/>
          <w:sz w:val="32"/>
          <w:szCs w:val="40"/>
          <w:highlight w:val="none"/>
          <w:lang w:val="en-US" w:eastAsia="zh-CN" w:bidi="ar-SA"/>
        </w:rPr>
      </w:pPr>
    </w:p>
    <w:p>
      <w:pPr>
        <w:keepNext w:val="0"/>
        <w:keepLines w:val="0"/>
        <w:pageBreakBefore w:val="0"/>
        <w:widowControl w:val="0"/>
        <w:kinsoku/>
        <w:wordWrap/>
        <w:overflowPunct w:val="0"/>
        <w:topLinePunct w:val="0"/>
        <w:autoSpaceDE/>
        <w:autoSpaceDN/>
        <w:bidi w:val="0"/>
        <w:adjustRightInd w:val="0"/>
        <w:snapToGrid w:val="0"/>
        <w:spacing w:beforeAutospacing="0" w:line="600" w:lineRule="exact"/>
        <w:ind w:firstLine="640" w:firstLineChars="200"/>
        <w:textAlignment w:val="auto"/>
        <w:rPr>
          <w:rFonts w:hint="eastAsia" w:cs="仿宋_GB2312"/>
          <w:b w:val="0"/>
          <w:bCs w:val="0"/>
          <w:color w:val="auto"/>
          <w:kern w:val="2"/>
          <w:sz w:val="32"/>
          <w:szCs w:val="40"/>
          <w:highlight w:val="none"/>
          <w:lang w:val="en-US" w:eastAsia="zh-CN" w:bidi="ar-SA"/>
        </w:rPr>
      </w:pPr>
    </w:p>
    <w:p>
      <w:pPr>
        <w:keepNext w:val="0"/>
        <w:keepLines w:val="0"/>
        <w:pageBreakBefore w:val="0"/>
        <w:widowControl w:val="0"/>
        <w:kinsoku/>
        <w:wordWrap/>
        <w:overflowPunct w:val="0"/>
        <w:topLinePunct w:val="0"/>
        <w:autoSpaceDE/>
        <w:autoSpaceDN/>
        <w:bidi w:val="0"/>
        <w:adjustRightInd w:val="0"/>
        <w:snapToGrid w:val="0"/>
        <w:spacing w:beforeAutospacing="0" w:line="600" w:lineRule="exact"/>
        <w:ind w:firstLine="640" w:firstLineChars="200"/>
        <w:textAlignment w:val="auto"/>
        <w:rPr>
          <w:rFonts w:hint="eastAsia" w:cs="仿宋_GB2312"/>
          <w:b w:val="0"/>
          <w:bCs w:val="0"/>
          <w:color w:val="auto"/>
          <w:kern w:val="2"/>
          <w:sz w:val="32"/>
          <w:szCs w:val="40"/>
          <w:highlight w:val="none"/>
          <w:lang w:val="en-US" w:eastAsia="zh-CN" w:bidi="ar-SA"/>
        </w:rPr>
      </w:pPr>
    </w:p>
    <w:p>
      <w:pPr>
        <w:pStyle w:val="7"/>
        <w:rPr>
          <w:rFonts w:hint="eastAsia"/>
          <w:color w:val="auto"/>
          <w:highlight w:val="none"/>
          <w:lang w:val="en-US" w:eastAsia="zh-CN"/>
        </w:rPr>
      </w:pPr>
    </w:p>
    <w:p>
      <w:pPr>
        <w:keepNext w:val="0"/>
        <w:keepLines w:val="0"/>
        <w:pageBreakBefore w:val="0"/>
        <w:widowControl w:val="0"/>
        <w:kinsoku/>
        <w:wordWrap/>
        <w:overflowPunct w:val="0"/>
        <w:topLinePunct w:val="0"/>
        <w:autoSpaceDE/>
        <w:autoSpaceDN/>
        <w:bidi w:val="0"/>
        <w:adjustRightInd w:val="0"/>
        <w:snapToGrid w:val="0"/>
        <w:spacing w:beforeAutospacing="0" w:line="600" w:lineRule="exact"/>
        <w:jc w:val="center"/>
        <w:textAlignment w:val="auto"/>
        <w:rPr>
          <w:rFonts w:hint="eastAsia" w:ascii="楷体_GB2312" w:hAnsi="楷体_GB2312" w:eastAsia="楷体_GB2312" w:cs="楷体_GB2312"/>
          <w:b w:val="0"/>
          <w:bCs w:val="0"/>
          <w:color w:val="auto"/>
          <w:kern w:val="2"/>
          <w:sz w:val="44"/>
          <w:szCs w:val="52"/>
          <w:highlight w:val="none"/>
          <w:lang w:val="en-US" w:eastAsia="zh-CN" w:bidi="ar-SA"/>
        </w:rPr>
      </w:pPr>
      <w:r>
        <w:rPr>
          <w:rFonts w:hint="eastAsia" w:ascii="楷体_GB2312" w:hAnsi="楷体_GB2312" w:eastAsia="楷体_GB2312" w:cs="楷体_GB2312"/>
          <w:b w:val="0"/>
          <w:bCs w:val="0"/>
          <w:color w:val="auto"/>
          <w:kern w:val="2"/>
          <w:sz w:val="44"/>
          <w:szCs w:val="52"/>
          <w:highlight w:val="none"/>
          <w:lang w:val="en-US" w:eastAsia="zh-CN" w:bidi="ar-SA"/>
        </w:rPr>
        <w:t>2026年8月</w:t>
      </w:r>
    </w:p>
    <w:p>
      <w:pPr>
        <w:keepNext w:val="0"/>
        <w:keepLines w:val="0"/>
        <w:pageBreakBefore w:val="0"/>
        <w:widowControl w:val="0"/>
        <w:kinsoku/>
        <w:wordWrap/>
        <w:overflowPunct w:val="0"/>
        <w:topLinePunct w:val="0"/>
        <w:autoSpaceDE/>
        <w:autoSpaceDN/>
        <w:bidi w:val="0"/>
        <w:adjustRightInd w:val="0"/>
        <w:snapToGrid w:val="0"/>
        <w:spacing w:beforeAutospacing="0" w:line="600" w:lineRule="exact"/>
        <w:jc w:val="center"/>
        <w:textAlignment w:val="auto"/>
        <w:rPr>
          <w:rFonts w:hint="eastAsia" w:ascii="楷体_GB2312" w:hAnsi="楷体_GB2312" w:eastAsia="楷体_GB2312" w:cs="楷体_GB2312"/>
          <w:b w:val="0"/>
          <w:bCs w:val="0"/>
          <w:color w:val="auto"/>
          <w:kern w:val="2"/>
          <w:sz w:val="44"/>
          <w:szCs w:val="52"/>
          <w:highlight w:val="none"/>
          <w:lang w:val="en-US" w:eastAsia="zh-CN" w:bidi="ar-SA"/>
        </w:rPr>
      </w:pPr>
    </w:p>
    <w:p>
      <w:pPr>
        <w:rPr>
          <w:rFonts w:hint="eastAsia" w:ascii="方正小标宋简体" w:hAnsi="方正小标宋简体" w:eastAsia="方正小标宋简体" w:cs="方正小标宋简体"/>
          <w:b w:val="0"/>
          <w:bCs w:val="0"/>
          <w:color w:val="auto"/>
          <w:kern w:val="2"/>
          <w:sz w:val="32"/>
          <w:szCs w:val="40"/>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ascii="宋体" w:hAnsi="宋体" w:eastAsia="宋体" w:cstheme="minorBidi"/>
          <w:color w:val="auto"/>
          <w:kern w:val="2"/>
          <w:sz w:val="21"/>
          <w:szCs w:val="24"/>
          <w:highlight w:val="none"/>
          <w:lang w:val="en-US" w:eastAsia="zh-CN" w:bidi="ar-SA"/>
        </w:rPr>
        <w:sectPr>
          <w:footerReference r:id="rId6" w:type="default"/>
          <w:pgSz w:w="11906" w:h="16838"/>
          <w:pgMar w:top="2041" w:right="1531" w:bottom="2041" w:left="1531" w:header="851" w:footer="1587" w:gutter="0"/>
          <w:pgBorders>
            <w:top w:val="none" w:sz="0" w:space="0"/>
            <w:left w:val="none" w:sz="0" w:space="0"/>
            <w:bottom w:val="none" w:sz="0" w:space="0"/>
            <w:right w:val="none" w:sz="0" w:space="0"/>
          </w:pgBorders>
          <w:pgNumType w:fmt="numberInDash"/>
          <w:cols w:space="0" w:num="1"/>
          <w:rtlGutter w:val="0"/>
          <w:docGrid w:type="lines" w:linePitch="312" w:charSpace="0"/>
        </w:sectPr>
      </w:pPr>
    </w:p>
    <w:sdt>
      <w:sdtPr>
        <w:rPr>
          <w:rFonts w:ascii="宋体" w:hAnsi="宋体" w:eastAsia="宋体" w:cstheme="minorBidi"/>
          <w:color w:val="auto"/>
          <w:kern w:val="2"/>
          <w:sz w:val="21"/>
          <w:szCs w:val="24"/>
          <w:highlight w:val="none"/>
          <w:lang w:val="en-US" w:eastAsia="zh-CN" w:bidi="ar-SA"/>
        </w:rPr>
        <w:id w:val="147455009"/>
        <w15:color w:val="DBDBDB"/>
        <w:docPartObj>
          <w:docPartGallery w:val="Table of Contents"/>
          <w:docPartUnique/>
        </w:docPartObj>
      </w:sdtPr>
      <w:sdtEndPr>
        <w:rPr>
          <w:rFonts w:hint="eastAsia" w:asciiTheme="minorHAnsi" w:hAnsiTheme="minorHAnsi" w:eastAsiaTheme="minorEastAsia" w:cstheme="minorBidi"/>
          <w:color w:val="auto"/>
          <w:kern w:val="2"/>
          <w:sz w:val="21"/>
          <w:szCs w:val="24"/>
          <w:highlight w:val="none"/>
          <w:lang w:val="en-US" w:eastAsia="zh-CN" w:bidi="ar-SA"/>
        </w:rPr>
      </w:sdtEndPr>
      <w:sdtContent>
        <w:p>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目</w:t>
          </w:r>
          <w:r>
            <w:rPr>
              <w:rFonts w:hint="eastAsia" w:ascii="黑体" w:hAnsi="黑体" w:eastAsia="黑体" w:cs="黑体"/>
              <w:color w:val="auto"/>
              <w:sz w:val="32"/>
              <w:szCs w:val="32"/>
              <w:highlight w:val="none"/>
              <w:lang w:val="en-US" w:eastAsia="zh-CN"/>
            </w:rPr>
            <w:t xml:space="preserve"> </w:t>
          </w:r>
          <w:r>
            <w:rPr>
              <w:rFonts w:hint="eastAsia" w:ascii="黑体" w:hAnsi="黑体" w:eastAsia="黑体" w:cs="黑体"/>
              <w:color w:val="auto"/>
              <w:sz w:val="32"/>
              <w:szCs w:val="32"/>
              <w:highlight w:val="none"/>
            </w:rPr>
            <w:t>录</w:t>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黑体" w:hAnsi="黑体" w:eastAsia="黑体" w:cs="黑体"/>
              <w:color w:val="auto"/>
              <w:w w:val="94"/>
              <w:sz w:val="32"/>
              <w:szCs w:val="32"/>
              <w:highlight w:val="none"/>
              <w:lang w:val="en-US" w:eastAsia="zh-CN"/>
            </w:rPr>
          </w:pPr>
          <w:r>
            <w:rPr>
              <w:rFonts w:hint="eastAsia" w:ascii="黑体" w:hAnsi="黑体" w:eastAsia="黑体" w:cs="黑体"/>
              <w:color w:val="auto"/>
              <w:sz w:val="32"/>
              <w:szCs w:val="32"/>
              <w:highlight w:val="none"/>
              <w:lang w:val="en-US" w:eastAsia="zh-CN"/>
            </w:rPr>
            <w:fldChar w:fldCharType="begin"/>
          </w:r>
          <w:r>
            <w:rPr>
              <w:rFonts w:hint="eastAsia" w:ascii="黑体" w:hAnsi="黑体" w:eastAsia="黑体" w:cs="黑体"/>
              <w:color w:val="auto"/>
              <w:sz w:val="32"/>
              <w:szCs w:val="32"/>
              <w:highlight w:val="none"/>
              <w:lang w:val="en-US" w:eastAsia="zh-CN"/>
            </w:rPr>
            <w:instrText xml:space="preserve">TOC \o "1-2" \h \u </w:instrText>
          </w:r>
          <w:r>
            <w:rPr>
              <w:rFonts w:hint="eastAsia" w:ascii="黑体" w:hAnsi="黑体" w:eastAsia="黑体" w:cs="黑体"/>
              <w:color w:val="auto"/>
              <w:sz w:val="32"/>
              <w:szCs w:val="32"/>
              <w:highlight w:val="none"/>
              <w:lang w:val="en-US" w:eastAsia="zh-CN"/>
            </w:rPr>
            <w:fldChar w:fldCharType="separate"/>
          </w:r>
          <w:r>
            <w:rPr>
              <w:rFonts w:hint="eastAsia" w:ascii="黑体" w:hAnsi="黑体" w:eastAsia="黑体" w:cs="黑体"/>
              <w:color w:val="auto"/>
              <w:w w:val="94"/>
              <w:sz w:val="32"/>
              <w:szCs w:val="32"/>
              <w:highlight w:val="none"/>
              <w:lang w:val="en-US" w:eastAsia="zh-CN"/>
            </w:rPr>
            <w:fldChar w:fldCharType="begin"/>
          </w:r>
          <w:r>
            <w:rPr>
              <w:rFonts w:hint="eastAsia" w:ascii="黑体" w:hAnsi="黑体" w:eastAsia="黑体" w:cs="黑体"/>
              <w:color w:val="auto"/>
              <w:w w:val="94"/>
              <w:sz w:val="32"/>
              <w:szCs w:val="32"/>
              <w:highlight w:val="none"/>
              <w:lang w:val="en-US" w:eastAsia="zh-CN"/>
            </w:rPr>
            <w:instrText xml:space="preserve"> HYPERLINK \l _Toc24449 </w:instrText>
          </w:r>
          <w:r>
            <w:rPr>
              <w:rFonts w:hint="eastAsia" w:ascii="黑体" w:hAnsi="黑体" w:eastAsia="黑体" w:cs="黑体"/>
              <w:color w:val="auto"/>
              <w:w w:val="94"/>
              <w:sz w:val="32"/>
              <w:szCs w:val="32"/>
              <w:highlight w:val="none"/>
              <w:lang w:val="en-US" w:eastAsia="zh-CN"/>
            </w:rPr>
            <w:fldChar w:fldCharType="separate"/>
          </w:r>
          <w:r>
            <w:rPr>
              <w:rFonts w:hint="eastAsia" w:ascii="黑体" w:hAnsi="黑体" w:eastAsia="黑体" w:cs="黑体"/>
              <w:color w:val="auto"/>
              <w:w w:val="94"/>
              <w:sz w:val="32"/>
              <w:szCs w:val="32"/>
              <w:highlight w:val="none"/>
              <w:lang w:val="en-US" w:eastAsia="zh-CN"/>
            </w:rPr>
            <w:t xml:space="preserve">第一章  </w:t>
          </w:r>
          <w:r>
            <w:rPr>
              <w:rFonts w:hint="eastAsia" w:ascii="黑体" w:hAnsi="黑体" w:eastAsia="黑体" w:cs="黑体"/>
              <w:color w:val="auto"/>
              <w:spacing w:val="-6"/>
              <w:w w:val="94"/>
              <w:sz w:val="32"/>
              <w:szCs w:val="32"/>
              <w:highlight w:val="none"/>
              <w:lang w:val="en-US" w:eastAsia="zh-CN"/>
            </w:rPr>
            <w:t>立足新起点把握新形势，奋力开创现代化强区建设新局面</w:t>
          </w:r>
          <w:r>
            <w:rPr>
              <w:rFonts w:hint="eastAsia" w:ascii="黑体" w:hAnsi="黑体" w:eastAsia="黑体" w:cs="黑体"/>
              <w:color w:val="auto"/>
              <w:w w:val="94"/>
              <w:sz w:val="32"/>
              <w:szCs w:val="32"/>
              <w:highlight w:val="none"/>
              <w:lang w:val="en-US" w:eastAsia="zh-CN"/>
            </w:rPr>
            <w:t>..</w:t>
          </w:r>
          <w:r>
            <w:rPr>
              <w:rFonts w:hint="eastAsia" w:ascii="黑体" w:hAnsi="黑体" w:eastAsia="黑体" w:cs="黑体"/>
              <w:color w:val="auto"/>
              <w:w w:val="94"/>
              <w:sz w:val="32"/>
              <w:szCs w:val="32"/>
              <w:highlight w:val="none"/>
              <w:lang w:val="en-US" w:eastAsia="zh-CN"/>
            </w:rPr>
            <w:tab/>
          </w:r>
          <w:r>
            <w:rPr>
              <w:rFonts w:hint="eastAsia" w:ascii="黑体" w:hAnsi="黑体" w:eastAsia="黑体" w:cs="黑体"/>
              <w:color w:val="auto"/>
              <w:w w:val="94"/>
              <w:sz w:val="32"/>
              <w:szCs w:val="32"/>
              <w:highlight w:val="none"/>
              <w:lang w:val="en-US" w:eastAsia="zh-CN"/>
            </w:rPr>
            <w:fldChar w:fldCharType="begin"/>
          </w:r>
          <w:r>
            <w:rPr>
              <w:rFonts w:hint="eastAsia" w:ascii="黑体" w:hAnsi="黑体" w:eastAsia="黑体" w:cs="黑体"/>
              <w:color w:val="auto"/>
              <w:w w:val="94"/>
              <w:sz w:val="32"/>
              <w:szCs w:val="32"/>
              <w:highlight w:val="none"/>
              <w:lang w:val="en-US" w:eastAsia="zh-CN"/>
            </w:rPr>
            <w:instrText xml:space="preserve"> PAGEREF _Toc24449 \h </w:instrText>
          </w:r>
          <w:r>
            <w:rPr>
              <w:rFonts w:hint="eastAsia" w:ascii="黑体" w:hAnsi="黑体" w:eastAsia="黑体" w:cs="黑体"/>
              <w:color w:val="auto"/>
              <w:w w:val="94"/>
              <w:sz w:val="32"/>
              <w:szCs w:val="32"/>
              <w:highlight w:val="none"/>
              <w:lang w:val="en-US" w:eastAsia="zh-CN"/>
            </w:rPr>
            <w:fldChar w:fldCharType="separate"/>
          </w:r>
          <w:r>
            <w:rPr>
              <w:rFonts w:hint="eastAsia" w:ascii="黑体" w:hAnsi="黑体" w:eastAsia="黑体" w:cs="黑体"/>
              <w:color w:val="auto"/>
              <w:w w:val="94"/>
              <w:sz w:val="32"/>
              <w:szCs w:val="32"/>
              <w:highlight w:val="none"/>
              <w:lang w:val="en-US" w:eastAsia="zh-CN"/>
            </w:rPr>
            <w:t>7</w:t>
          </w:r>
          <w:r>
            <w:rPr>
              <w:rFonts w:hint="eastAsia" w:ascii="黑体" w:hAnsi="黑体" w:eastAsia="黑体" w:cs="黑体"/>
              <w:color w:val="auto"/>
              <w:w w:val="94"/>
              <w:sz w:val="32"/>
              <w:szCs w:val="32"/>
              <w:highlight w:val="none"/>
              <w:lang w:val="en-US" w:eastAsia="zh-CN"/>
            </w:rPr>
            <w:fldChar w:fldCharType="end"/>
          </w:r>
          <w:r>
            <w:rPr>
              <w:rFonts w:hint="eastAsia" w:ascii="黑体" w:hAnsi="黑体" w:eastAsia="黑体" w:cs="黑体"/>
              <w:color w:val="auto"/>
              <w:w w:val="94"/>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jc w:val="lef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_Toc25192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val="0"/>
              <w:kern w:val="2"/>
              <w:sz w:val="32"/>
              <w:szCs w:val="32"/>
              <w:highlight w:val="none"/>
              <w:lang w:val="en-US" w:eastAsia="zh-CN" w:bidi="ar-SA"/>
            </w:rPr>
            <w:t>第一节  “十四五”时期经济社会发展取得显著成效</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lang w:val="en-US" w:eastAsia="zh-CN"/>
            </w:rPr>
            <w:t>.</w:t>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_Toc25192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7</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_Toc30123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val="0"/>
              <w:sz w:val="32"/>
              <w:szCs w:val="32"/>
              <w:highlight w:val="none"/>
              <w:lang w:val="en-US" w:eastAsia="zh-CN"/>
            </w:rPr>
            <w:t>第二节  “十五五”时期国内外环境发生深刻变化</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lang w:val="en-US" w:eastAsia="zh-CN"/>
            </w:rPr>
            <w:t>...</w:t>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_Toc30123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14</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fldChar w:fldCharType="begin"/>
          </w:r>
          <w:r>
            <w:rPr>
              <w:rFonts w:hint="eastAsia" w:ascii="黑体" w:hAnsi="黑体" w:eastAsia="黑体" w:cs="黑体"/>
              <w:color w:val="auto"/>
              <w:sz w:val="32"/>
              <w:szCs w:val="32"/>
              <w:highlight w:val="none"/>
              <w:lang w:val="en-US" w:eastAsia="zh-CN"/>
            </w:rPr>
            <w:instrText xml:space="preserve"> HYPERLINK \l _Toc20399 </w:instrText>
          </w:r>
          <w:r>
            <w:rPr>
              <w:rFonts w:hint="eastAsia" w:ascii="黑体" w:hAnsi="黑体" w:eastAsia="黑体" w:cs="黑体"/>
              <w:color w:val="auto"/>
              <w:sz w:val="32"/>
              <w:szCs w:val="32"/>
              <w:highlight w:val="none"/>
              <w:lang w:val="en-US" w:eastAsia="zh-CN"/>
            </w:rPr>
            <w:fldChar w:fldCharType="separate"/>
          </w:r>
          <w:r>
            <w:rPr>
              <w:rFonts w:hint="eastAsia" w:ascii="黑体" w:hAnsi="黑体" w:eastAsia="黑体" w:cs="黑体"/>
              <w:color w:val="auto"/>
              <w:sz w:val="32"/>
              <w:szCs w:val="32"/>
              <w:highlight w:val="none"/>
              <w:lang w:val="en-US" w:eastAsia="zh-CN"/>
            </w:rPr>
            <w:t>第二章  明确指导思想与战略导向，绘就高质量发展新蓝图..</w:t>
          </w:r>
          <w:r>
            <w:rPr>
              <w:rFonts w:hint="eastAsia" w:ascii="黑体" w:hAnsi="黑体" w:eastAsia="黑体" w:cs="黑体"/>
              <w:color w:val="auto"/>
              <w:sz w:val="32"/>
              <w:szCs w:val="32"/>
              <w:highlight w:val="none"/>
              <w:lang w:val="en-US" w:eastAsia="zh-CN"/>
            </w:rPr>
            <w:fldChar w:fldCharType="begin"/>
          </w:r>
          <w:r>
            <w:rPr>
              <w:rFonts w:hint="eastAsia" w:ascii="黑体" w:hAnsi="黑体" w:eastAsia="黑体" w:cs="黑体"/>
              <w:color w:val="auto"/>
              <w:sz w:val="32"/>
              <w:szCs w:val="32"/>
              <w:highlight w:val="none"/>
              <w:lang w:val="en-US" w:eastAsia="zh-CN"/>
            </w:rPr>
            <w:instrText xml:space="preserve"> PAGEREF _Toc20399 \h </w:instrText>
          </w:r>
          <w:r>
            <w:rPr>
              <w:rFonts w:hint="eastAsia" w:ascii="黑体" w:hAnsi="黑体" w:eastAsia="黑体" w:cs="黑体"/>
              <w:color w:val="auto"/>
              <w:sz w:val="32"/>
              <w:szCs w:val="32"/>
              <w:highlight w:val="none"/>
              <w:lang w:val="en-US" w:eastAsia="zh-CN"/>
            </w:rPr>
            <w:fldChar w:fldCharType="separate"/>
          </w:r>
          <w:r>
            <w:rPr>
              <w:rFonts w:hint="eastAsia" w:ascii="黑体" w:hAnsi="黑体" w:eastAsia="黑体" w:cs="黑体"/>
              <w:color w:val="auto"/>
              <w:sz w:val="32"/>
              <w:szCs w:val="32"/>
              <w:highlight w:val="none"/>
              <w:lang w:val="en-US" w:eastAsia="zh-CN"/>
            </w:rPr>
            <w:t>16</w:t>
          </w:r>
          <w:r>
            <w:rPr>
              <w:rFonts w:hint="eastAsia" w:ascii="黑体" w:hAnsi="黑体" w:eastAsia="黑体" w:cs="黑体"/>
              <w:color w:val="auto"/>
              <w:sz w:val="32"/>
              <w:szCs w:val="32"/>
              <w:highlight w:val="none"/>
              <w:lang w:val="en-US" w:eastAsia="zh-CN"/>
            </w:rPr>
            <w:fldChar w:fldCharType="end"/>
          </w:r>
          <w:r>
            <w:rPr>
              <w:rFonts w:hint="eastAsia" w:ascii="黑体" w:hAnsi="黑体" w:eastAsia="黑体" w:cs="黑体"/>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_Toc3883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0"/>
              <w:sz w:val="32"/>
              <w:szCs w:val="32"/>
              <w:highlight w:val="none"/>
              <w:lang w:val="en-US" w:eastAsia="zh-CN" w:bidi="ar"/>
            </w:rPr>
            <w:t>第一节  指导思想</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_Toc3883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16</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_Toc3408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0"/>
              <w:sz w:val="32"/>
              <w:szCs w:val="32"/>
              <w:highlight w:val="none"/>
              <w:lang w:val="en-US" w:eastAsia="zh-CN" w:bidi="ar"/>
            </w:rPr>
            <w:t>第二节  基本原则</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_Toc3408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17</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_Toc11654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0"/>
              <w:sz w:val="32"/>
              <w:szCs w:val="32"/>
              <w:highlight w:val="none"/>
              <w:lang w:val="en-US" w:eastAsia="zh-CN" w:bidi="ar"/>
            </w:rPr>
            <w:t>第三节  发展目标</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_Toc11654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18</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fldChar w:fldCharType="begin"/>
          </w:r>
          <w:r>
            <w:rPr>
              <w:rFonts w:hint="eastAsia" w:ascii="黑体" w:hAnsi="黑体" w:eastAsia="黑体" w:cs="黑体"/>
              <w:color w:val="auto"/>
              <w:sz w:val="32"/>
              <w:szCs w:val="32"/>
              <w:highlight w:val="none"/>
              <w:lang w:val="en-US" w:eastAsia="zh-CN"/>
            </w:rPr>
            <w:instrText xml:space="preserve"> HYPERLINK \l _Toc19368 </w:instrText>
          </w:r>
          <w:r>
            <w:rPr>
              <w:rFonts w:hint="eastAsia" w:ascii="黑体" w:hAnsi="黑体" w:eastAsia="黑体" w:cs="黑体"/>
              <w:color w:val="auto"/>
              <w:sz w:val="32"/>
              <w:szCs w:val="32"/>
              <w:highlight w:val="none"/>
              <w:lang w:val="en-US" w:eastAsia="zh-CN"/>
            </w:rPr>
            <w:fldChar w:fldCharType="separate"/>
          </w:r>
          <w:r>
            <w:rPr>
              <w:rFonts w:hint="eastAsia" w:ascii="黑体" w:hAnsi="黑体" w:eastAsia="黑体" w:cs="黑体"/>
              <w:color w:val="auto"/>
              <w:sz w:val="32"/>
              <w:szCs w:val="32"/>
              <w:highlight w:val="none"/>
              <w:lang w:val="en-US" w:eastAsia="zh-CN"/>
            </w:rPr>
            <w:t>第三章  因地制宜发展新质生产力，加快建设以先进制造业为引领的现代化产业体系</w:t>
          </w:r>
          <w:r>
            <w:rPr>
              <w:rFonts w:hint="eastAsia" w:ascii="黑体" w:hAnsi="黑体" w:eastAsia="黑体" w:cs="黑体"/>
              <w:color w:val="auto"/>
              <w:sz w:val="32"/>
              <w:szCs w:val="32"/>
              <w:highlight w:val="none"/>
              <w:lang w:val="en-US" w:eastAsia="zh-CN"/>
            </w:rPr>
            <w:tab/>
          </w:r>
          <w:r>
            <w:rPr>
              <w:rFonts w:hint="eastAsia" w:ascii="黑体" w:hAnsi="黑体" w:eastAsia="黑体" w:cs="黑体"/>
              <w:color w:val="auto"/>
              <w:sz w:val="32"/>
              <w:szCs w:val="32"/>
              <w:highlight w:val="none"/>
              <w:lang w:val="en-US" w:eastAsia="zh-CN"/>
            </w:rPr>
            <w:fldChar w:fldCharType="begin"/>
          </w:r>
          <w:r>
            <w:rPr>
              <w:rFonts w:hint="eastAsia" w:ascii="黑体" w:hAnsi="黑体" w:eastAsia="黑体" w:cs="黑体"/>
              <w:color w:val="auto"/>
              <w:sz w:val="32"/>
              <w:szCs w:val="32"/>
              <w:highlight w:val="none"/>
              <w:lang w:val="en-US" w:eastAsia="zh-CN"/>
            </w:rPr>
            <w:instrText xml:space="preserve"> PAGEREF _Toc19368 \h </w:instrText>
          </w:r>
          <w:r>
            <w:rPr>
              <w:rFonts w:hint="eastAsia" w:ascii="黑体" w:hAnsi="黑体" w:eastAsia="黑体" w:cs="黑体"/>
              <w:color w:val="auto"/>
              <w:sz w:val="32"/>
              <w:szCs w:val="32"/>
              <w:highlight w:val="none"/>
              <w:lang w:val="en-US" w:eastAsia="zh-CN"/>
            </w:rPr>
            <w:fldChar w:fldCharType="separate"/>
          </w:r>
          <w:r>
            <w:rPr>
              <w:rFonts w:hint="eastAsia" w:ascii="黑体" w:hAnsi="黑体" w:eastAsia="黑体" w:cs="黑体"/>
              <w:color w:val="auto"/>
              <w:sz w:val="32"/>
              <w:szCs w:val="32"/>
              <w:highlight w:val="none"/>
              <w:lang w:val="en-US" w:eastAsia="zh-CN"/>
            </w:rPr>
            <w:t>23</w:t>
          </w:r>
          <w:r>
            <w:rPr>
              <w:rFonts w:hint="eastAsia" w:ascii="黑体" w:hAnsi="黑体" w:eastAsia="黑体" w:cs="黑体"/>
              <w:color w:val="auto"/>
              <w:sz w:val="32"/>
              <w:szCs w:val="32"/>
              <w:highlight w:val="none"/>
              <w:lang w:val="en-US" w:eastAsia="zh-CN"/>
            </w:rPr>
            <w:fldChar w:fldCharType="end"/>
          </w:r>
          <w:r>
            <w:rPr>
              <w:rFonts w:hint="eastAsia" w:ascii="黑体" w:hAnsi="黑体" w:eastAsia="黑体" w:cs="黑体"/>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_Toc18661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44"/>
              <w:sz w:val="32"/>
              <w:szCs w:val="32"/>
              <w:highlight w:val="none"/>
              <w:lang w:val="en-US" w:eastAsia="zh-CN" w:bidi="ar"/>
            </w:rPr>
            <w:t>第一节  壮大“3＋2＋2”链群发展体系</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_Toc18661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23</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_Toc3700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44"/>
              <w:sz w:val="32"/>
              <w:szCs w:val="32"/>
              <w:highlight w:val="none"/>
              <w:lang w:val="en-US" w:eastAsia="zh-CN" w:bidi="ar"/>
            </w:rPr>
            <w:t>第二节  促进服务业优质高效发展</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_Toc3700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33</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_Toc31076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44"/>
              <w:sz w:val="32"/>
              <w:szCs w:val="32"/>
              <w:highlight w:val="none"/>
              <w:lang w:val="en-US" w:eastAsia="zh-CN" w:bidi="ar"/>
            </w:rPr>
            <w:t>第三节  提升明水经济技术开发区发展能级</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_Toc31076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38</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_Toc27498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44"/>
              <w:sz w:val="32"/>
              <w:szCs w:val="32"/>
              <w:highlight w:val="none"/>
              <w:lang w:val="en-US" w:eastAsia="zh-CN" w:bidi="ar"/>
            </w:rPr>
            <w:t xml:space="preserve">第四节  </w:t>
          </w:r>
          <w:r>
            <w:rPr>
              <w:rFonts w:hint="eastAsia" w:ascii="楷体_GB2312" w:hAnsi="楷体_GB2312" w:eastAsia="楷体_GB2312" w:cs="楷体_GB2312"/>
              <w:bCs w:val="0"/>
              <w:sz w:val="32"/>
              <w:szCs w:val="32"/>
              <w:highlight w:val="none"/>
              <w:lang w:val="en-US" w:eastAsia="zh-CN"/>
            </w:rPr>
            <w:t>构筑产业发展良好生态</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_Toc27498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40</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黑体" w:hAnsi="黑体" w:eastAsia="黑体" w:cs="黑体"/>
              <w:color w:val="auto"/>
              <w:w w:val="96"/>
              <w:sz w:val="32"/>
              <w:szCs w:val="32"/>
              <w:highlight w:val="none"/>
              <w:lang w:val="en-US" w:eastAsia="zh-CN"/>
            </w:rPr>
          </w:pPr>
          <w:r>
            <w:rPr>
              <w:rFonts w:hint="eastAsia" w:ascii="黑体" w:hAnsi="黑体" w:eastAsia="黑体" w:cs="黑体"/>
              <w:color w:val="auto"/>
              <w:w w:val="96"/>
              <w:sz w:val="32"/>
              <w:szCs w:val="32"/>
              <w:highlight w:val="none"/>
              <w:lang w:val="en-US" w:eastAsia="zh-CN"/>
            </w:rPr>
            <w:fldChar w:fldCharType="begin"/>
          </w:r>
          <w:r>
            <w:rPr>
              <w:rFonts w:hint="eastAsia" w:ascii="黑体" w:hAnsi="黑体" w:eastAsia="黑体" w:cs="黑体"/>
              <w:color w:val="auto"/>
              <w:w w:val="96"/>
              <w:sz w:val="32"/>
              <w:szCs w:val="32"/>
              <w:highlight w:val="none"/>
              <w:lang w:val="en-US" w:eastAsia="zh-CN"/>
            </w:rPr>
            <w:instrText xml:space="preserve"> HYPERLINK \l _Toc3012 </w:instrText>
          </w:r>
          <w:r>
            <w:rPr>
              <w:rFonts w:hint="eastAsia" w:ascii="黑体" w:hAnsi="黑体" w:eastAsia="黑体" w:cs="黑体"/>
              <w:color w:val="auto"/>
              <w:w w:val="96"/>
              <w:sz w:val="32"/>
              <w:szCs w:val="32"/>
              <w:highlight w:val="none"/>
              <w:lang w:val="en-US" w:eastAsia="zh-CN"/>
            </w:rPr>
            <w:fldChar w:fldCharType="separate"/>
          </w:r>
          <w:r>
            <w:rPr>
              <w:rFonts w:hint="eastAsia" w:ascii="黑体" w:hAnsi="黑体" w:eastAsia="黑体" w:cs="黑体"/>
              <w:color w:val="auto"/>
              <w:w w:val="96"/>
              <w:sz w:val="32"/>
              <w:szCs w:val="32"/>
              <w:highlight w:val="none"/>
              <w:lang w:val="en-US" w:eastAsia="zh-CN"/>
            </w:rPr>
            <w:t xml:space="preserve">第四章  </w:t>
          </w:r>
          <w:r>
            <w:rPr>
              <w:rFonts w:hint="eastAsia" w:ascii="黑体" w:hAnsi="黑体" w:eastAsia="黑体" w:cs="黑体"/>
              <w:color w:val="auto"/>
              <w:spacing w:val="-6"/>
              <w:w w:val="96"/>
              <w:sz w:val="32"/>
              <w:szCs w:val="32"/>
              <w:highlight w:val="none"/>
              <w:lang w:val="en-US" w:eastAsia="zh-CN"/>
            </w:rPr>
            <w:t>深入实施创新驱动发展战略，全方位激发创新活力动能</w:t>
          </w:r>
          <w:r>
            <w:rPr>
              <w:rFonts w:hint="eastAsia" w:ascii="黑体" w:hAnsi="黑体" w:eastAsia="黑体" w:cs="黑体"/>
              <w:color w:val="auto"/>
              <w:w w:val="96"/>
              <w:sz w:val="32"/>
              <w:szCs w:val="32"/>
              <w:highlight w:val="none"/>
              <w:lang w:val="en-US" w:eastAsia="zh-CN"/>
            </w:rPr>
            <w:tab/>
          </w:r>
          <w:r>
            <w:rPr>
              <w:rFonts w:hint="eastAsia" w:ascii="黑体" w:hAnsi="黑体" w:eastAsia="黑体" w:cs="黑体"/>
              <w:color w:val="auto"/>
              <w:w w:val="96"/>
              <w:sz w:val="32"/>
              <w:szCs w:val="32"/>
              <w:highlight w:val="none"/>
              <w:lang w:val="en-US" w:eastAsia="zh-CN"/>
            </w:rPr>
            <w:fldChar w:fldCharType="begin"/>
          </w:r>
          <w:r>
            <w:rPr>
              <w:rFonts w:hint="eastAsia" w:ascii="黑体" w:hAnsi="黑体" w:eastAsia="黑体" w:cs="黑体"/>
              <w:color w:val="auto"/>
              <w:w w:val="96"/>
              <w:sz w:val="32"/>
              <w:szCs w:val="32"/>
              <w:highlight w:val="none"/>
              <w:lang w:val="en-US" w:eastAsia="zh-CN"/>
            </w:rPr>
            <w:instrText xml:space="preserve"> PAGEREF _Toc3012 \h </w:instrText>
          </w:r>
          <w:r>
            <w:rPr>
              <w:rFonts w:hint="eastAsia" w:ascii="黑体" w:hAnsi="黑体" w:eastAsia="黑体" w:cs="黑体"/>
              <w:color w:val="auto"/>
              <w:w w:val="96"/>
              <w:sz w:val="32"/>
              <w:szCs w:val="32"/>
              <w:highlight w:val="none"/>
              <w:lang w:val="en-US" w:eastAsia="zh-CN"/>
            </w:rPr>
            <w:fldChar w:fldCharType="separate"/>
          </w:r>
          <w:r>
            <w:rPr>
              <w:rFonts w:hint="eastAsia" w:ascii="黑体" w:hAnsi="黑体" w:eastAsia="黑体" w:cs="黑体"/>
              <w:color w:val="auto"/>
              <w:w w:val="96"/>
              <w:sz w:val="32"/>
              <w:szCs w:val="32"/>
              <w:highlight w:val="none"/>
              <w:lang w:val="en-US" w:eastAsia="zh-CN"/>
            </w:rPr>
            <w:t>44</w:t>
          </w:r>
          <w:r>
            <w:rPr>
              <w:rFonts w:hint="eastAsia" w:ascii="黑体" w:hAnsi="黑体" w:eastAsia="黑体" w:cs="黑体"/>
              <w:color w:val="auto"/>
              <w:w w:val="96"/>
              <w:sz w:val="32"/>
              <w:szCs w:val="32"/>
              <w:highlight w:val="none"/>
              <w:lang w:val="en-US" w:eastAsia="zh-CN"/>
            </w:rPr>
            <w:fldChar w:fldCharType="end"/>
          </w:r>
          <w:r>
            <w:rPr>
              <w:rFonts w:hint="eastAsia" w:ascii="黑体" w:hAnsi="黑体" w:eastAsia="黑体" w:cs="黑体"/>
              <w:color w:val="auto"/>
              <w:w w:val="96"/>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_Toc25766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44"/>
              <w:sz w:val="32"/>
              <w:szCs w:val="32"/>
              <w:highlight w:val="none"/>
              <w:lang w:val="en-US" w:eastAsia="zh-CN" w:bidi="ar"/>
            </w:rPr>
            <w:t>第一节  强化企业创新主体地位</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_Toc25766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44</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_Toc3943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44"/>
              <w:sz w:val="32"/>
              <w:szCs w:val="32"/>
              <w:highlight w:val="none"/>
              <w:lang w:val="en-US" w:eastAsia="zh-CN" w:bidi="ar"/>
            </w:rPr>
            <w:t>第二节  畅通科技成果转化通道​</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_Toc3943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46</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_Toc28355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44"/>
              <w:sz w:val="32"/>
              <w:szCs w:val="32"/>
              <w:highlight w:val="none"/>
              <w:lang w:val="en-US" w:eastAsia="zh-CN" w:bidi="ar"/>
            </w:rPr>
            <w:t>第三节  筑牢高层次人才支撑体系​</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_Toc28355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46</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_Toc17410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44"/>
              <w:sz w:val="32"/>
              <w:szCs w:val="32"/>
              <w:highlight w:val="none"/>
              <w:lang w:val="en-US" w:eastAsia="zh-CN" w:bidi="ar"/>
            </w:rPr>
            <w:t>第四节  优化创新创业生态环境​</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_Toc17410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48</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fldChar w:fldCharType="begin"/>
          </w:r>
          <w:r>
            <w:rPr>
              <w:rFonts w:hint="eastAsia" w:ascii="黑体" w:hAnsi="黑体" w:eastAsia="黑体" w:cs="黑体"/>
              <w:color w:val="auto"/>
              <w:sz w:val="32"/>
              <w:szCs w:val="32"/>
              <w:highlight w:val="none"/>
              <w:lang w:val="en-US" w:eastAsia="zh-CN"/>
            </w:rPr>
            <w:instrText xml:space="preserve"> HYPERLINK \l _Toc29626 </w:instrText>
          </w:r>
          <w:r>
            <w:rPr>
              <w:rFonts w:hint="eastAsia" w:ascii="黑体" w:hAnsi="黑体" w:eastAsia="黑体" w:cs="黑体"/>
              <w:color w:val="auto"/>
              <w:sz w:val="32"/>
              <w:szCs w:val="32"/>
              <w:highlight w:val="none"/>
              <w:lang w:val="en-US" w:eastAsia="zh-CN"/>
            </w:rPr>
            <w:fldChar w:fldCharType="separate"/>
          </w:r>
          <w:r>
            <w:rPr>
              <w:rFonts w:hint="eastAsia" w:ascii="黑体" w:hAnsi="黑体" w:eastAsia="黑体" w:cs="黑体"/>
              <w:color w:val="auto"/>
              <w:sz w:val="32"/>
              <w:szCs w:val="32"/>
              <w:highlight w:val="none"/>
              <w:lang w:val="en-US" w:eastAsia="zh-CN"/>
            </w:rPr>
            <w:t>第五章  深入实施扩大内需战略，促进消费和投资提质增效.</w:t>
          </w:r>
          <w:r>
            <w:rPr>
              <w:rFonts w:hint="eastAsia" w:ascii="黑体" w:hAnsi="黑体" w:eastAsia="黑体" w:cs="黑体"/>
              <w:color w:val="auto"/>
              <w:sz w:val="32"/>
              <w:szCs w:val="32"/>
              <w:highlight w:val="none"/>
              <w:lang w:val="en-US" w:eastAsia="zh-CN"/>
            </w:rPr>
            <w:fldChar w:fldCharType="begin"/>
          </w:r>
          <w:r>
            <w:rPr>
              <w:rFonts w:hint="eastAsia" w:ascii="黑体" w:hAnsi="黑体" w:eastAsia="黑体" w:cs="黑体"/>
              <w:color w:val="auto"/>
              <w:sz w:val="32"/>
              <w:szCs w:val="32"/>
              <w:highlight w:val="none"/>
              <w:lang w:val="en-US" w:eastAsia="zh-CN"/>
            </w:rPr>
            <w:instrText xml:space="preserve"> PAGEREF _Toc29626 \h </w:instrText>
          </w:r>
          <w:r>
            <w:rPr>
              <w:rFonts w:hint="eastAsia" w:ascii="黑体" w:hAnsi="黑体" w:eastAsia="黑体" w:cs="黑体"/>
              <w:color w:val="auto"/>
              <w:sz w:val="32"/>
              <w:szCs w:val="32"/>
              <w:highlight w:val="none"/>
              <w:lang w:val="en-US" w:eastAsia="zh-CN"/>
            </w:rPr>
            <w:fldChar w:fldCharType="separate"/>
          </w:r>
          <w:r>
            <w:rPr>
              <w:rFonts w:hint="eastAsia" w:ascii="黑体" w:hAnsi="黑体" w:eastAsia="黑体" w:cs="黑体"/>
              <w:color w:val="auto"/>
              <w:sz w:val="32"/>
              <w:szCs w:val="32"/>
              <w:highlight w:val="none"/>
              <w:lang w:val="en-US" w:eastAsia="zh-CN"/>
            </w:rPr>
            <w:t>52</w:t>
          </w:r>
          <w:r>
            <w:rPr>
              <w:rFonts w:hint="eastAsia" w:ascii="黑体" w:hAnsi="黑体" w:eastAsia="黑体" w:cs="黑体"/>
              <w:color w:val="auto"/>
              <w:sz w:val="32"/>
              <w:szCs w:val="32"/>
              <w:highlight w:val="none"/>
              <w:lang w:val="en-US" w:eastAsia="zh-CN"/>
            </w:rPr>
            <w:fldChar w:fldCharType="end"/>
          </w:r>
          <w:r>
            <w:rPr>
              <w:rFonts w:hint="eastAsia" w:ascii="黑体" w:hAnsi="黑体" w:eastAsia="黑体" w:cs="黑体"/>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_Toc31203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44"/>
              <w:sz w:val="32"/>
              <w:szCs w:val="32"/>
              <w:highlight w:val="none"/>
              <w:lang w:val="en-US" w:eastAsia="zh-CN" w:bidi="ar"/>
            </w:rPr>
            <w:t>第一节  加快推动消费提质升级</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_Toc31203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52</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_Toc31846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44"/>
              <w:sz w:val="32"/>
              <w:szCs w:val="32"/>
              <w:highlight w:val="none"/>
              <w:lang w:val="en-US" w:eastAsia="zh-CN" w:bidi="ar"/>
            </w:rPr>
            <w:t>第二节  着力优化投资结构和方向</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_Toc31846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55</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_Toc30482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44"/>
              <w:sz w:val="32"/>
              <w:szCs w:val="32"/>
              <w:highlight w:val="none"/>
              <w:lang w:val="en-US" w:eastAsia="zh-CN" w:bidi="ar"/>
            </w:rPr>
            <w:t>第三节  强化基础设施支撑作用</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_Toc30482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57</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fldChar w:fldCharType="begin"/>
          </w:r>
          <w:r>
            <w:rPr>
              <w:rFonts w:hint="eastAsia" w:ascii="黑体" w:hAnsi="黑体" w:eastAsia="黑体" w:cs="黑体"/>
              <w:color w:val="auto"/>
              <w:sz w:val="32"/>
              <w:szCs w:val="32"/>
              <w:highlight w:val="none"/>
              <w:lang w:val="en-US" w:eastAsia="zh-CN"/>
            </w:rPr>
            <w:instrText xml:space="preserve"> HYPERLINK \l _Toc31970 </w:instrText>
          </w:r>
          <w:r>
            <w:rPr>
              <w:rFonts w:hint="eastAsia" w:ascii="黑体" w:hAnsi="黑体" w:eastAsia="黑体" w:cs="黑体"/>
              <w:color w:val="auto"/>
              <w:sz w:val="32"/>
              <w:szCs w:val="32"/>
              <w:highlight w:val="none"/>
              <w:lang w:val="en-US" w:eastAsia="zh-CN"/>
            </w:rPr>
            <w:fldChar w:fldCharType="separate"/>
          </w:r>
          <w:r>
            <w:rPr>
              <w:rFonts w:hint="eastAsia" w:ascii="黑体" w:hAnsi="黑体" w:eastAsia="黑体" w:cs="黑体"/>
              <w:color w:val="auto"/>
              <w:sz w:val="32"/>
              <w:szCs w:val="32"/>
              <w:highlight w:val="none"/>
              <w:lang w:val="en-US" w:eastAsia="zh-CN"/>
            </w:rPr>
            <w:t>第六章  全面深化改革开放，激发高质量发展动力活力</w:t>
          </w:r>
          <w:r>
            <w:rPr>
              <w:rFonts w:hint="eastAsia" w:ascii="黑体" w:hAnsi="黑体" w:eastAsia="黑体" w:cs="黑体"/>
              <w:color w:val="auto"/>
              <w:sz w:val="32"/>
              <w:szCs w:val="32"/>
              <w:highlight w:val="none"/>
              <w:lang w:val="en-US" w:eastAsia="zh-CN"/>
            </w:rPr>
            <w:tab/>
          </w:r>
          <w:r>
            <w:rPr>
              <w:rFonts w:hint="eastAsia" w:ascii="黑体" w:hAnsi="黑体" w:eastAsia="黑体" w:cs="黑体"/>
              <w:color w:val="auto"/>
              <w:sz w:val="32"/>
              <w:szCs w:val="32"/>
              <w:highlight w:val="none"/>
              <w:lang w:val="en-US" w:eastAsia="zh-CN"/>
            </w:rPr>
            <w:fldChar w:fldCharType="begin"/>
          </w:r>
          <w:r>
            <w:rPr>
              <w:rFonts w:hint="eastAsia" w:ascii="黑体" w:hAnsi="黑体" w:eastAsia="黑体" w:cs="黑体"/>
              <w:color w:val="auto"/>
              <w:sz w:val="32"/>
              <w:szCs w:val="32"/>
              <w:highlight w:val="none"/>
              <w:lang w:val="en-US" w:eastAsia="zh-CN"/>
            </w:rPr>
            <w:instrText xml:space="preserve"> PAGEREF _Toc31970 \h </w:instrText>
          </w:r>
          <w:r>
            <w:rPr>
              <w:rFonts w:hint="eastAsia" w:ascii="黑体" w:hAnsi="黑体" w:eastAsia="黑体" w:cs="黑体"/>
              <w:color w:val="auto"/>
              <w:sz w:val="32"/>
              <w:szCs w:val="32"/>
              <w:highlight w:val="none"/>
              <w:lang w:val="en-US" w:eastAsia="zh-CN"/>
            </w:rPr>
            <w:fldChar w:fldCharType="separate"/>
          </w:r>
          <w:r>
            <w:rPr>
              <w:rFonts w:hint="eastAsia" w:ascii="黑体" w:hAnsi="黑体" w:eastAsia="黑体" w:cs="黑体"/>
              <w:color w:val="auto"/>
              <w:sz w:val="32"/>
              <w:szCs w:val="32"/>
              <w:highlight w:val="none"/>
              <w:lang w:val="en-US" w:eastAsia="zh-CN"/>
            </w:rPr>
            <w:t>61</w:t>
          </w:r>
          <w:r>
            <w:rPr>
              <w:rFonts w:hint="eastAsia" w:ascii="黑体" w:hAnsi="黑体" w:eastAsia="黑体" w:cs="黑体"/>
              <w:color w:val="auto"/>
              <w:sz w:val="32"/>
              <w:szCs w:val="32"/>
              <w:highlight w:val="none"/>
              <w:lang w:val="en-US" w:eastAsia="zh-CN"/>
            </w:rPr>
            <w:fldChar w:fldCharType="end"/>
          </w:r>
          <w:r>
            <w:rPr>
              <w:rFonts w:hint="eastAsia" w:ascii="黑体" w:hAnsi="黑体" w:eastAsia="黑体" w:cs="黑体"/>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_Toc21673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val="0"/>
              <w:sz w:val="32"/>
              <w:szCs w:val="32"/>
              <w:highlight w:val="none"/>
              <w:lang w:val="en-US" w:eastAsia="zh-CN"/>
            </w:rPr>
            <w:t>第一节  主动服务和融入全国统一大市场建设</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_Toc21673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61</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_Toc29086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44"/>
              <w:sz w:val="32"/>
              <w:szCs w:val="32"/>
              <w:highlight w:val="none"/>
              <w:lang w:val="en-US" w:eastAsia="zh-CN" w:bidi="ar"/>
            </w:rPr>
            <w:t>第二节  统筹突破关键领域改革</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_Toc29086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63</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_Toc19984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44"/>
              <w:sz w:val="32"/>
              <w:szCs w:val="32"/>
              <w:highlight w:val="none"/>
              <w:lang w:val="en-US" w:eastAsia="zh-CN" w:bidi="ar"/>
            </w:rPr>
            <w:t>第三节  构建全方位开放新格局</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_Toc19984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64</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fldChar w:fldCharType="begin"/>
          </w:r>
          <w:r>
            <w:rPr>
              <w:rFonts w:hint="eastAsia" w:ascii="黑体" w:hAnsi="黑体" w:eastAsia="黑体" w:cs="黑体"/>
              <w:color w:val="auto"/>
              <w:sz w:val="32"/>
              <w:szCs w:val="32"/>
              <w:highlight w:val="none"/>
              <w:lang w:val="en-US" w:eastAsia="zh-CN"/>
            </w:rPr>
            <w:instrText xml:space="preserve"> HYPERLINK \l _Toc32311 </w:instrText>
          </w:r>
          <w:r>
            <w:rPr>
              <w:rFonts w:hint="eastAsia" w:ascii="黑体" w:hAnsi="黑体" w:eastAsia="黑体" w:cs="黑体"/>
              <w:color w:val="auto"/>
              <w:sz w:val="32"/>
              <w:szCs w:val="32"/>
              <w:highlight w:val="none"/>
              <w:lang w:val="en-US" w:eastAsia="zh-CN"/>
            </w:rPr>
            <w:fldChar w:fldCharType="separate"/>
          </w:r>
          <w:r>
            <w:rPr>
              <w:rFonts w:hint="eastAsia" w:ascii="黑体" w:hAnsi="黑体" w:eastAsia="黑体" w:cs="黑体"/>
              <w:color w:val="auto"/>
              <w:sz w:val="32"/>
              <w:szCs w:val="32"/>
              <w:highlight w:val="none"/>
              <w:lang w:val="en-US" w:eastAsia="zh-CN"/>
            </w:rPr>
            <w:t>第七章  实施以人为本的新型城镇化，促进区域协调发展</w:t>
          </w:r>
          <w:r>
            <w:rPr>
              <w:rFonts w:hint="eastAsia" w:ascii="黑体" w:hAnsi="黑体" w:eastAsia="黑体" w:cs="黑体"/>
              <w:color w:val="auto"/>
              <w:sz w:val="32"/>
              <w:szCs w:val="32"/>
              <w:highlight w:val="none"/>
              <w:lang w:val="en-US" w:eastAsia="zh-CN"/>
            </w:rPr>
            <w:tab/>
          </w:r>
          <w:r>
            <w:rPr>
              <w:rFonts w:hint="eastAsia" w:ascii="黑体" w:hAnsi="黑体" w:eastAsia="黑体" w:cs="黑体"/>
              <w:color w:val="auto"/>
              <w:sz w:val="32"/>
              <w:szCs w:val="32"/>
              <w:highlight w:val="none"/>
              <w:lang w:val="en-US" w:eastAsia="zh-CN"/>
            </w:rPr>
            <w:t>..</w:t>
          </w:r>
          <w:r>
            <w:rPr>
              <w:rFonts w:hint="eastAsia" w:ascii="黑体" w:hAnsi="黑体" w:eastAsia="黑体" w:cs="黑体"/>
              <w:color w:val="auto"/>
              <w:sz w:val="32"/>
              <w:szCs w:val="32"/>
              <w:highlight w:val="none"/>
              <w:lang w:val="en-US" w:eastAsia="zh-CN"/>
            </w:rPr>
            <w:fldChar w:fldCharType="begin"/>
          </w:r>
          <w:r>
            <w:rPr>
              <w:rFonts w:hint="eastAsia" w:ascii="黑体" w:hAnsi="黑体" w:eastAsia="黑体" w:cs="黑体"/>
              <w:color w:val="auto"/>
              <w:sz w:val="32"/>
              <w:szCs w:val="32"/>
              <w:highlight w:val="none"/>
              <w:lang w:val="en-US" w:eastAsia="zh-CN"/>
            </w:rPr>
            <w:instrText xml:space="preserve"> PAGEREF _Toc32311 \h </w:instrText>
          </w:r>
          <w:r>
            <w:rPr>
              <w:rFonts w:hint="eastAsia" w:ascii="黑体" w:hAnsi="黑体" w:eastAsia="黑体" w:cs="黑体"/>
              <w:color w:val="auto"/>
              <w:sz w:val="32"/>
              <w:szCs w:val="32"/>
              <w:highlight w:val="none"/>
              <w:lang w:val="en-US" w:eastAsia="zh-CN"/>
            </w:rPr>
            <w:fldChar w:fldCharType="separate"/>
          </w:r>
          <w:r>
            <w:rPr>
              <w:rFonts w:hint="eastAsia" w:ascii="黑体" w:hAnsi="黑体" w:eastAsia="黑体" w:cs="黑体"/>
              <w:color w:val="auto"/>
              <w:sz w:val="32"/>
              <w:szCs w:val="32"/>
              <w:highlight w:val="none"/>
              <w:lang w:val="en-US" w:eastAsia="zh-CN"/>
            </w:rPr>
            <w:t>66</w:t>
          </w:r>
          <w:r>
            <w:rPr>
              <w:rFonts w:hint="eastAsia" w:ascii="黑体" w:hAnsi="黑体" w:eastAsia="黑体" w:cs="黑体"/>
              <w:color w:val="auto"/>
              <w:sz w:val="32"/>
              <w:szCs w:val="32"/>
              <w:highlight w:val="none"/>
              <w:lang w:val="en-US" w:eastAsia="zh-CN"/>
            </w:rPr>
            <w:fldChar w:fldCharType="end"/>
          </w:r>
          <w:r>
            <w:rPr>
              <w:rFonts w:hint="eastAsia" w:ascii="黑体" w:hAnsi="黑体" w:eastAsia="黑体" w:cs="黑体"/>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_Toc16125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0"/>
              <w:sz w:val="32"/>
              <w:szCs w:val="32"/>
              <w:highlight w:val="none"/>
              <w:lang w:val="en-US" w:eastAsia="zh-CN" w:bidi="ar"/>
            </w:rPr>
            <w:t>第一节  实施高水平城市建设行动</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_Toc16125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66</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_Toc25581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0"/>
              <w:sz w:val="32"/>
              <w:szCs w:val="32"/>
              <w:highlight w:val="none"/>
              <w:lang w:val="en-US" w:eastAsia="zh-CN" w:bidi="ar"/>
            </w:rPr>
            <w:t xml:space="preserve">第二节  </w:t>
          </w:r>
          <w:r>
            <w:rPr>
              <w:rFonts w:hint="eastAsia" w:ascii="楷体_GB2312" w:hAnsi="楷体_GB2312" w:eastAsia="楷体_GB2312" w:cs="楷体_GB2312"/>
              <w:bCs w:val="0"/>
              <w:kern w:val="2"/>
              <w:sz w:val="32"/>
              <w:szCs w:val="32"/>
              <w:highlight w:val="none"/>
              <w:lang w:val="en-US" w:eastAsia="zh-CN" w:bidi="ar-SA"/>
            </w:rPr>
            <w:t>全力推进数智章丘建设</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_Toc25581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69</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_Toc28294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0"/>
              <w:sz w:val="32"/>
              <w:szCs w:val="32"/>
              <w:highlight w:val="none"/>
              <w:lang w:val="en-US" w:eastAsia="zh-CN" w:bidi="ar"/>
            </w:rPr>
            <w:t>第三节  强化区域协调联动</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_Toc28294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71</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fldChar w:fldCharType="begin"/>
          </w:r>
          <w:r>
            <w:rPr>
              <w:rFonts w:hint="eastAsia" w:ascii="黑体" w:hAnsi="黑体" w:eastAsia="黑体" w:cs="黑体"/>
              <w:color w:val="auto"/>
              <w:sz w:val="32"/>
              <w:szCs w:val="32"/>
              <w:highlight w:val="none"/>
              <w:lang w:val="en-US" w:eastAsia="zh-CN"/>
            </w:rPr>
            <w:instrText xml:space="preserve"> HYPERLINK \l _Toc5357 </w:instrText>
          </w:r>
          <w:r>
            <w:rPr>
              <w:rFonts w:hint="eastAsia" w:ascii="黑体" w:hAnsi="黑体" w:eastAsia="黑体" w:cs="黑体"/>
              <w:color w:val="auto"/>
              <w:sz w:val="32"/>
              <w:szCs w:val="32"/>
              <w:highlight w:val="none"/>
              <w:lang w:val="en-US" w:eastAsia="zh-CN"/>
            </w:rPr>
            <w:fldChar w:fldCharType="separate"/>
          </w:r>
          <w:r>
            <w:rPr>
              <w:rFonts w:hint="eastAsia" w:ascii="黑体" w:hAnsi="黑体" w:eastAsia="黑体" w:cs="黑体"/>
              <w:color w:val="auto"/>
              <w:sz w:val="32"/>
              <w:szCs w:val="32"/>
              <w:highlight w:val="none"/>
              <w:lang w:val="en-US" w:eastAsia="zh-CN"/>
            </w:rPr>
            <w:t>第八章  加快农业农村现代化，扎实推进乡村全面振兴</w:t>
          </w:r>
          <w:r>
            <w:rPr>
              <w:rFonts w:hint="eastAsia" w:ascii="黑体" w:hAnsi="黑体" w:eastAsia="黑体" w:cs="黑体"/>
              <w:color w:val="auto"/>
              <w:sz w:val="32"/>
              <w:szCs w:val="32"/>
              <w:highlight w:val="none"/>
              <w:lang w:val="en-US" w:eastAsia="zh-CN"/>
            </w:rPr>
            <w:tab/>
          </w:r>
          <w:r>
            <w:rPr>
              <w:rFonts w:hint="eastAsia" w:ascii="黑体" w:hAnsi="黑体" w:eastAsia="黑体" w:cs="黑体"/>
              <w:color w:val="auto"/>
              <w:sz w:val="32"/>
              <w:szCs w:val="32"/>
              <w:highlight w:val="none"/>
              <w:lang w:val="en-US" w:eastAsia="zh-CN"/>
            </w:rPr>
            <w:fldChar w:fldCharType="begin"/>
          </w:r>
          <w:r>
            <w:rPr>
              <w:rFonts w:hint="eastAsia" w:ascii="黑体" w:hAnsi="黑体" w:eastAsia="黑体" w:cs="黑体"/>
              <w:color w:val="auto"/>
              <w:sz w:val="32"/>
              <w:szCs w:val="32"/>
              <w:highlight w:val="none"/>
              <w:lang w:val="en-US" w:eastAsia="zh-CN"/>
            </w:rPr>
            <w:instrText xml:space="preserve"> PAGEREF _Toc5357 \h </w:instrText>
          </w:r>
          <w:r>
            <w:rPr>
              <w:rFonts w:hint="eastAsia" w:ascii="黑体" w:hAnsi="黑体" w:eastAsia="黑体" w:cs="黑体"/>
              <w:color w:val="auto"/>
              <w:sz w:val="32"/>
              <w:szCs w:val="32"/>
              <w:highlight w:val="none"/>
              <w:lang w:val="en-US" w:eastAsia="zh-CN"/>
            </w:rPr>
            <w:fldChar w:fldCharType="separate"/>
          </w:r>
          <w:r>
            <w:rPr>
              <w:rFonts w:hint="eastAsia" w:ascii="黑体" w:hAnsi="黑体" w:eastAsia="黑体" w:cs="黑体"/>
              <w:color w:val="auto"/>
              <w:sz w:val="32"/>
              <w:szCs w:val="32"/>
              <w:highlight w:val="none"/>
              <w:lang w:val="en-US" w:eastAsia="zh-CN"/>
            </w:rPr>
            <w:t>74</w:t>
          </w:r>
          <w:r>
            <w:rPr>
              <w:rFonts w:hint="eastAsia" w:ascii="黑体" w:hAnsi="黑体" w:eastAsia="黑体" w:cs="黑体"/>
              <w:color w:val="auto"/>
              <w:sz w:val="32"/>
              <w:szCs w:val="32"/>
              <w:highlight w:val="none"/>
              <w:lang w:val="en-US" w:eastAsia="zh-CN"/>
            </w:rPr>
            <w:fldChar w:fldCharType="end"/>
          </w:r>
          <w:r>
            <w:rPr>
              <w:rFonts w:hint="eastAsia" w:ascii="黑体" w:hAnsi="黑体" w:eastAsia="黑体" w:cs="黑体"/>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_Toc30673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0"/>
              <w:sz w:val="32"/>
              <w:szCs w:val="32"/>
              <w:highlight w:val="none"/>
              <w:lang w:val="en-US" w:eastAsia="zh-CN" w:bidi="ar"/>
            </w:rPr>
            <w:t>第一节  提升农业综合生产能力和质量效益</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_Toc30673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74</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_Toc4810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0"/>
              <w:sz w:val="32"/>
              <w:szCs w:val="32"/>
              <w:highlight w:val="none"/>
              <w:lang w:val="en-US" w:eastAsia="zh-CN" w:bidi="ar"/>
            </w:rPr>
            <w:t>第二节  推进宜居宜业和美乡村建设</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_Toc4810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78</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_Toc25886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0"/>
              <w:sz w:val="32"/>
              <w:szCs w:val="32"/>
              <w:highlight w:val="none"/>
              <w:lang w:val="en-US" w:eastAsia="zh-CN" w:bidi="ar"/>
            </w:rPr>
            <w:t>第三节  促进城乡融合一体发展</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_Toc25886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80</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fldChar w:fldCharType="begin"/>
          </w:r>
          <w:r>
            <w:rPr>
              <w:rFonts w:hint="eastAsia" w:ascii="黑体" w:hAnsi="黑体" w:eastAsia="黑体" w:cs="黑体"/>
              <w:color w:val="auto"/>
              <w:sz w:val="32"/>
              <w:szCs w:val="32"/>
              <w:highlight w:val="none"/>
              <w:lang w:val="en-US" w:eastAsia="zh-CN"/>
            </w:rPr>
            <w:instrText xml:space="preserve"> HYPERLINK \l _Toc31192 </w:instrText>
          </w:r>
          <w:r>
            <w:rPr>
              <w:rFonts w:hint="eastAsia" w:ascii="黑体" w:hAnsi="黑体" w:eastAsia="黑体" w:cs="黑体"/>
              <w:color w:val="auto"/>
              <w:sz w:val="32"/>
              <w:szCs w:val="32"/>
              <w:highlight w:val="none"/>
              <w:lang w:val="en-US" w:eastAsia="zh-CN"/>
            </w:rPr>
            <w:fldChar w:fldCharType="separate"/>
          </w:r>
          <w:r>
            <w:rPr>
              <w:rFonts w:hint="eastAsia" w:ascii="黑体" w:hAnsi="黑体" w:eastAsia="黑体" w:cs="黑体"/>
              <w:color w:val="auto"/>
              <w:sz w:val="32"/>
              <w:szCs w:val="32"/>
              <w:highlight w:val="none"/>
              <w:lang w:val="en-US" w:eastAsia="zh-CN"/>
            </w:rPr>
            <w:t>第九章  全面推进绿色低碳转型，精心打造生态美丽城市</w:t>
          </w:r>
          <w:r>
            <w:rPr>
              <w:rFonts w:hint="eastAsia" w:ascii="黑体" w:hAnsi="黑体" w:eastAsia="黑体" w:cs="黑体"/>
              <w:color w:val="auto"/>
              <w:sz w:val="32"/>
              <w:szCs w:val="32"/>
              <w:highlight w:val="none"/>
              <w:lang w:val="en-US" w:eastAsia="zh-CN"/>
            </w:rPr>
            <w:tab/>
          </w:r>
          <w:r>
            <w:rPr>
              <w:rFonts w:hint="eastAsia" w:ascii="黑体" w:hAnsi="黑体" w:eastAsia="黑体" w:cs="黑体"/>
              <w:color w:val="auto"/>
              <w:sz w:val="32"/>
              <w:szCs w:val="32"/>
              <w:highlight w:val="none"/>
              <w:lang w:val="en-US" w:eastAsia="zh-CN"/>
            </w:rPr>
            <w:fldChar w:fldCharType="begin"/>
          </w:r>
          <w:r>
            <w:rPr>
              <w:rFonts w:hint="eastAsia" w:ascii="黑体" w:hAnsi="黑体" w:eastAsia="黑体" w:cs="黑体"/>
              <w:color w:val="auto"/>
              <w:sz w:val="32"/>
              <w:szCs w:val="32"/>
              <w:highlight w:val="none"/>
              <w:lang w:val="en-US" w:eastAsia="zh-CN"/>
            </w:rPr>
            <w:instrText xml:space="preserve"> PAGEREF _Toc31192 \h </w:instrText>
          </w:r>
          <w:r>
            <w:rPr>
              <w:rFonts w:hint="eastAsia" w:ascii="黑体" w:hAnsi="黑体" w:eastAsia="黑体" w:cs="黑体"/>
              <w:color w:val="auto"/>
              <w:sz w:val="32"/>
              <w:szCs w:val="32"/>
              <w:highlight w:val="none"/>
              <w:lang w:val="en-US" w:eastAsia="zh-CN"/>
            </w:rPr>
            <w:fldChar w:fldCharType="separate"/>
          </w:r>
          <w:r>
            <w:rPr>
              <w:rFonts w:hint="eastAsia" w:ascii="黑体" w:hAnsi="黑体" w:eastAsia="黑体" w:cs="黑体"/>
              <w:color w:val="auto"/>
              <w:sz w:val="32"/>
              <w:szCs w:val="32"/>
              <w:highlight w:val="none"/>
              <w:lang w:val="en-US" w:eastAsia="zh-CN"/>
            </w:rPr>
            <w:t>82</w:t>
          </w:r>
          <w:r>
            <w:rPr>
              <w:rFonts w:hint="eastAsia" w:ascii="黑体" w:hAnsi="黑体" w:eastAsia="黑体" w:cs="黑体"/>
              <w:color w:val="auto"/>
              <w:sz w:val="32"/>
              <w:szCs w:val="32"/>
              <w:highlight w:val="none"/>
              <w:lang w:val="en-US" w:eastAsia="zh-CN"/>
            </w:rPr>
            <w:fldChar w:fldCharType="end"/>
          </w:r>
          <w:r>
            <w:rPr>
              <w:rFonts w:hint="eastAsia" w:ascii="黑体" w:hAnsi="黑体" w:eastAsia="黑体" w:cs="黑体"/>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_Toc30780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44"/>
              <w:sz w:val="32"/>
              <w:szCs w:val="32"/>
              <w:highlight w:val="none"/>
              <w:lang w:val="en-US" w:eastAsia="zh-CN" w:bidi="ar"/>
            </w:rPr>
            <w:t>第一节  积极稳妥推进和实现碳达峰</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_Toc30780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82</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_Toc26695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44"/>
              <w:sz w:val="32"/>
              <w:szCs w:val="32"/>
              <w:highlight w:val="none"/>
              <w:lang w:val="en-US" w:eastAsia="zh-CN" w:bidi="ar"/>
            </w:rPr>
            <w:t>第二节  持续深入推进污染防治攻坚</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_Toc26695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84</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_Toc13236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44"/>
              <w:sz w:val="32"/>
              <w:szCs w:val="32"/>
              <w:highlight w:val="none"/>
              <w:lang w:val="en-US" w:eastAsia="zh-CN" w:bidi="ar"/>
            </w:rPr>
            <w:t>第三节  加强生态系统保护修复</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_Toc13236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85</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fldChar w:fldCharType="begin"/>
          </w:r>
          <w:r>
            <w:rPr>
              <w:rFonts w:hint="eastAsia" w:ascii="黑体" w:hAnsi="黑体" w:eastAsia="黑体" w:cs="黑体"/>
              <w:color w:val="auto"/>
              <w:sz w:val="32"/>
              <w:szCs w:val="32"/>
              <w:highlight w:val="none"/>
              <w:lang w:val="en-US" w:eastAsia="zh-CN"/>
            </w:rPr>
            <w:instrText xml:space="preserve"> HYPERLINK \l _Toc10031 </w:instrText>
          </w:r>
          <w:r>
            <w:rPr>
              <w:rFonts w:hint="eastAsia" w:ascii="黑体" w:hAnsi="黑体" w:eastAsia="黑体" w:cs="黑体"/>
              <w:color w:val="auto"/>
              <w:sz w:val="32"/>
              <w:szCs w:val="32"/>
              <w:highlight w:val="none"/>
              <w:lang w:val="en-US" w:eastAsia="zh-CN"/>
            </w:rPr>
            <w:fldChar w:fldCharType="separate"/>
          </w:r>
          <w:r>
            <w:rPr>
              <w:rFonts w:hint="eastAsia" w:ascii="黑体" w:hAnsi="黑体" w:eastAsia="黑体" w:cs="黑体"/>
              <w:color w:val="auto"/>
              <w:sz w:val="32"/>
              <w:szCs w:val="32"/>
              <w:highlight w:val="none"/>
              <w:lang w:val="en-US" w:eastAsia="zh-CN"/>
            </w:rPr>
            <w:t>第十章  擦亮特色文化品牌，提升城市文化影响力</w:t>
          </w:r>
          <w:r>
            <w:rPr>
              <w:rFonts w:hint="eastAsia" w:ascii="黑体" w:hAnsi="黑体" w:eastAsia="黑体" w:cs="黑体"/>
              <w:color w:val="auto"/>
              <w:sz w:val="32"/>
              <w:szCs w:val="32"/>
              <w:highlight w:val="none"/>
              <w:lang w:val="en-US" w:eastAsia="zh-CN"/>
            </w:rPr>
            <w:tab/>
          </w:r>
          <w:r>
            <w:rPr>
              <w:rFonts w:hint="eastAsia" w:ascii="黑体" w:hAnsi="黑体" w:eastAsia="黑体" w:cs="黑体"/>
              <w:color w:val="auto"/>
              <w:sz w:val="32"/>
              <w:szCs w:val="32"/>
              <w:highlight w:val="none"/>
              <w:lang w:val="en-US" w:eastAsia="zh-CN"/>
            </w:rPr>
            <w:fldChar w:fldCharType="begin"/>
          </w:r>
          <w:r>
            <w:rPr>
              <w:rFonts w:hint="eastAsia" w:ascii="黑体" w:hAnsi="黑体" w:eastAsia="黑体" w:cs="黑体"/>
              <w:color w:val="auto"/>
              <w:sz w:val="32"/>
              <w:szCs w:val="32"/>
              <w:highlight w:val="none"/>
              <w:lang w:val="en-US" w:eastAsia="zh-CN"/>
            </w:rPr>
            <w:instrText xml:space="preserve"> PAGEREF _Toc10031 \h </w:instrText>
          </w:r>
          <w:r>
            <w:rPr>
              <w:rFonts w:hint="eastAsia" w:ascii="黑体" w:hAnsi="黑体" w:eastAsia="黑体" w:cs="黑体"/>
              <w:color w:val="auto"/>
              <w:sz w:val="32"/>
              <w:szCs w:val="32"/>
              <w:highlight w:val="none"/>
              <w:lang w:val="en-US" w:eastAsia="zh-CN"/>
            </w:rPr>
            <w:fldChar w:fldCharType="separate"/>
          </w:r>
          <w:r>
            <w:rPr>
              <w:rFonts w:hint="eastAsia" w:ascii="黑体" w:hAnsi="黑体" w:eastAsia="黑体" w:cs="黑体"/>
              <w:color w:val="auto"/>
              <w:sz w:val="32"/>
              <w:szCs w:val="32"/>
              <w:highlight w:val="none"/>
              <w:lang w:val="en-US" w:eastAsia="zh-CN"/>
            </w:rPr>
            <w:t>88</w:t>
          </w:r>
          <w:r>
            <w:rPr>
              <w:rFonts w:hint="eastAsia" w:ascii="黑体" w:hAnsi="黑体" w:eastAsia="黑体" w:cs="黑体"/>
              <w:color w:val="auto"/>
              <w:sz w:val="32"/>
              <w:szCs w:val="32"/>
              <w:highlight w:val="none"/>
              <w:lang w:val="en-US" w:eastAsia="zh-CN"/>
            </w:rPr>
            <w:fldChar w:fldCharType="end"/>
          </w:r>
          <w:r>
            <w:rPr>
              <w:rFonts w:hint="eastAsia" w:ascii="黑体" w:hAnsi="黑体" w:eastAsia="黑体" w:cs="黑体"/>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_Toc4647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44"/>
              <w:sz w:val="32"/>
              <w:szCs w:val="32"/>
              <w:highlight w:val="none"/>
              <w:lang w:val="en-US" w:eastAsia="zh-CN" w:bidi="ar"/>
            </w:rPr>
            <w:t>第一节  弘扬和践行社会主义核心价值观</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_Toc4647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88</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_Toc27889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44"/>
              <w:sz w:val="32"/>
              <w:szCs w:val="32"/>
              <w:highlight w:val="none"/>
              <w:lang w:val="en-US" w:eastAsia="zh-CN" w:bidi="ar"/>
            </w:rPr>
            <w:t>第二节  大力发展文化事业</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_Toc27889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90</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_Toc1455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44"/>
              <w:sz w:val="32"/>
              <w:szCs w:val="32"/>
              <w:highlight w:val="none"/>
              <w:lang w:val="en-US" w:eastAsia="zh-CN" w:bidi="ar"/>
            </w:rPr>
            <w:t>第三节  培育壮大文化产业</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_Toc1455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92</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fldChar w:fldCharType="begin"/>
          </w:r>
          <w:r>
            <w:rPr>
              <w:rFonts w:hint="eastAsia" w:ascii="黑体" w:hAnsi="黑体" w:eastAsia="黑体" w:cs="黑体"/>
              <w:color w:val="auto"/>
              <w:sz w:val="32"/>
              <w:szCs w:val="32"/>
              <w:highlight w:val="none"/>
              <w:lang w:val="en-US" w:eastAsia="zh-CN"/>
            </w:rPr>
            <w:instrText xml:space="preserve"> HYPERLINK \l _Toc2961 </w:instrText>
          </w:r>
          <w:r>
            <w:rPr>
              <w:rFonts w:hint="eastAsia" w:ascii="黑体" w:hAnsi="黑体" w:eastAsia="黑体" w:cs="黑体"/>
              <w:color w:val="auto"/>
              <w:sz w:val="32"/>
              <w:szCs w:val="32"/>
              <w:highlight w:val="none"/>
              <w:lang w:val="en-US" w:eastAsia="zh-CN"/>
            </w:rPr>
            <w:fldChar w:fldCharType="separate"/>
          </w:r>
          <w:r>
            <w:rPr>
              <w:rFonts w:hint="eastAsia" w:ascii="黑体" w:hAnsi="黑体" w:eastAsia="黑体" w:cs="黑体"/>
              <w:color w:val="auto"/>
              <w:sz w:val="32"/>
              <w:szCs w:val="32"/>
              <w:highlight w:val="none"/>
              <w:lang w:val="en-US" w:eastAsia="zh-CN"/>
            </w:rPr>
            <w:t>第十一章  持续增进民生福祉，织密兜牢幸福安居保障网</w:t>
          </w:r>
          <w:r>
            <w:rPr>
              <w:rFonts w:hint="eastAsia" w:ascii="黑体" w:hAnsi="黑体" w:eastAsia="黑体" w:cs="黑体"/>
              <w:color w:val="auto"/>
              <w:sz w:val="32"/>
              <w:szCs w:val="32"/>
              <w:highlight w:val="none"/>
              <w:lang w:val="en-US" w:eastAsia="zh-CN"/>
            </w:rPr>
            <w:tab/>
          </w:r>
          <w:r>
            <w:rPr>
              <w:rFonts w:hint="eastAsia" w:ascii="黑体" w:hAnsi="黑体" w:eastAsia="黑体" w:cs="黑体"/>
              <w:color w:val="auto"/>
              <w:sz w:val="32"/>
              <w:szCs w:val="32"/>
              <w:highlight w:val="none"/>
              <w:lang w:val="en-US" w:eastAsia="zh-CN"/>
            </w:rPr>
            <w:fldChar w:fldCharType="begin"/>
          </w:r>
          <w:r>
            <w:rPr>
              <w:rFonts w:hint="eastAsia" w:ascii="黑体" w:hAnsi="黑体" w:eastAsia="黑体" w:cs="黑体"/>
              <w:color w:val="auto"/>
              <w:sz w:val="32"/>
              <w:szCs w:val="32"/>
              <w:highlight w:val="none"/>
              <w:lang w:val="en-US" w:eastAsia="zh-CN"/>
            </w:rPr>
            <w:instrText xml:space="preserve"> PAGEREF _Toc2961 \h </w:instrText>
          </w:r>
          <w:r>
            <w:rPr>
              <w:rFonts w:hint="eastAsia" w:ascii="黑体" w:hAnsi="黑体" w:eastAsia="黑体" w:cs="黑体"/>
              <w:color w:val="auto"/>
              <w:sz w:val="32"/>
              <w:szCs w:val="32"/>
              <w:highlight w:val="none"/>
              <w:lang w:val="en-US" w:eastAsia="zh-CN"/>
            </w:rPr>
            <w:fldChar w:fldCharType="separate"/>
          </w:r>
          <w:r>
            <w:rPr>
              <w:rFonts w:hint="eastAsia" w:ascii="黑体" w:hAnsi="黑体" w:eastAsia="黑体" w:cs="黑体"/>
              <w:color w:val="auto"/>
              <w:sz w:val="32"/>
              <w:szCs w:val="32"/>
              <w:highlight w:val="none"/>
              <w:lang w:val="en-US" w:eastAsia="zh-CN"/>
            </w:rPr>
            <w:t>95</w:t>
          </w:r>
          <w:r>
            <w:rPr>
              <w:rFonts w:hint="eastAsia" w:ascii="黑体" w:hAnsi="黑体" w:eastAsia="黑体" w:cs="黑体"/>
              <w:color w:val="auto"/>
              <w:sz w:val="32"/>
              <w:szCs w:val="32"/>
              <w:highlight w:val="none"/>
              <w:lang w:val="en-US" w:eastAsia="zh-CN"/>
            </w:rPr>
            <w:fldChar w:fldCharType="end"/>
          </w:r>
          <w:r>
            <w:rPr>
              <w:rFonts w:hint="eastAsia" w:ascii="黑体" w:hAnsi="黑体" w:eastAsia="黑体" w:cs="黑体"/>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_Toc26442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44"/>
              <w:sz w:val="32"/>
              <w:szCs w:val="32"/>
              <w:highlight w:val="none"/>
              <w:lang w:val="en-US" w:eastAsia="zh-CN" w:bidi="ar"/>
            </w:rPr>
            <w:t>第一节  扎实推进稳就业促增收</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_Toc26442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95</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_Toc13048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44"/>
              <w:sz w:val="32"/>
              <w:szCs w:val="32"/>
              <w:highlight w:val="none"/>
              <w:lang w:val="en-US" w:eastAsia="zh-CN" w:bidi="ar"/>
            </w:rPr>
            <w:t>第二节  推动教育优质均衡发展</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_Toc13048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97</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_Toc32402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44"/>
              <w:sz w:val="32"/>
              <w:szCs w:val="32"/>
              <w:highlight w:val="none"/>
              <w:lang w:val="en-US" w:eastAsia="zh-CN" w:bidi="ar"/>
            </w:rPr>
            <w:t>第三节  全面提升全民健康水平</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_Toc32402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99</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_Toc28229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44"/>
              <w:sz w:val="32"/>
              <w:szCs w:val="32"/>
              <w:highlight w:val="none"/>
              <w:lang w:val="en-US" w:eastAsia="zh-CN" w:bidi="ar"/>
            </w:rPr>
            <w:t>第四节  持续提升社会保障水平</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_Toc28229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101</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_Toc19543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44"/>
              <w:sz w:val="32"/>
              <w:szCs w:val="32"/>
              <w:highlight w:val="none"/>
              <w:lang w:val="en-US" w:eastAsia="zh-CN" w:bidi="ar"/>
            </w:rPr>
            <w:t>第五节  促进人口高质量发展</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_Toc19543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104</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fldChar w:fldCharType="begin"/>
          </w:r>
          <w:r>
            <w:rPr>
              <w:rFonts w:hint="eastAsia" w:ascii="黑体" w:hAnsi="黑体" w:eastAsia="黑体" w:cs="黑体"/>
              <w:color w:val="auto"/>
              <w:sz w:val="32"/>
              <w:szCs w:val="32"/>
              <w:highlight w:val="none"/>
              <w:lang w:val="en-US" w:eastAsia="zh-CN"/>
            </w:rPr>
            <w:instrText xml:space="preserve"> HYPERLINK \l _Toc31888 </w:instrText>
          </w:r>
          <w:r>
            <w:rPr>
              <w:rFonts w:hint="eastAsia" w:ascii="黑体" w:hAnsi="黑体" w:eastAsia="黑体" w:cs="黑体"/>
              <w:color w:val="auto"/>
              <w:sz w:val="32"/>
              <w:szCs w:val="32"/>
              <w:highlight w:val="none"/>
              <w:lang w:val="en-US" w:eastAsia="zh-CN"/>
            </w:rPr>
            <w:fldChar w:fldCharType="separate"/>
          </w:r>
          <w:r>
            <w:rPr>
              <w:rFonts w:hint="eastAsia" w:ascii="黑体" w:hAnsi="黑体" w:eastAsia="黑体" w:cs="黑体"/>
              <w:color w:val="auto"/>
              <w:sz w:val="32"/>
              <w:szCs w:val="32"/>
              <w:highlight w:val="none"/>
              <w:lang w:val="en-US" w:eastAsia="zh-CN"/>
            </w:rPr>
            <w:t>第十二章  坚定贯彻总体国家安全观，以社会治理现代化建设更高水平平安章丘</w:t>
          </w:r>
          <w:r>
            <w:rPr>
              <w:rFonts w:hint="eastAsia" w:ascii="黑体" w:hAnsi="黑体" w:eastAsia="黑体" w:cs="黑体"/>
              <w:color w:val="auto"/>
              <w:sz w:val="32"/>
              <w:szCs w:val="32"/>
              <w:highlight w:val="none"/>
              <w:lang w:val="en-US" w:eastAsia="zh-CN"/>
            </w:rPr>
            <w:tab/>
          </w:r>
          <w:r>
            <w:rPr>
              <w:rFonts w:hint="eastAsia" w:ascii="黑体" w:hAnsi="黑体" w:eastAsia="黑体" w:cs="黑体"/>
              <w:color w:val="auto"/>
              <w:sz w:val="32"/>
              <w:szCs w:val="32"/>
              <w:highlight w:val="none"/>
              <w:lang w:val="en-US" w:eastAsia="zh-CN"/>
            </w:rPr>
            <w:fldChar w:fldCharType="begin"/>
          </w:r>
          <w:r>
            <w:rPr>
              <w:rFonts w:hint="eastAsia" w:ascii="黑体" w:hAnsi="黑体" w:eastAsia="黑体" w:cs="黑体"/>
              <w:color w:val="auto"/>
              <w:sz w:val="32"/>
              <w:szCs w:val="32"/>
              <w:highlight w:val="none"/>
              <w:lang w:val="en-US" w:eastAsia="zh-CN"/>
            </w:rPr>
            <w:instrText xml:space="preserve"> PAGEREF _Toc31888 \h </w:instrText>
          </w:r>
          <w:r>
            <w:rPr>
              <w:rFonts w:hint="eastAsia" w:ascii="黑体" w:hAnsi="黑体" w:eastAsia="黑体" w:cs="黑体"/>
              <w:color w:val="auto"/>
              <w:sz w:val="32"/>
              <w:szCs w:val="32"/>
              <w:highlight w:val="none"/>
              <w:lang w:val="en-US" w:eastAsia="zh-CN"/>
            </w:rPr>
            <w:fldChar w:fldCharType="separate"/>
          </w:r>
          <w:r>
            <w:rPr>
              <w:rFonts w:hint="eastAsia" w:ascii="黑体" w:hAnsi="黑体" w:eastAsia="黑体" w:cs="黑体"/>
              <w:color w:val="auto"/>
              <w:sz w:val="32"/>
              <w:szCs w:val="32"/>
              <w:highlight w:val="none"/>
              <w:lang w:val="en-US" w:eastAsia="zh-CN"/>
            </w:rPr>
            <w:t>107</w:t>
          </w:r>
          <w:r>
            <w:rPr>
              <w:rFonts w:hint="eastAsia" w:ascii="黑体" w:hAnsi="黑体" w:eastAsia="黑体" w:cs="黑体"/>
              <w:color w:val="auto"/>
              <w:sz w:val="32"/>
              <w:szCs w:val="32"/>
              <w:highlight w:val="none"/>
              <w:lang w:val="en-US" w:eastAsia="zh-CN"/>
            </w:rPr>
            <w:fldChar w:fldCharType="end"/>
          </w:r>
          <w:r>
            <w:rPr>
              <w:rFonts w:hint="eastAsia" w:ascii="黑体" w:hAnsi="黑体" w:eastAsia="黑体" w:cs="黑体"/>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_Toc22222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44"/>
              <w:sz w:val="32"/>
              <w:szCs w:val="32"/>
              <w:highlight w:val="none"/>
              <w:lang w:val="en-US" w:eastAsia="zh-CN" w:bidi="ar"/>
            </w:rPr>
            <w:t>第一节  全面提升基层治理能力</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_Toc22222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107</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_Toc26822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44"/>
              <w:sz w:val="32"/>
              <w:szCs w:val="32"/>
              <w:highlight w:val="none"/>
              <w:lang w:val="en-US" w:eastAsia="zh-CN" w:bidi="ar"/>
            </w:rPr>
            <w:t>第二节  提升城市安全运行水平</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_Toc26822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109</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_Toc27764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kern w:val="44"/>
              <w:sz w:val="32"/>
              <w:szCs w:val="32"/>
              <w:highlight w:val="none"/>
              <w:lang w:val="en-US" w:eastAsia="zh-CN" w:bidi="ar"/>
            </w:rPr>
            <w:t>第三节  深入推进全面依法治区</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_Toc27764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111</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highlight w:val="none"/>
            </w:rPr>
          </w:pPr>
          <w:r>
            <w:rPr>
              <w:rFonts w:hint="eastAsia" w:ascii="黑体" w:hAnsi="黑体" w:eastAsia="黑体" w:cs="黑体"/>
              <w:color w:val="auto"/>
              <w:sz w:val="32"/>
              <w:szCs w:val="32"/>
              <w:highlight w:val="none"/>
              <w:lang w:val="en-US" w:eastAsia="zh-CN"/>
            </w:rPr>
            <w:fldChar w:fldCharType="begin"/>
          </w:r>
          <w:r>
            <w:rPr>
              <w:rFonts w:hint="eastAsia" w:ascii="黑体" w:hAnsi="黑体" w:eastAsia="黑体" w:cs="黑体"/>
              <w:sz w:val="32"/>
              <w:szCs w:val="32"/>
              <w:highlight w:val="none"/>
              <w:lang w:val="en-US" w:eastAsia="zh-CN"/>
            </w:rPr>
            <w:instrText xml:space="preserve"> HYPERLINK \l _Toc8598 </w:instrText>
          </w:r>
          <w:r>
            <w:rPr>
              <w:rFonts w:hint="eastAsia" w:ascii="黑体" w:hAnsi="黑体" w:eastAsia="黑体" w:cs="黑体"/>
              <w:sz w:val="32"/>
              <w:szCs w:val="32"/>
              <w:highlight w:val="none"/>
              <w:lang w:val="en-US" w:eastAsia="zh-CN"/>
            </w:rPr>
            <w:fldChar w:fldCharType="separate"/>
          </w:r>
          <w:r>
            <w:rPr>
              <w:rFonts w:hint="eastAsia" w:ascii="黑体" w:hAnsi="黑体" w:eastAsia="黑体" w:cs="黑体"/>
              <w:bCs w:val="0"/>
              <w:kern w:val="2"/>
              <w:sz w:val="32"/>
              <w:szCs w:val="32"/>
              <w:highlight w:val="none"/>
              <w:lang w:val="en-US" w:eastAsia="zh-CN" w:bidi="ar-SA"/>
            </w:rPr>
            <w:t xml:space="preserve">第十三章  </w:t>
          </w:r>
          <w:r>
            <w:rPr>
              <w:rFonts w:hint="eastAsia" w:ascii="黑体" w:hAnsi="黑体" w:eastAsia="黑体" w:cs="黑体"/>
              <w:bCs w:val="0"/>
              <w:spacing w:val="-6"/>
              <w:kern w:val="2"/>
              <w:sz w:val="32"/>
              <w:szCs w:val="32"/>
              <w:highlight w:val="none"/>
              <w:lang w:val="en-US" w:eastAsia="zh-CN" w:bidi="ar-SA"/>
            </w:rPr>
            <w:t>强化规划实施保障，确保各项目标任务落地见效</w:t>
          </w:r>
          <w:r>
            <w:rPr>
              <w:rFonts w:hint="eastAsia" w:ascii="黑体" w:hAnsi="黑体" w:eastAsia="黑体" w:cs="黑体"/>
              <w:sz w:val="32"/>
              <w:szCs w:val="32"/>
              <w:highlight w:val="none"/>
            </w:rPr>
            <w:tab/>
          </w:r>
          <w:r>
            <w:rPr>
              <w:rFonts w:hint="eastAsia" w:ascii="黑体" w:hAnsi="黑体" w:eastAsia="黑体" w:cs="黑体"/>
              <w:sz w:val="32"/>
              <w:szCs w:val="32"/>
              <w:highlight w:val="none"/>
            </w:rPr>
            <w:fldChar w:fldCharType="begin"/>
          </w:r>
          <w:r>
            <w:rPr>
              <w:rFonts w:hint="eastAsia" w:ascii="黑体" w:hAnsi="黑体" w:eastAsia="黑体" w:cs="黑体"/>
              <w:sz w:val="32"/>
              <w:szCs w:val="32"/>
              <w:highlight w:val="none"/>
            </w:rPr>
            <w:instrText xml:space="preserve"> PAGEREF _Toc8598 \h </w:instrText>
          </w:r>
          <w:r>
            <w:rPr>
              <w:rFonts w:hint="eastAsia" w:ascii="黑体" w:hAnsi="黑体" w:eastAsia="黑体" w:cs="黑体"/>
              <w:sz w:val="32"/>
              <w:szCs w:val="32"/>
              <w:highlight w:val="none"/>
            </w:rPr>
            <w:fldChar w:fldCharType="separate"/>
          </w:r>
          <w:r>
            <w:rPr>
              <w:rFonts w:hint="eastAsia" w:ascii="黑体" w:hAnsi="黑体" w:eastAsia="黑体" w:cs="黑体"/>
              <w:sz w:val="32"/>
              <w:szCs w:val="32"/>
              <w:highlight w:val="none"/>
            </w:rPr>
            <w:t>114</w:t>
          </w:r>
          <w:r>
            <w:rPr>
              <w:rFonts w:hint="eastAsia" w:ascii="黑体" w:hAnsi="黑体" w:eastAsia="黑体" w:cs="黑体"/>
              <w:sz w:val="32"/>
              <w:szCs w:val="32"/>
              <w:highlight w:val="none"/>
            </w:rPr>
            <w:fldChar w:fldCharType="end"/>
          </w:r>
          <w:r>
            <w:rPr>
              <w:rFonts w:hint="eastAsia" w:ascii="黑体" w:hAnsi="黑体" w:eastAsia="黑体" w:cs="黑体"/>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_Toc15067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val="0"/>
              <w:sz w:val="32"/>
              <w:szCs w:val="32"/>
              <w:highlight w:val="none"/>
              <w:lang w:val="en-US" w:eastAsia="zh-CN"/>
            </w:rPr>
            <w:t xml:space="preserve">第一节  </w:t>
          </w:r>
          <w:r>
            <w:rPr>
              <w:rFonts w:hint="eastAsia" w:ascii="楷体_GB2312" w:hAnsi="楷体_GB2312" w:eastAsia="楷体_GB2312" w:cs="楷体_GB2312"/>
              <w:bCs w:val="0"/>
              <w:sz w:val="32"/>
              <w:szCs w:val="32"/>
              <w:highlight w:val="none"/>
            </w:rPr>
            <w:t>加强党的全面领导</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_Toc15067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114</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_Toc6527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val="0"/>
              <w:sz w:val="32"/>
              <w:szCs w:val="32"/>
              <w:highlight w:val="none"/>
              <w:lang w:val="en-US" w:eastAsia="zh-CN"/>
            </w:rPr>
            <w:t xml:space="preserve">第二节  </w:t>
          </w:r>
          <w:r>
            <w:rPr>
              <w:rFonts w:hint="eastAsia" w:ascii="楷体_GB2312" w:hAnsi="楷体_GB2312" w:eastAsia="楷体_GB2312" w:cs="楷体_GB2312"/>
              <w:bCs w:val="0"/>
              <w:sz w:val="32"/>
              <w:szCs w:val="32"/>
              <w:highlight w:val="none"/>
            </w:rPr>
            <w:t>健全规划</w:t>
          </w:r>
          <w:r>
            <w:rPr>
              <w:rFonts w:hint="eastAsia" w:ascii="楷体_GB2312" w:hAnsi="楷体_GB2312" w:eastAsia="楷体_GB2312" w:cs="楷体_GB2312"/>
              <w:bCs w:val="0"/>
              <w:sz w:val="32"/>
              <w:szCs w:val="32"/>
              <w:highlight w:val="none"/>
              <w:lang w:val="en-US" w:eastAsia="zh-CN"/>
            </w:rPr>
            <w:t>实施机制</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_Toc6527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114</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_Toc16623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val="0"/>
              <w:sz w:val="32"/>
              <w:szCs w:val="32"/>
              <w:highlight w:val="none"/>
              <w:lang w:val="en-US" w:eastAsia="zh-CN"/>
            </w:rPr>
            <w:t>第三节  强化政策支撑保障</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_Toc16623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115</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highlight w:val="none"/>
            </w:rPr>
          </w:pPr>
          <w:r>
            <w:rPr>
              <w:rFonts w:hint="eastAsia" w:ascii="楷体_GB2312" w:hAnsi="楷体_GB2312" w:eastAsia="楷体_GB2312" w:cs="楷体_GB2312"/>
              <w:color w:val="auto"/>
              <w:sz w:val="32"/>
              <w:szCs w:val="32"/>
              <w:highlight w:val="none"/>
              <w:lang w:val="en-US" w:eastAsia="zh-CN"/>
            </w:rPr>
            <w:fldChar w:fldCharType="begin"/>
          </w:r>
          <w:r>
            <w:rPr>
              <w:rFonts w:hint="eastAsia" w:ascii="楷体_GB2312" w:hAnsi="楷体_GB2312" w:eastAsia="楷体_GB2312" w:cs="楷体_GB2312"/>
              <w:sz w:val="32"/>
              <w:szCs w:val="32"/>
              <w:highlight w:val="none"/>
              <w:lang w:val="en-US" w:eastAsia="zh-CN"/>
            </w:rPr>
            <w:instrText xml:space="preserve"> HYPERLINK \l _Toc30839 </w:instrText>
          </w:r>
          <w:r>
            <w:rPr>
              <w:rFonts w:hint="eastAsia" w:ascii="楷体_GB2312" w:hAnsi="楷体_GB2312" w:eastAsia="楷体_GB2312" w:cs="楷体_GB2312"/>
              <w:sz w:val="32"/>
              <w:szCs w:val="32"/>
              <w:highlight w:val="none"/>
              <w:lang w:val="en-US" w:eastAsia="zh-CN"/>
            </w:rPr>
            <w:fldChar w:fldCharType="separate"/>
          </w:r>
          <w:r>
            <w:rPr>
              <w:rFonts w:hint="eastAsia" w:ascii="楷体_GB2312" w:hAnsi="楷体_GB2312" w:eastAsia="楷体_GB2312" w:cs="楷体_GB2312"/>
              <w:bCs w:val="0"/>
              <w:sz w:val="32"/>
              <w:szCs w:val="32"/>
              <w:highlight w:val="none"/>
              <w:lang w:val="en-US" w:eastAsia="zh-CN"/>
            </w:rPr>
            <w:t>第四节  动员人民广泛参与</w:t>
          </w:r>
          <w:r>
            <w:rPr>
              <w:rFonts w:hint="eastAsia" w:ascii="楷体_GB2312" w:hAnsi="楷体_GB2312" w:eastAsia="楷体_GB2312" w:cs="楷体_GB2312"/>
              <w:sz w:val="32"/>
              <w:szCs w:val="32"/>
              <w:highlight w:val="none"/>
            </w:rPr>
            <w:tab/>
          </w:r>
          <w:r>
            <w:rPr>
              <w:rFonts w:hint="eastAsia" w:ascii="楷体_GB2312" w:hAnsi="楷体_GB2312" w:eastAsia="楷体_GB2312" w:cs="楷体_GB2312"/>
              <w:sz w:val="32"/>
              <w:szCs w:val="32"/>
              <w:highlight w:val="none"/>
            </w:rPr>
            <w:fldChar w:fldCharType="begin"/>
          </w:r>
          <w:r>
            <w:rPr>
              <w:rFonts w:hint="eastAsia" w:ascii="楷体_GB2312" w:hAnsi="楷体_GB2312" w:eastAsia="楷体_GB2312" w:cs="楷体_GB2312"/>
              <w:sz w:val="32"/>
              <w:szCs w:val="32"/>
              <w:highlight w:val="none"/>
            </w:rPr>
            <w:instrText xml:space="preserve"> PAGEREF _Toc30839 \h </w:instrText>
          </w:r>
          <w:r>
            <w:rPr>
              <w:rFonts w:hint="eastAsia" w:ascii="楷体_GB2312" w:hAnsi="楷体_GB2312" w:eastAsia="楷体_GB2312" w:cs="楷体_GB2312"/>
              <w:sz w:val="32"/>
              <w:szCs w:val="32"/>
              <w:highlight w:val="none"/>
            </w:rPr>
            <w:fldChar w:fldCharType="separate"/>
          </w:r>
          <w:r>
            <w:rPr>
              <w:rFonts w:hint="eastAsia" w:ascii="楷体_GB2312" w:hAnsi="楷体_GB2312" w:eastAsia="楷体_GB2312" w:cs="楷体_GB2312"/>
              <w:sz w:val="32"/>
              <w:szCs w:val="32"/>
              <w:highlight w:val="none"/>
            </w:rPr>
            <w:t>115</w:t>
          </w:r>
          <w:r>
            <w:rPr>
              <w:rFonts w:hint="eastAsia" w:ascii="楷体_GB2312" w:hAnsi="楷体_GB2312" w:eastAsia="楷体_GB2312" w:cs="楷体_GB2312"/>
              <w:sz w:val="32"/>
              <w:szCs w:val="32"/>
              <w:highlight w:val="none"/>
            </w:rPr>
            <w:fldChar w:fldCharType="end"/>
          </w:r>
          <w:r>
            <w:rPr>
              <w:rFonts w:hint="eastAsia" w:ascii="楷体_GB2312" w:hAnsi="楷体_GB2312" w:eastAsia="楷体_GB2312" w:cs="楷体_GB2312"/>
              <w:color w:val="auto"/>
              <w:sz w:val="32"/>
              <w:szCs w:val="32"/>
              <w:highlight w:val="none"/>
              <w:lang w:val="en-US" w:eastAsia="zh-CN"/>
            </w:rPr>
            <w:fldChar w:fldCharType="end"/>
          </w:r>
        </w:p>
        <w:p>
          <w:pPr>
            <w:pStyle w:val="9"/>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heme="minorHAnsi" w:hAnsiTheme="minorHAnsi" w:eastAsiaTheme="minorEastAsia" w:cstheme="minorBidi"/>
              <w:color w:val="auto"/>
              <w:kern w:val="2"/>
              <w:sz w:val="21"/>
              <w:szCs w:val="24"/>
              <w:highlight w:val="none"/>
              <w:lang w:val="en-US" w:eastAsia="zh-CN" w:bidi="ar-SA"/>
            </w:rPr>
          </w:pPr>
          <w:r>
            <w:rPr>
              <w:rFonts w:hint="eastAsia" w:ascii="黑体" w:hAnsi="黑体" w:eastAsia="黑体" w:cs="黑体"/>
              <w:color w:val="auto"/>
              <w:szCs w:val="32"/>
              <w:highlight w:val="none"/>
              <w:lang w:val="en-US" w:eastAsia="zh-CN"/>
            </w:rPr>
            <w:fldChar w:fldCharType="end"/>
          </w:r>
        </w:p>
      </w:sdtContent>
    </w:sdt>
    <w:p>
      <w:pPr>
        <w:rPr>
          <w:rFonts w:hint="eastAsia"/>
          <w:color w:val="auto"/>
          <w:highlight w:val="none"/>
          <w:lang w:val="en-US" w:eastAsia="zh-CN"/>
        </w:rPr>
        <w:sectPr>
          <w:footerReference r:id="rId7" w:type="default"/>
          <w:pgSz w:w="11906" w:h="16838"/>
          <w:pgMar w:top="2041" w:right="1531" w:bottom="2041" w:left="1531" w:header="851" w:footer="1587" w:gutter="0"/>
          <w:pgBorders>
            <w:top w:val="none" w:sz="0" w:space="0"/>
            <w:left w:val="none" w:sz="0" w:space="0"/>
            <w:bottom w:val="none" w:sz="0" w:space="0"/>
            <w:right w:val="none" w:sz="0" w:space="0"/>
          </w:pgBorders>
          <w:pgNumType w:fmt="numberInDash"/>
          <w:cols w:space="0" w:num="1"/>
          <w:rtlGutter w:val="0"/>
          <w:docGrid w:type="lines" w:linePitch="312" w:charSpace="0"/>
        </w:sectPr>
      </w:pPr>
    </w:p>
    <w:p>
      <w:pPr>
        <w:pStyle w:val="13"/>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pacing w:val="0"/>
          <w:w w:val="100"/>
          <w:kern w:val="21"/>
          <w:sz w:val="32"/>
          <w:szCs w:val="32"/>
          <w:highlight w:val="none"/>
          <w:u w:val="none"/>
          <w:lang w:val="en-US" w:eastAsia="zh-CN"/>
        </w:rPr>
      </w:pPr>
      <w:r>
        <w:rPr>
          <w:rFonts w:hint="eastAsia" w:ascii="仿宋_GB2312" w:hAnsi="仿宋_GB2312" w:eastAsia="仿宋_GB2312" w:cs="仿宋_GB2312"/>
          <w:color w:val="auto"/>
          <w:spacing w:val="0"/>
          <w:w w:val="100"/>
          <w:kern w:val="21"/>
          <w:sz w:val="32"/>
          <w:szCs w:val="32"/>
          <w:highlight w:val="none"/>
          <w:u w:val="none"/>
          <w:lang w:val="en-US" w:eastAsia="zh-CN"/>
        </w:rPr>
        <w:t>济南市章丘区国民经济和社会发展第十五个五年（2026—2030年）规划纲要，以习近平新时代中国特色社会主义思想为指导，深入贯彻党的二十届四中全会精神，认真落实中共山东省委十二届十次全会、中共济南市委十二届九次全会部署，根据《中共济南市章丘区委关于制定章丘区国民经济和社会发展第十五个五年规划的建议》编制，主要阐明区委、区人民政府战略意图，明确人民政府工作重点，引导规范社会主体行为，是政府履行职责的重要依据，是全区人民的行动纲领，是全区其他各类规划的总遵循。</w:t>
      </w:r>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outlineLvl w:val="0"/>
        <w:rPr>
          <w:rFonts w:hint="eastAsia" w:ascii="方正小标宋简体" w:hAnsi="方正小标宋简体" w:eastAsia="方正小标宋简体" w:cs="方正小标宋简体"/>
          <w:b w:val="0"/>
          <w:bCs w:val="0"/>
          <w:color w:val="auto"/>
          <w:w w:val="97"/>
          <w:kern w:val="2"/>
          <w:sz w:val="44"/>
          <w:szCs w:val="44"/>
          <w:highlight w:val="none"/>
          <w:lang w:val="en-US" w:eastAsia="zh-CN" w:bidi="ar-SA"/>
        </w:rPr>
      </w:pPr>
      <w:bookmarkStart w:id="0" w:name="_Toc24449"/>
      <w:bookmarkStart w:id="1" w:name="_Toc31626"/>
      <w:r>
        <w:rPr>
          <w:rFonts w:hint="eastAsia" w:ascii="方正小标宋简体" w:hAnsi="方正小标宋简体" w:eastAsia="方正小标宋简体" w:cs="方正小标宋简体"/>
          <w:b w:val="0"/>
          <w:bCs w:val="0"/>
          <w:color w:val="auto"/>
          <w:w w:val="97"/>
          <w:kern w:val="2"/>
          <w:sz w:val="44"/>
          <w:szCs w:val="44"/>
          <w:highlight w:val="none"/>
          <w:lang w:val="en-US" w:eastAsia="zh-CN" w:bidi="ar-SA"/>
        </w:rPr>
        <w:t xml:space="preserve">第一章  </w:t>
      </w:r>
      <w:bookmarkStart w:id="2" w:name="_Toc6760"/>
      <w:r>
        <w:rPr>
          <w:rFonts w:hint="eastAsia" w:ascii="方正小标宋简体" w:hAnsi="方正小标宋简体" w:eastAsia="方正小标宋简体" w:cs="方正小标宋简体"/>
          <w:b w:val="0"/>
          <w:bCs w:val="0"/>
          <w:color w:val="auto"/>
          <w:w w:val="97"/>
          <w:kern w:val="2"/>
          <w:sz w:val="44"/>
          <w:szCs w:val="44"/>
          <w:highlight w:val="none"/>
          <w:lang w:val="en-US" w:eastAsia="zh-CN" w:bidi="ar-SA"/>
        </w:rPr>
        <w:t>立足新起点把握新形势，奋力开创</w:t>
      </w:r>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outlineLvl w:val="0"/>
        <w:rPr>
          <w:rFonts w:hint="eastAsia" w:ascii="方正小标宋简体" w:hAnsi="方正小标宋简体" w:eastAsia="方正小标宋简体" w:cs="方正小标宋简体"/>
          <w:b w:val="0"/>
          <w:bCs w:val="0"/>
          <w:color w:val="auto"/>
          <w:w w:val="97"/>
          <w:kern w:val="2"/>
          <w:sz w:val="44"/>
          <w:szCs w:val="44"/>
          <w:highlight w:val="none"/>
          <w:lang w:val="en-US" w:eastAsia="zh-CN" w:bidi="ar-SA"/>
        </w:rPr>
      </w:pPr>
      <w:r>
        <w:rPr>
          <w:rFonts w:hint="eastAsia" w:ascii="方正小标宋简体" w:hAnsi="方正小标宋简体" w:eastAsia="方正小标宋简体" w:cs="方正小标宋简体"/>
          <w:b w:val="0"/>
          <w:bCs w:val="0"/>
          <w:color w:val="auto"/>
          <w:w w:val="97"/>
          <w:kern w:val="2"/>
          <w:sz w:val="44"/>
          <w:szCs w:val="44"/>
          <w:highlight w:val="none"/>
          <w:lang w:val="en-US" w:eastAsia="zh-CN" w:bidi="ar-SA"/>
        </w:rPr>
        <w:t>现代化强区建设新局面</w:t>
      </w:r>
      <w:bookmarkEnd w:id="0"/>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outlineLvl w:val="1"/>
        <w:rPr>
          <w:rFonts w:hint="eastAsia" w:ascii="文星标宋" w:hAnsi="文星标宋" w:eastAsia="文星标宋" w:cs="文星标宋"/>
          <w:bCs/>
          <w:color w:val="auto"/>
          <w:kern w:val="0"/>
          <w:sz w:val="32"/>
          <w:szCs w:val="32"/>
          <w:highlight w:val="none"/>
          <w:u w:val="none"/>
          <w:lang w:val="en-US" w:eastAsia="zh-CN" w:bidi="ar"/>
        </w:rPr>
      </w:pPr>
      <w:bookmarkStart w:id="3" w:name="_Toc25192"/>
      <w:r>
        <w:rPr>
          <w:rFonts w:hint="eastAsia" w:ascii="文星标宋" w:hAnsi="文星标宋" w:eastAsia="文星标宋" w:cs="文星标宋"/>
          <w:bCs/>
          <w:color w:val="auto"/>
          <w:kern w:val="0"/>
          <w:sz w:val="32"/>
          <w:szCs w:val="32"/>
          <w:highlight w:val="none"/>
          <w:u w:val="none"/>
          <w:lang w:val="en-US" w:eastAsia="zh-CN" w:bidi="ar"/>
        </w:rPr>
        <w:t>第一节  “十四五”时期经济社会发展取得显著成效</w:t>
      </w:r>
      <w:bookmarkEnd w:id="1"/>
      <w:bookmarkEnd w:id="2"/>
      <w:bookmarkEnd w:id="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pacing w:val="0"/>
          <w:w w:val="100"/>
          <w:kern w:val="21"/>
          <w:sz w:val="32"/>
          <w:szCs w:val="32"/>
          <w:highlight w:val="none"/>
          <w:u w:val="none"/>
          <w:lang w:val="en-US" w:eastAsia="zh-CN"/>
        </w:rPr>
      </w:pPr>
      <w:r>
        <w:rPr>
          <w:rFonts w:hint="eastAsia" w:ascii="仿宋_GB2312" w:hAnsi="仿宋_GB2312" w:eastAsia="仿宋_GB2312" w:cs="仿宋_GB2312"/>
          <w:color w:val="auto"/>
          <w:spacing w:val="0"/>
          <w:w w:val="100"/>
          <w:kern w:val="21"/>
          <w:sz w:val="32"/>
          <w:szCs w:val="32"/>
          <w:highlight w:val="none"/>
          <w:u w:val="none"/>
          <w:lang w:val="en-US" w:eastAsia="zh-CN"/>
        </w:rPr>
        <w:t>“十四五”时期，是章丘区发展</w:t>
      </w:r>
      <w:r>
        <w:commentReference w:id="0"/>
      </w:r>
      <w:r>
        <w:rPr>
          <w:rFonts w:hint="eastAsia" w:ascii="仿宋_GB2312" w:hAnsi="仿宋_GB2312" w:eastAsia="仿宋_GB2312" w:cs="仿宋_GB2312"/>
          <w:color w:val="auto"/>
          <w:spacing w:val="0"/>
          <w:w w:val="100"/>
          <w:kern w:val="21"/>
          <w:sz w:val="32"/>
          <w:szCs w:val="32"/>
          <w:highlight w:val="none"/>
          <w:u w:val="none"/>
          <w:lang w:val="en-US" w:eastAsia="zh-CN"/>
        </w:rPr>
        <w:t>历史上极不寻常、极不平凡的五年。面对复杂多变的外部环境和艰巨繁重的改革发展稳定任务，区委、区政府团结带领全区人民，坚持以习近平新时代中国特色社会主义思想为指导，</w:t>
      </w:r>
      <w:r>
        <w:rPr>
          <w:rFonts w:hint="eastAsia" w:ascii="仿宋_GB2312" w:hAnsi="仿宋_GB2312" w:eastAsia="仿宋_GB2312" w:cs="仿宋_GB2312"/>
          <w:color w:val="auto"/>
          <w:sz w:val="32"/>
          <w:szCs w:val="32"/>
          <w:highlight w:val="none"/>
          <w:u w:val="none" w:color="auto"/>
          <w:lang w:val="en-US" w:eastAsia="zh-CN"/>
        </w:rPr>
        <w:t>认真落实习近平总书记视察山东重要讲话和重要指示批示精神</w:t>
      </w:r>
      <w:r>
        <w:rPr>
          <w:rFonts w:hint="eastAsia" w:ascii="仿宋_GB2312" w:hAnsi="仿宋_GB2312" w:eastAsia="仿宋_GB2312" w:cs="仿宋_GB2312"/>
          <w:color w:val="auto"/>
          <w:spacing w:val="0"/>
          <w:w w:val="100"/>
          <w:kern w:val="21"/>
          <w:sz w:val="32"/>
          <w:szCs w:val="32"/>
          <w:highlight w:val="none"/>
          <w:u w:val="none"/>
          <w:lang w:val="en-US" w:eastAsia="zh-CN"/>
        </w:rPr>
        <w:t>，锚定“走在前、挑大梁”，坚持稳中求进工作总基调，完整、准确、全面贯彻新发展理念，主动服务和融入新发展格局，积极应对各种风险挑战，</w:t>
      </w:r>
      <w:r>
        <w:rPr>
          <w:rFonts w:hint="default" w:ascii="仿宋_GB2312" w:hAnsi="仿宋_GB2312" w:eastAsia="仿宋_GB2312" w:cs="仿宋_GB2312"/>
          <w:b w:val="0"/>
          <w:bCs w:val="0"/>
          <w:color w:val="auto"/>
          <w:sz w:val="32"/>
          <w:szCs w:val="32"/>
          <w:highlight w:val="none"/>
          <w:u w:val="none" w:color="auto"/>
          <w:lang w:val="en-US" w:eastAsia="zh-CN"/>
        </w:rPr>
        <w:t>奋发有为推进各项事业，</w:t>
      </w:r>
      <w:r>
        <w:rPr>
          <w:rFonts w:hint="eastAsia" w:ascii="仿宋_GB2312" w:hAnsi="仿宋_GB2312" w:eastAsia="仿宋_GB2312" w:cs="仿宋_GB2312"/>
          <w:b w:val="0"/>
          <w:bCs w:val="0"/>
          <w:color w:val="auto"/>
          <w:spacing w:val="0"/>
          <w:w w:val="100"/>
          <w:kern w:val="21"/>
          <w:sz w:val="32"/>
          <w:szCs w:val="32"/>
          <w:highlight w:val="none"/>
          <w:u w:val="none" w:color="auto"/>
        </w:rPr>
        <w:t>全区经济社会发展取得新进展、新成就，新时代</w:t>
      </w:r>
      <w:r>
        <w:rPr>
          <w:rFonts w:hint="eastAsia" w:ascii="仿宋_GB2312" w:hAnsi="仿宋_GB2312" w:eastAsia="仿宋_GB2312" w:cs="仿宋_GB2312"/>
          <w:b w:val="0"/>
          <w:bCs w:val="0"/>
          <w:color w:val="auto"/>
          <w:kern w:val="0"/>
          <w:sz w:val="32"/>
          <w:szCs w:val="32"/>
          <w:highlight w:val="none"/>
          <w:u w:val="none" w:color="auto"/>
          <w:lang w:eastAsia="zh-CN"/>
        </w:rPr>
        <w:t>社会主义现代化强区建设</w:t>
      </w:r>
      <w:r>
        <w:rPr>
          <w:rFonts w:hint="eastAsia" w:ascii="仿宋_GB2312" w:hAnsi="仿宋_GB2312" w:eastAsia="仿宋_GB2312" w:cs="仿宋_GB2312"/>
          <w:b w:val="0"/>
          <w:bCs w:val="0"/>
          <w:color w:val="auto"/>
          <w:spacing w:val="0"/>
          <w:w w:val="100"/>
          <w:kern w:val="21"/>
          <w:sz w:val="32"/>
          <w:szCs w:val="32"/>
          <w:highlight w:val="none"/>
          <w:u w:val="none" w:color="auto"/>
        </w:rPr>
        <w:t>迈出坚实步伐</w:t>
      </w:r>
      <w:r>
        <w:rPr>
          <w:rFonts w:hint="eastAsia" w:ascii="仿宋_GB2312" w:hAnsi="仿宋_GB2312" w:eastAsia="仿宋_GB2312" w:cs="仿宋_GB2312"/>
          <w:b w:val="0"/>
          <w:bCs w:val="0"/>
          <w:color w:val="auto"/>
          <w:sz w:val="32"/>
          <w:szCs w:val="32"/>
          <w:highlight w:val="none"/>
          <w:u w:val="none" w:color="auto"/>
          <w:lang w:eastAsia="zh-CN"/>
        </w:rPr>
        <w:t>。</w:t>
      </w:r>
    </w:p>
    <w:p>
      <w:pPr>
        <w:keepNext w:val="0"/>
        <w:keepLines w:val="0"/>
        <w:pageBreakBefore w:val="0"/>
        <w:numPr>
          <w:ilvl w:val="0"/>
          <w:numId w:val="0"/>
        </w:numPr>
        <w:kinsoku/>
        <w:wordWrap/>
        <w:topLinePunct/>
        <w:autoSpaceDE/>
        <w:autoSpaceDN/>
        <w:bidi w:val="0"/>
        <w:snapToGrid/>
        <w:spacing w:line="560" w:lineRule="exact"/>
        <w:ind w:firstLine="640" w:firstLineChars="200"/>
        <w:textAlignment w:val="auto"/>
        <w:outlineLvl w:val="9"/>
        <w:rPr>
          <w:rFonts w:hint="eastAsia" w:ascii="仿宋_GB2312" w:hAnsi="仿宋_GB2312" w:eastAsia="仿宋_GB2312" w:cs="仿宋_GB2312"/>
          <w:color w:val="auto"/>
          <w:spacing w:val="0"/>
          <w:w w:val="100"/>
          <w:kern w:val="21"/>
          <w:sz w:val="32"/>
          <w:szCs w:val="32"/>
          <w:highlight w:val="none"/>
          <w:u w:val="none"/>
          <w:lang w:val="en-US" w:eastAsia="zh-CN"/>
        </w:rPr>
      </w:pPr>
      <w:r>
        <w:rPr>
          <w:rFonts w:hint="eastAsia" w:ascii="楷体_GB2312" w:hAnsi="楷体_GB2312" w:eastAsia="楷体_GB2312" w:cs="楷体_GB2312"/>
          <w:b w:val="0"/>
          <w:bCs w:val="0"/>
          <w:color w:val="auto"/>
          <w:spacing w:val="0"/>
          <w:w w:val="100"/>
          <w:kern w:val="21"/>
          <w:sz w:val="32"/>
          <w:highlight w:val="none"/>
          <w:u w:val="none"/>
          <w:lang w:val="en-US" w:eastAsia="zh-CN"/>
        </w:rPr>
        <w:t>综合实力迈上新台阶。</w:t>
      </w:r>
      <w:r>
        <w:rPr>
          <w:rFonts w:hint="eastAsia" w:ascii="仿宋_GB2312" w:hAnsi="仿宋_GB2312" w:eastAsia="仿宋_GB2312" w:cs="仿宋_GB2312"/>
          <w:color w:val="auto"/>
          <w:spacing w:val="0"/>
          <w:w w:val="100"/>
          <w:kern w:val="21"/>
          <w:sz w:val="32"/>
          <w:szCs w:val="32"/>
          <w:highlight w:val="none"/>
          <w:u w:val="none"/>
          <w:lang w:val="en-US" w:eastAsia="zh-CN"/>
        </w:rPr>
        <w:t>坚持把高质量发展作为首要任务，攻坚克难，奋勇争先，全区经济社会各项工作取得新成效，2025年地区生产总值完成1364.4亿元，较“十三五”末提高36.1%。有效需求持续扩大，消费活力显著提升，2025年社会消费品零售总额完成363.9亿元，较“十三五”末提高30.9%。人口总量稳中有升，全区常住人口达到110.8万人。市场主体规模稳步提升，全区市场主体达到13.6万户，规模以上工业企业达到581家。获评全国投资潜力百强区、全国工业百强区，连续多年跻身全国综合实力百强区。</w:t>
      </w:r>
    </w:p>
    <w:p>
      <w:pPr>
        <w:keepNext w:val="0"/>
        <w:keepLines w:val="0"/>
        <w:pageBreakBefore w:val="0"/>
        <w:numPr>
          <w:ilvl w:val="0"/>
          <w:numId w:val="0"/>
        </w:numPr>
        <w:kinsoku/>
        <w:wordWrap/>
        <w:topLinePunct/>
        <w:autoSpaceDE/>
        <w:autoSpaceDN/>
        <w:bidi w:val="0"/>
        <w:snapToGrid/>
        <w:spacing w:line="560" w:lineRule="exact"/>
        <w:ind w:firstLine="640" w:firstLineChars="200"/>
        <w:textAlignment w:val="auto"/>
        <w:outlineLvl w:val="9"/>
        <w:rPr>
          <w:rFonts w:hint="eastAsia" w:ascii="仿宋_GB2312" w:hAnsi="仿宋_GB2312" w:eastAsia="仿宋_GB2312" w:cs="仿宋_GB2312"/>
          <w:color w:val="auto"/>
          <w:spacing w:val="0"/>
          <w:w w:val="100"/>
          <w:kern w:val="21"/>
          <w:sz w:val="32"/>
          <w:szCs w:val="32"/>
          <w:highlight w:val="none"/>
          <w:u w:val="none"/>
          <w:lang w:val="en-US" w:eastAsia="zh-CN"/>
        </w:rPr>
      </w:pPr>
      <w:r>
        <w:rPr>
          <w:rFonts w:hint="eastAsia" w:ascii="楷体_GB2312" w:hAnsi="楷体_GB2312" w:eastAsia="楷体_GB2312" w:cs="楷体_GB2312"/>
          <w:b w:val="0"/>
          <w:bCs w:val="0"/>
          <w:color w:val="auto"/>
          <w:spacing w:val="0"/>
          <w:w w:val="100"/>
          <w:kern w:val="21"/>
          <w:sz w:val="32"/>
          <w:highlight w:val="none"/>
          <w:u w:val="none"/>
          <w:lang w:val="en-US" w:eastAsia="zh-CN"/>
        </w:rPr>
        <w:t>产业能级实现新突破。</w:t>
      </w:r>
      <w:r>
        <w:rPr>
          <w:rFonts w:hint="eastAsia" w:ascii="仿宋_GB2312" w:hAnsi="仿宋_GB2312" w:eastAsia="仿宋_GB2312" w:cs="仿宋_GB2312"/>
          <w:color w:val="auto"/>
          <w:spacing w:val="0"/>
          <w:w w:val="100"/>
          <w:kern w:val="21"/>
          <w:sz w:val="32"/>
          <w:szCs w:val="32"/>
          <w:highlight w:val="none"/>
          <w:u w:val="none"/>
          <w:lang w:val="en-US" w:eastAsia="zh-CN"/>
        </w:rPr>
        <w:t>坚持工业强区不动摇，大力发展新型工业化，2025年规上工业总产值完成1337.2亿元。转型升级步伐加快，“十四五”期间累计实施工业技改项目1000余个，华凌电缆、汇丰铸造、东辰瑞森被认定为国家级制造业单项冠军，累计认定国家级专精特新“小巨人”企业29家、省级专精特新企业245家、省市级“瞪羚”企业173家。产业载体功能跃升，明水经济技术开发区2025年规上工业总产值完成1129.5亿元，成为全市第2个产值过千亿元的开发区。济南刁镇化工产业园顺利完成扩区调区，先后被评为省数字经济“晨星工厂”试点园区、省化工产业智能化改造示范园区、省绿色工业园区。服务业发展提质增效，2025年全区规上服务业营业收入完成107.6亿元，第三产业增加值占GDP比重稳定在45%左右。明水古城正式开园运营，累计接待游客443.6万人，实现营收3.8亿元。实数融合深度推进，荣膺“中国县域数字经济50强区”称号，被评为山东省信息基础设施建设与产业数字化、数字产业化成效显著县（市、区）。</w:t>
      </w:r>
    </w:p>
    <w:p>
      <w:pPr>
        <w:keepNext w:val="0"/>
        <w:keepLines w:val="0"/>
        <w:pageBreakBefore w:val="0"/>
        <w:numPr>
          <w:ilvl w:val="0"/>
          <w:numId w:val="0"/>
        </w:numPr>
        <w:kinsoku/>
        <w:wordWrap/>
        <w:topLinePunct/>
        <w:autoSpaceDE/>
        <w:autoSpaceDN/>
        <w:bidi w:val="0"/>
        <w:snapToGrid/>
        <w:spacing w:line="560" w:lineRule="exact"/>
        <w:ind w:firstLine="640" w:firstLineChars="200"/>
        <w:textAlignment w:val="auto"/>
        <w:outlineLvl w:val="9"/>
        <w:rPr>
          <w:rFonts w:hint="eastAsia" w:ascii="仿宋_GB2312" w:hAnsi="仿宋_GB2312" w:eastAsia="仿宋_GB2312" w:cs="仿宋_GB2312"/>
          <w:color w:val="auto"/>
          <w:spacing w:val="0"/>
          <w:w w:val="100"/>
          <w:kern w:val="21"/>
          <w:sz w:val="32"/>
          <w:szCs w:val="32"/>
          <w:highlight w:val="none"/>
          <w:u w:val="none"/>
          <w:lang w:val="en-US" w:eastAsia="zh-CN"/>
        </w:rPr>
      </w:pPr>
      <w:r>
        <w:rPr>
          <w:rFonts w:hint="eastAsia" w:ascii="楷体_GB2312" w:hAnsi="楷体_GB2312" w:eastAsia="楷体_GB2312" w:cs="楷体_GB2312"/>
          <w:b w:val="0"/>
          <w:bCs w:val="0"/>
          <w:color w:val="auto"/>
          <w:spacing w:val="0"/>
          <w:w w:val="100"/>
          <w:kern w:val="21"/>
          <w:sz w:val="32"/>
          <w:highlight w:val="none"/>
          <w:u w:val="none"/>
          <w:lang w:val="en-US" w:eastAsia="zh-CN"/>
        </w:rPr>
        <w:t>创新驱动激发新动能。</w:t>
      </w:r>
      <w:r>
        <w:rPr>
          <w:rFonts w:hint="eastAsia" w:ascii="仿宋_GB2312" w:hAnsi="仿宋_GB2312" w:eastAsia="仿宋_GB2312" w:cs="仿宋_GB2312"/>
          <w:b w:val="0"/>
          <w:bCs w:val="0"/>
          <w:color w:val="auto"/>
          <w:spacing w:val="0"/>
          <w:w w:val="100"/>
          <w:kern w:val="21"/>
          <w:sz w:val="32"/>
          <w:highlight w:val="none"/>
          <w:u w:val="none"/>
          <w:lang w:val="en-US" w:eastAsia="zh-CN"/>
        </w:rPr>
        <w:t>深入实施创新驱动发展战略，全区国家高新技术企业530家、科技型中小企业700家</w:t>
      </w:r>
      <w:r>
        <w:rPr>
          <w:rFonts w:hint="eastAsia" w:ascii="仿宋_GB2312" w:hAnsi="仿宋_GB2312" w:eastAsia="仿宋_GB2312" w:cs="仿宋_GB2312"/>
          <w:color w:val="auto"/>
          <w:spacing w:val="0"/>
          <w:w w:val="100"/>
          <w:kern w:val="21"/>
          <w:sz w:val="32"/>
          <w:szCs w:val="32"/>
          <w:highlight w:val="none"/>
          <w:u w:val="none"/>
          <w:lang w:val="en-US" w:eastAsia="zh-CN"/>
        </w:rPr>
        <w:t>，新增省、市级研发平台87家，活力迸发的创新矩阵加速形成。打造全国首家以政府性融资担保机构为平台的科技金融示范基地，提供科技金融担保贷款7.42亿元。人才与科技支撑不断加强，</w:t>
      </w:r>
      <w:r>
        <w:rPr>
          <w:rFonts w:hint="eastAsia" w:ascii="仿宋_GB2312" w:hAnsi="仿宋_GB2312" w:eastAsia="仿宋_GB2312" w:cs="仿宋_GB2312"/>
          <w:sz w:val="32"/>
          <w:szCs w:val="32"/>
          <w:highlight w:val="none"/>
          <w:lang w:val="en-US" w:eastAsia="zh-CN"/>
        </w:rPr>
        <w:t>“十四五”期间，累计培养入选市级以上产业领军人才91人，</w:t>
      </w:r>
      <w:r>
        <w:rPr>
          <w:rFonts w:hint="eastAsia" w:ascii="仿宋_GB2312" w:hAnsi="仿宋_GB2312" w:eastAsia="仿宋_GB2312" w:cs="仿宋_GB2312"/>
          <w:color w:val="auto"/>
          <w:spacing w:val="0"/>
          <w:w w:val="100"/>
          <w:kern w:val="21"/>
          <w:sz w:val="32"/>
          <w:szCs w:val="32"/>
          <w:highlight w:val="none"/>
          <w:u w:val="none"/>
          <w:lang w:val="en-US" w:eastAsia="zh-CN"/>
        </w:rPr>
        <w:t>章丘大学园区集聚本科院校8所、高职专科院校7所，在校师生16万人，山东大学龙山校区（创新港）建设有序推进，空天信息大学（筹）实现联合招生。明水经济技术开发区被省委、省政府通报表扬为“2022年度山东省人才工作表现突出单位”，获批建设山东省专利技术转移转化专项计划试点，入选山东省第一批市域产教联合体。山大地纬、圣泉集团、丰汇设备、空天信息大学（筹）成功列入山东省重点实验室筹建名单。认定昊月新材料、银鹰炊事等省市“一企一技术”研发中心65家，6个项目获批省重大科技创新工程项目，获评推进质量强市建设工作表现突出县区。</w:t>
      </w:r>
    </w:p>
    <w:p>
      <w:pPr>
        <w:keepNext w:val="0"/>
        <w:keepLines w:val="0"/>
        <w:pageBreakBefore w:val="0"/>
        <w:numPr>
          <w:ilvl w:val="0"/>
          <w:numId w:val="0"/>
        </w:numPr>
        <w:kinsoku/>
        <w:wordWrap/>
        <w:topLinePunct/>
        <w:autoSpaceDE/>
        <w:autoSpaceDN/>
        <w:bidi w:val="0"/>
        <w:snapToGrid/>
        <w:spacing w:line="560" w:lineRule="exact"/>
        <w:ind w:firstLine="640" w:firstLineChars="200"/>
        <w:textAlignment w:val="auto"/>
        <w:outlineLvl w:val="9"/>
        <w:rPr>
          <w:rFonts w:hint="eastAsia" w:eastAsiaTheme="minorEastAsia"/>
          <w:color w:val="auto"/>
          <w:sz w:val="32"/>
          <w:szCs w:val="32"/>
          <w:highlight w:val="none"/>
          <w:lang w:eastAsia="zh-CN"/>
        </w:rPr>
      </w:pPr>
      <w:r>
        <w:rPr>
          <w:rFonts w:hint="eastAsia" w:ascii="楷体_GB2312" w:hAnsi="楷体_GB2312" w:eastAsia="楷体_GB2312" w:cs="楷体_GB2312"/>
          <w:b w:val="0"/>
          <w:bCs w:val="0"/>
          <w:color w:val="auto"/>
          <w:spacing w:val="0"/>
          <w:w w:val="100"/>
          <w:kern w:val="21"/>
          <w:sz w:val="32"/>
          <w:highlight w:val="none"/>
          <w:u w:val="none"/>
          <w:lang w:val="en-US" w:eastAsia="zh-CN"/>
        </w:rPr>
        <w:t>改革开放释放新动力。</w:t>
      </w:r>
      <w:r>
        <w:rPr>
          <w:rFonts w:hint="eastAsia" w:ascii="仿宋_GB2312" w:hAnsi="仿宋_GB2312" w:eastAsia="仿宋_GB2312" w:cs="仿宋_GB2312"/>
          <w:color w:val="auto"/>
          <w:spacing w:val="0"/>
          <w:w w:val="100"/>
          <w:kern w:val="21"/>
          <w:sz w:val="32"/>
          <w:szCs w:val="32"/>
          <w:highlight w:val="none"/>
          <w:u w:val="none"/>
          <w:lang w:val="en-US" w:eastAsia="zh-CN"/>
        </w:rPr>
        <w:t>坚持</w:t>
      </w:r>
      <w:r>
        <w:rPr>
          <w:rFonts w:hint="eastAsia" w:ascii="仿宋_GB2312" w:hAnsi="仿宋_GB2312" w:eastAsia="仿宋_GB2312" w:cs="仿宋_GB2312"/>
          <w:color w:val="auto"/>
          <w:spacing w:val="0"/>
          <w:w w:val="100"/>
          <w:kern w:val="21"/>
          <w:sz w:val="32"/>
          <w:szCs w:val="32"/>
          <w:highlight w:val="none"/>
          <w:u w:val="none"/>
        </w:rPr>
        <w:t>以改革破难题</w:t>
      </w:r>
      <w:r>
        <w:rPr>
          <w:rFonts w:hint="eastAsia" w:ascii="仿宋_GB2312" w:hAnsi="仿宋_GB2312" w:eastAsia="仿宋_GB2312" w:cs="仿宋_GB2312"/>
          <w:color w:val="auto"/>
          <w:spacing w:val="0"/>
          <w:w w:val="100"/>
          <w:kern w:val="21"/>
          <w:sz w:val="32"/>
          <w:szCs w:val="32"/>
          <w:highlight w:val="none"/>
          <w:u w:val="none"/>
          <w:lang w:eastAsia="zh-CN"/>
        </w:rPr>
        <w:t>，</w:t>
      </w:r>
      <w:r>
        <w:rPr>
          <w:rFonts w:hint="eastAsia" w:ascii="仿宋_GB2312" w:hAnsi="仿宋_GB2312" w:eastAsia="仿宋_GB2312" w:cs="仿宋_GB2312"/>
          <w:b w:val="0"/>
          <w:bCs w:val="0"/>
          <w:color w:val="auto"/>
          <w:spacing w:val="0"/>
          <w:w w:val="100"/>
          <w:kern w:val="21"/>
          <w:sz w:val="32"/>
          <w:szCs w:val="32"/>
          <w:highlight w:val="none"/>
          <w:u w:val="none"/>
        </w:rPr>
        <w:t>重点领域改革深化提升。国家产品主数据标准试点区等</w:t>
      </w:r>
      <w:r>
        <w:rPr>
          <w:rFonts w:hint="eastAsia" w:ascii="仿宋_GB2312" w:hAnsi="仿宋_GB2312" w:eastAsia="仿宋_GB2312" w:cs="仿宋_GB2312"/>
          <w:b w:val="0"/>
          <w:bCs w:val="0"/>
          <w:color w:val="auto"/>
          <w:spacing w:val="0"/>
          <w:w w:val="100"/>
          <w:kern w:val="21"/>
          <w:sz w:val="32"/>
          <w:szCs w:val="32"/>
          <w:highlight w:val="none"/>
          <w:u w:val="none"/>
          <w:lang w:val="en-US" w:eastAsia="zh-CN"/>
        </w:rPr>
        <w:t>21</w:t>
      </w:r>
      <w:r>
        <w:rPr>
          <w:rFonts w:hint="eastAsia" w:ascii="仿宋_GB2312" w:hAnsi="仿宋_GB2312" w:eastAsia="仿宋_GB2312" w:cs="仿宋_GB2312"/>
          <w:b w:val="0"/>
          <w:bCs w:val="0"/>
          <w:color w:val="auto"/>
          <w:spacing w:val="0"/>
          <w:w w:val="100"/>
          <w:kern w:val="21"/>
          <w:sz w:val="32"/>
          <w:szCs w:val="32"/>
          <w:highlight w:val="none"/>
          <w:u w:val="none"/>
        </w:rPr>
        <w:t>个国家</w:t>
      </w:r>
      <w:r>
        <w:rPr>
          <w:rFonts w:hint="eastAsia" w:ascii="仿宋_GB2312" w:hAnsi="仿宋_GB2312" w:eastAsia="仿宋_GB2312" w:cs="仿宋_GB2312"/>
          <w:color w:val="auto"/>
          <w:spacing w:val="0"/>
          <w:w w:val="100"/>
          <w:kern w:val="21"/>
          <w:sz w:val="32"/>
          <w:szCs w:val="32"/>
          <w:highlight w:val="none"/>
          <w:u w:val="none"/>
        </w:rPr>
        <w:t>级改革试点落户我区。</w:t>
      </w:r>
      <w:r>
        <w:rPr>
          <w:rFonts w:hint="eastAsia" w:ascii="仿宋_GB2312" w:hAnsi="仿宋_GB2312" w:eastAsia="仿宋_GB2312" w:cs="仿宋_GB2312"/>
          <w:color w:val="auto"/>
          <w:spacing w:val="0"/>
          <w:w w:val="100"/>
          <w:kern w:val="21"/>
          <w:sz w:val="32"/>
          <w:szCs w:val="32"/>
          <w:highlight w:val="none"/>
          <w:u w:val="none"/>
          <w:lang w:val="en-US" w:eastAsia="zh-CN"/>
        </w:rPr>
        <w:t>明水经济技术开发区</w:t>
      </w:r>
      <w:r>
        <w:rPr>
          <w:rFonts w:hint="eastAsia" w:ascii="仿宋_GB2312" w:hAnsi="仿宋_GB2312" w:eastAsia="仿宋_GB2312" w:cs="仿宋_GB2312"/>
          <w:sz w:val="32"/>
          <w:szCs w:val="40"/>
          <w:highlight w:val="none"/>
          <w:lang w:eastAsia="zh-CN"/>
        </w:rPr>
        <w:t>全面完成17项体制机制改革任务。</w:t>
      </w:r>
      <w:r>
        <w:rPr>
          <w:rFonts w:hint="eastAsia" w:ascii="仿宋_GB2312" w:hAnsi="仿宋_GB2312" w:eastAsia="仿宋_GB2312" w:cs="仿宋_GB2312"/>
          <w:color w:val="auto"/>
          <w:spacing w:val="0"/>
          <w:w w:val="100"/>
          <w:kern w:val="21"/>
          <w:sz w:val="32"/>
          <w:szCs w:val="32"/>
          <w:highlight w:val="none"/>
          <w:u w:val="none"/>
        </w:rPr>
        <w:t>推进区属国有企业改革，</w:t>
      </w:r>
      <w:r>
        <w:rPr>
          <w:rFonts w:hint="eastAsia" w:ascii="仿宋_GB2312" w:hAnsi="仿宋_GB2312" w:eastAsia="仿宋_GB2312" w:cs="仿宋_GB2312"/>
          <w:color w:val="auto"/>
          <w:spacing w:val="0"/>
          <w:w w:val="100"/>
          <w:kern w:val="21"/>
          <w:sz w:val="32"/>
          <w:szCs w:val="32"/>
          <w:highlight w:val="none"/>
          <w:u w:val="none"/>
          <w:lang w:val="en-US" w:eastAsia="zh-CN"/>
        </w:rPr>
        <w:t>优化整合资源资产，控股集团、泉汇产业发展等6家企业获评AA＋，产业化转型迈出坚实步伐。</w:t>
      </w:r>
      <w:r>
        <w:rPr>
          <w:rFonts w:hint="eastAsia" w:ascii="仿宋_GB2312" w:hAnsi="仿宋_GB2312" w:eastAsia="仿宋_GB2312" w:cs="仿宋_GB2312"/>
          <w:color w:val="auto"/>
          <w:spacing w:val="0"/>
          <w:w w:val="100"/>
          <w:kern w:val="21"/>
          <w:sz w:val="32"/>
          <w:szCs w:val="32"/>
          <w:highlight w:val="none"/>
          <w:u w:val="none"/>
        </w:rPr>
        <w:t>国开集团</w:t>
      </w:r>
      <w:r>
        <w:rPr>
          <w:rFonts w:hint="eastAsia" w:ascii="仿宋_GB2312" w:hAnsi="仿宋_GB2312" w:eastAsia="仿宋_GB2312" w:cs="仿宋_GB2312"/>
          <w:color w:val="auto"/>
          <w:spacing w:val="0"/>
          <w:w w:val="100"/>
          <w:kern w:val="21"/>
          <w:sz w:val="32"/>
          <w:szCs w:val="32"/>
          <w:highlight w:val="none"/>
          <w:u w:val="none"/>
          <w:lang w:eastAsia="zh-CN"/>
        </w:rPr>
        <w:t>作为区县级国有企业</w:t>
      </w:r>
      <w:r>
        <w:rPr>
          <w:rFonts w:hint="eastAsia" w:ascii="仿宋_GB2312" w:hAnsi="仿宋_GB2312" w:eastAsia="仿宋_GB2312" w:cs="仿宋_GB2312"/>
          <w:color w:val="auto"/>
          <w:spacing w:val="0"/>
          <w:w w:val="100"/>
          <w:kern w:val="21"/>
          <w:sz w:val="32"/>
          <w:szCs w:val="32"/>
          <w:highlight w:val="none"/>
          <w:u w:val="none"/>
        </w:rPr>
        <w:t>率先成立大数据公司，</w:t>
      </w:r>
      <w:r>
        <w:rPr>
          <w:rFonts w:hint="eastAsia" w:ascii="仿宋_GB2312" w:hAnsi="仿宋_GB2312" w:eastAsia="仿宋_GB2312" w:cs="仿宋_GB2312"/>
          <w:color w:val="auto"/>
          <w:spacing w:val="0"/>
          <w:w w:val="100"/>
          <w:kern w:val="21"/>
          <w:sz w:val="32"/>
          <w:szCs w:val="32"/>
          <w:highlight w:val="none"/>
          <w:u w:val="none"/>
          <w:lang w:eastAsia="zh-CN"/>
        </w:rPr>
        <w:t>创新创业</w:t>
      </w:r>
      <w:r>
        <w:rPr>
          <w:rFonts w:hint="eastAsia" w:ascii="仿宋_GB2312" w:hAnsi="仿宋_GB2312" w:eastAsia="仿宋_GB2312" w:cs="仿宋_GB2312"/>
          <w:color w:val="auto"/>
          <w:spacing w:val="0"/>
          <w:w w:val="100"/>
          <w:kern w:val="21"/>
          <w:sz w:val="32"/>
          <w:szCs w:val="32"/>
          <w:highlight w:val="none"/>
          <w:u w:val="none"/>
        </w:rPr>
        <w:t>基地荣获山东省五星级数据要素产业集聚区。深化工程建设项目“六即”服务，强化跨部门业务、数据协同，推动工程审批改革持续走在全市前列。</w:t>
      </w:r>
      <w:r>
        <w:rPr>
          <w:rFonts w:hint="eastAsia" w:ascii="仿宋_GB2312" w:hAnsi="仿宋_GB2312" w:eastAsia="仿宋_GB2312" w:cs="仿宋_GB2312"/>
          <w:color w:val="auto"/>
          <w:spacing w:val="0"/>
          <w:w w:val="100"/>
          <w:kern w:val="21"/>
          <w:sz w:val="32"/>
          <w:szCs w:val="32"/>
          <w:highlight w:val="none"/>
          <w:u w:val="none"/>
          <w:lang w:val="en-US" w:eastAsia="zh-CN"/>
        </w:rPr>
        <w:t>农村综合性改革深入推进，稳妥开展第二轮土地承包到期后再延长30年试点，在全市率先推动镇、村“三变”改革，实施项目224个，525个行政村集体收入全部过30万元。坚持以开放促发展，</w:t>
      </w:r>
      <w:r>
        <w:rPr>
          <w:rFonts w:hint="eastAsia" w:ascii="仿宋_GB2312" w:hAnsi="仿宋_GB2312" w:eastAsia="仿宋_GB2312" w:cs="仿宋_GB2312"/>
          <w:color w:val="auto"/>
          <w:spacing w:val="0"/>
          <w:w w:val="100"/>
          <w:kern w:val="21"/>
          <w:sz w:val="32"/>
          <w:szCs w:val="32"/>
          <w:highlight w:val="none"/>
          <w:u w:val="none"/>
        </w:rPr>
        <w:t>开放合作水平不断提升</w:t>
      </w:r>
      <w:r>
        <w:rPr>
          <w:rFonts w:hint="eastAsia" w:ascii="仿宋_GB2312" w:hAnsi="仿宋_GB2312" w:eastAsia="仿宋_GB2312" w:cs="仿宋_GB2312"/>
          <w:color w:val="auto"/>
          <w:spacing w:val="0"/>
          <w:w w:val="100"/>
          <w:kern w:val="21"/>
          <w:sz w:val="32"/>
          <w:szCs w:val="32"/>
          <w:highlight w:val="none"/>
          <w:u w:val="none"/>
          <w:lang w:eastAsia="zh-CN"/>
        </w:rPr>
        <w:t>。</w:t>
      </w:r>
      <w:r>
        <w:rPr>
          <w:rFonts w:hint="eastAsia" w:ascii="仿宋_GB2312" w:hAnsi="仿宋_GB2312" w:eastAsia="仿宋_GB2312" w:cs="仿宋_GB2312"/>
          <w:color w:val="auto"/>
          <w:spacing w:val="0"/>
          <w:w w:val="100"/>
          <w:kern w:val="21"/>
          <w:sz w:val="32"/>
          <w:szCs w:val="32"/>
          <w:highlight w:val="none"/>
          <w:u w:val="none"/>
          <w:lang w:val="en-US" w:eastAsia="zh-CN"/>
        </w:rPr>
        <w:t>黄河流域生态保护和高质量发展战略深入实施，主动融入服务济南都市圈一体化发展，加强与主城区的合作交流，推动</w:t>
      </w:r>
      <w:r>
        <w:rPr>
          <w:rFonts w:hint="eastAsia" w:ascii="仿宋_GB2312" w:hAnsi="仿宋_GB2312" w:eastAsia="仿宋_GB2312" w:cs="仿宋_GB2312"/>
          <w:color w:val="auto"/>
          <w:spacing w:val="0"/>
          <w:w w:val="100"/>
          <w:kern w:val="21"/>
          <w:sz w:val="32"/>
          <w:szCs w:val="32"/>
          <w:highlight w:val="none"/>
          <w:u w:val="none"/>
          <w:lang w:eastAsia="zh-CN"/>
        </w:rPr>
        <w:t>章丘</w:t>
      </w:r>
      <w:r>
        <w:rPr>
          <w:rFonts w:hint="eastAsia" w:ascii="仿宋_GB2312" w:hAnsi="仿宋_GB2312" w:eastAsia="仿宋_GB2312" w:cs="仿宋_GB2312"/>
          <w:color w:val="auto"/>
          <w:spacing w:val="0"/>
          <w:w w:val="100"/>
          <w:kern w:val="21"/>
          <w:sz w:val="32"/>
          <w:szCs w:val="32"/>
          <w:highlight w:val="none"/>
          <w:u w:val="none"/>
          <w:lang w:val="en-US" w:eastAsia="zh-CN"/>
        </w:rPr>
        <w:t>与商河结对共促，章丘区、邹平市、周村区三地共同签署政务服务“跨域通办”合作协议。全面落实东西部协作工作要求，与甘肃省积石山县深化协作，有力推动两地共同发展。深化与“一带一路”沿线国家、新兴市场的贸易合作，“十四五”期间净增外贸实绩企业170家，2025年实现进出口总额99.4亿元，较“十三五”末增长33.2%。</w:t>
      </w:r>
    </w:p>
    <w:p>
      <w:pPr>
        <w:keepNext w:val="0"/>
        <w:keepLines w:val="0"/>
        <w:pageBreakBefore w:val="0"/>
        <w:numPr>
          <w:ilvl w:val="0"/>
          <w:numId w:val="0"/>
        </w:numPr>
        <w:kinsoku/>
        <w:wordWrap/>
        <w:topLinePunct/>
        <w:autoSpaceDE/>
        <w:autoSpaceDN/>
        <w:bidi w:val="0"/>
        <w:snapToGrid/>
        <w:spacing w:line="560" w:lineRule="exact"/>
        <w:ind w:firstLine="640" w:firstLineChars="200"/>
        <w:textAlignment w:val="auto"/>
        <w:outlineLvl w:val="9"/>
        <w:rPr>
          <w:rFonts w:hint="default" w:ascii="仿宋_GB2312" w:hAnsi="仿宋_GB2312" w:eastAsia="仿宋_GB2312"/>
          <w:color w:val="auto"/>
          <w:sz w:val="32"/>
          <w:highlight w:val="none"/>
          <w:u w:val="none"/>
          <w:lang w:val="en-US" w:eastAsia="zh-CN"/>
        </w:rPr>
      </w:pPr>
      <w:r>
        <w:rPr>
          <w:rFonts w:hint="eastAsia" w:ascii="楷体_GB2312" w:hAnsi="楷体_GB2312" w:eastAsia="楷体_GB2312" w:cs="楷体_GB2312"/>
          <w:b w:val="0"/>
          <w:bCs w:val="0"/>
          <w:color w:val="auto"/>
          <w:spacing w:val="0"/>
          <w:w w:val="100"/>
          <w:kern w:val="21"/>
          <w:sz w:val="32"/>
          <w:highlight w:val="none"/>
          <w:u w:val="none"/>
          <w:lang w:val="en-US" w:eastAsia="zh-CN"/>
        </w:rPr>
        <w:t>城市建设展现新形象。</w:t>
      </w:r>
      <w:r>
        <w:rPr>
          <w:rFonts w:hint="eastAsia" w:ascii="仿宋_GB2312" w:hAnsi="仿宋_GB2312" w:eastAsia="仿宋_GB2312" w:cs="仿宋_GB2312"/>
          <w:b w:val="0"/>
          <w:bCs w:val="0"/>
          <w:color w:val="auto"/>
          <w:spacing w:val="0"/>
          <w:w w:val="100"/>
          <w:kern w:val="21"/>
          <w:sz w:val="32"/>
          <w:szCs w:val="32"/>
          <w:highlight w:val="none"/>
          <w:u w:val="none"/>
        </w:rPr>
        <w:t>发展框架持续拓展</w:t>
      </w:r>
      <w:r>
        <w:rPr>
          <w:rFonts w:hint="eastAsia" w:ascii="仿宋_GB2312" w:hAnsi="仿宋_GB2312" w:eastAsia="仿宋_GB2312" w:cs="仿宋_GB2312"/>
          <w:b w:val="0"/>
          <w:bCs w:val="0"/>
          <w:color w:val="auto"/>
          <w:spacing w:val="0"/>
          <w:w w:val="100"/>
          <w:kern w:val="21"/>
          <w:sz w:val="32"/>
          <w:szCs w:val="32"/>
          <w:highlight w:val="none"/>
          <w:u w:val="none"/>
          <w:lang w:eastAsia="zh-CN"/>
        </w:rPr>
        <w:t>，</w:t>
      </w:r>
      <w:r>
        <w:rPr>
          <w:rFonts w:hint="eastAsia" w:ascii="仿宋_GB2312" w:hAnsi="仿宋_GB2312" w:eastAsia="仿宋_GB2312" w:cs="仿宋_GB2312"/>
          <w:b w:val="0"/>
          <w:bCs w:val="0"/>
          <w:color w:val="auto"/>
          <w:spacing w:val="0"/>
          <w:w w:val="100"/>
          <w:kern w:val="21"/>
          <w:sz w:val="32"/>
          <w:szCs w:val="32"/>
          <w:highlight w:val="none"/>
          <w:u w:val="none"/>
        </w:rPr>
        <w:t>章丘城市组团列入济南主城</w:t>
      </w:r>
      <w:r>
        <w:rPr>
          <w:rFonts w:hint="eastAsia" w:ascii="仿宋_GB2312" w:hAnsi="仿宋_GB2312" w:eastAsia="仿宋_GB2312" w:cs="仿宋_GB2312"/>
          <w:b w:val="0"/>
          <w:bCs w:val="0"/>
          <w:color w:val="auto"/>
          <w:spacing w:val="0"/>
          <w:w w:val="100"/>
          <w:kern w:val="21"/>
          <w:sz w:val="32"/>
          <w:szCs w:val="32"/>
          <w:highlight w:val="none"/>
          <w:u w:val="none"/>
          <w:lang w:val="en-US" w:eastAsia="zh-CN"/>
        </w:rPr>
        <w:t>区</w:t>
      </w:r>
      <w:r>
        <w:rPr>
          <w:rFonts w:hint="eastAsia" w:ascii="仿宋_GB2312" w:hAnsi="仿宋_GB2312" w:eastAsia="仿宋_GB2312" w:cs="仿宋_GB2312"/>
          <w:b w:val="0"/>
          <w:bCs w:val="0"/>
          <w:color w:val="auto"/>
          <w:spacing w:val="0"/>
          <w:w w:val="100"/>
          <w:kern w:val="21"/>
          <w:sz w:val="32"/>
          <w:szCs w:val="32"/>
          <w:highlight w:val="none"/>
          <w:u w:val="none"/>
        </w:rPr>
        <w:t>，章丘区国土空间分区规划</w:t>
      </w:r>
      <w:r>
        <w:rPr>
          <w:rFonts w:hint="eastAsia" w:ascii="仿宋_GB2312" w:hAnsi="仿宋_GB2312" w:eastAsia="仿宋_GB2312" w:cs="仿宋_GB2312"/>
          <w:b w:val="0"/>
          <w:bCs w:val="0"/>
          <w:color w:val="auto"/>
          <w:spacing w:val="0"/>
          <w:w w:val="100"/>
          <w:kern w:val="21"/>
          <w:sz w:val="32"/>
          <w:szCs w:val="32"/>
          <w:highlight w:val="none"/>
          <w:u w:val="none"/>
          <w:lang w:val="en-US" w:eastAsia="zh-CN"/>
        </w:rPr>
        <w:t>获批实施</w:t>
      </w:r>
      <w:r>
        <w:rPr>
          <w:rFonts w:hint="eastAsia" w:ascii="仿宋_GB2312" w:hAnsi="仿宋_GB2312" w:eastAsia="仿宋_GB2312" w:cs="仿宋_GB2312"/>
          <w:b w:val="0"/>
          <w:bCs w:val="0"/>
          <w:color w:val="auto"/>
          <w:spacing w:val="0"/>
          <w:w w:val="100"/>
          <w:kern w:val="21"/>
          <w:sz w:val="32"/>
          <w:szCs w:val="32"/>
          <w:highlight w:val="none"/>
          <w:u w:val="none"/>
        </w:rPr>
        <w:t>，城镇开发边界局部优化调整</w:t>
      </w:r>
      <w:r>
        <w:rPr>
          <w:rFonts w:hint="eastAsia" w:ascii="仿宋_GB2312" w:hAnsi="仿宋_GB2312" w:eastAsia="仿宋_GB2312"/>
          <w:b w:val="0"/>
          <w:bCs w:val="0"/>
          <w:color w:val="auto"/>
          <w:spacing w:val="0"/>
          <w:w w:val="100"/>
          <w:kern w:val="21"/>
          <w:sz w:val="32"/>
          <w:szCs w:val="32"/>
          <w:highlight w:val="none"/>
          <w:u w:val="none"/>
        </w:rPr>
        <w:t>加快推</w:t>
      </w:r>
      <w:r>
        <w:rPr>
          <w:rFonts w:hint="eastAsia" w:ascii="仿宋_GB2312" w:hAnsi="仿宋_GB2312" w:eastAsia="仿宋_GB2312"/>
          <w:b w:val="0"/>
          <w:bCs w:val="0"/>
          <w:color w:val="auto"/>
          <w:spacing w:val="0"/>
          <w:w w:val="100"/>
          <w:kern w:val="21"/>
          <w:sz w:val="32"/>
          <w:szCs w:val="32"/>
          <w:highlight w:val="none"/>
          <w:u w:val="none"/>
          <w:lang w:val="en-US" w:eastAsia="zh-CN"/>
        </w:rPr>
        <w:t>进</w:t>
      </w:r>
      <w:r>
        <w:rPr>
          <w:rFonts w:hint="eastAsia" w:ascii="仿宋_GB2312" w:hAnsi="仿宋_GB2312" w:eastAsia="仿宋_GB2312" w:cs="仿宋_GB2312"/>
          <w:b w:val="0"/>
          <w:bCs w:val="0"/>
          <w:color w:val="auto"/>
          <w:spacing w:val="0"/>
          <w:w w:val="100"/>
          <w:kern w:val="21"/>
          <w:sz w:val="32"/>
          <w:szCs w:val="32"/>
          <w:highlight w:val="none"/>
          <w:u w:val="none"/>
        </w:rPr>
        <w:t>。</w:t>
      </w:r>
      <w:r>
        <w:rPr>
          <w:rFonts w:hint="eastAsia" w:ascii="仿宋_GB2312" w:hAnsi="仿宋_GB2312" w:eastAsia="仿宋_GB2312" w:cs="仿宋_GB2312"/>
          <w:b w:val="0"/>
          <w:bCs w:val="0"/>
          <w:color w:val="auto"/>
          <w:spacing w:val="0"/>
          <w:w w:val="100"/>
          <w:kern w:val="21"/>
          <w:sz w:val="32"/>
          <w:szCs w:val="32"/>
          <w:highlight w:val="none"/>
          <w:u w:val="none"/>
          <w:lang w:val="en-US" w:eastAsia="zh-CN"/>
        </w:rPr>
        <w:t>空间布局显著优化，</w:t>
      </w:r>
      <w:r>
        <w:rPr>
          <w:rFonts w:hint="eastAsia" w:ascii="仿宋_GB2312" w:hAnsi="仿宋_GB2312" w:eastAsia="仿宋_GB2312" w:cs="仿宋_GB2312"/>
          <w:i w:val="0"/>
          <w:iCs w:val="0"/>
          <w:caps w:val="0"/>
          <w:color w:val="auto"/>
          <w:spacing w:val="0"/>
          <w:sz w:val="32"/>
          <w:szCs w:val="32"/>
          <w:highlight w:val="none"/>
          <w:u w:val="none"/>
          <w:lang w:val="en-US" w:eastAsia="zh-CN"/>
        </w:rPr>
        <w:t>全力塑造“山水园林”城市风貌。2025年全区城镇化率达到65%左右，</w:t>
      </w:r>
      <w:r>
        <w:rPr>
          <w:rFonts w:hint="eastAsia" w:ascii="仿宋_GB2312" w:hAnsi="仿宋_GB2312" w:eastAsia="仿宋_GB2312" w:cs="仿宋_GB2312"/>
          <w:color w:val="auto"/>
          <w:spacing w:val="0"/>
          <w:w w:val="100"/>
          <w:kern w:val="21"/>
          <w:sz w:val="32"/>
          <w:szCs w:val="32"/>
          <w:highlight w:val="none"/>
          <w:u w:val="none"/>
          <w:lang w:val="en-US" w:eastAsia="zh-CN"/>
        </w:rPr>
        <w:t>较“十三五”末提高3个百分点。</w:t>
      </w:r>
      <w:r>
        <w:rPr>
          <w:rFonts w:hint="default" w:ascii="仿宋_GB2312" w:hAnsi="仿宋_GB2312" w:eastAsia="仿宋_GB2312"/>
          <w:color w:val="auto"/>
          <w:sz w:val="32"/>
          <w:highlight w:val="none"/>
          <w:u w:val="none"/>
          <w:lang w:val="en-US" w:eastAsia="zh-CN"/>
        </w:rPr>
        <w:t>信息基础设施发展完备，全区城市家庭千兆光纤网络覆盖率达到</w:t>
      </w:r>
      <w:r>
        <w:rPr>
          <w:rFonts w:hint="eastAsia" w:ascii="仿宋_GB2312" w:hAnsi="仿宋_GB2312" w:eastAsia="仿宋_GB2312"/>
          <w:color w:val="auto"/>
          <w:sz w:val="32"/>
          <w:highlight w:val="none"/>
          <w:u w:val="none"/>
          <w:lang w:val="en-US" w:eastAsia="zh-CN"/>
        </w:rPr>
        <w:t>98</w:t>
      </w:r>
      <w:r>
        <w:rPr>
          <w:rFonts w:hint="default" w:ascii="仿宋_GB2312" w:hAnsi="仿宋_GB2312" w:eastAsia="仿宋_GB2312"/>
          <w:color w:val="auto"/>
          <w:sz w:val="32"/>
          <w:highlight w:val="none"/>
          <w:u w:val="none"/>
          <w:lang w:val="en-US" w:eastAsia="zh-CN"/>
        </w:rPr>
        <w:t>%</w:t>
      </w:r>
      <w:r>
        <w:rPr>
          <w:rFonts w:hint="eastAsia" w:ascii="仿宋_GB2312" w:hAnsi="仿宋_GB2312" w:eastAsia="仿宋_GB2312"/>
          <w:color w:val="auto"/>
          <w:sz w:val="32"/>
          <w:highlight w:val="none"/>
          <w:u w:val="none"/>
          <w:lang w:val="en-US" w:eastAsia="zh-CN"/>
        </w:rPr>
        <w:t>以上</w:t>
      </w:r>
      <w:r>
        <w:rPr>
          <w:rFonts w:hint="default" w:ascii="仿宋_GB2312" w:hAnsi="仿宋_GB2312" w:eastAsia="仿宋_GB2312"/>
          <w:color w:val="auto"/>
          <w:sz w:val="32"/>
          <w:highlight w:val="none"/>
          <w:u w:val="none"/>
          <w:lang w:val="en-US" w:eastAsia="zh-CN"/>
        </w:rPr>
        <w:t>，</w:t>
      </w:r>
      <w:r>
        <w:rPr>
          <w:rFonts w:hint="default" w:ascii="仿宋_GB2312" w:hAnsi="仿宋_GB2312" w:eastAsia="仿宋_GB2312" w:cs="仿宋_GB2312"/>
          <w:color w:val="auto"/>
          <w:sz w:val="32"/>
          <w:szCs w:val="32"/>
          <w:highlight w:val="none"/>
          <w:lang w:val="en-US" w:eastAsia="zh-CN"/>
        </w:rPr>
        <w:t>累计建成5G基站</w:t>
      </w:r>
      <w:r>
        <w:rPr>
          <w:rFonts w:hint="eastAsia" w:ascii="仿宋_GB2312" w:hAnsi="仿宋_GB2312" w:eastAsia="仿宋_GB2312" w:cs="仿宋_GB2312"/>
          <w:color w:val="auto"/>
          <w:sz w:val="32"/>
          <w:szCs w:val="32"/>
          <w:highlight w:val="none"/>
          <w:lang w:val="en-US" w:eastAsia="zh-CN"/>
        </w:rPr>
        <w:t>5152</w:t>
      </w:r>
      <w:r>
        <w:rPr>
          <w:rFonts w:hint="default" w:ascii="仿宋_GB2312" w:hAnsi="仿宋_GB2312" w:eastAsia="仿宋_GB2312" w:cs="仿宋_GB2312"/>
          <w:color w:val="auto"/>
          <w:sz w:val="32"/>
          <w:szCs w:val="32"/>
          <w:highlight w:val="none"/>
          <w:lang w:val="en-US" w:eastAsia="zh-CN"/>
        </w:rPr>
        <w:t>余个</w:t>
      </w:r>
      <w:r>
        <w:rPr>
          <w:rFonts w:hint="default" w:ascii="仿宋_GB2312" w:hAnsi="仿宋_GB2312" w:eastAsia="仿宋_GB2312"/>
          <w:color w:val="auto"/>
          <w:sz w:val="32"/>
          <w:highlight w:val="none"/>
          <w:u w:val="none"/>
          <w:lang w:val="en-US" w:eastAsia="zh-CN"/>
        </w:rPr>
        <w:t>，实现重点场所5G信号全覆盖。交通体系提档升级，济莱高铁建成运营</w:t>
      </w:r>
      <w:r>
        <w:rPr>
          <w:rFonts w:hint="eastAsia" w:ascii="仿宋_GB2312" w:hAnsi="仿宋_GB2312" w:eastAsia="仿宋_GB2312"/>
          <w:color w:val="auto"/>
          <w:sz w:val="32"/>
          <w:highlight w:val="none"/>
          <w:u w:val="none"/>
          <w:lang w:val="en-US" w:eastAsia="zh-CN"/>
        </w:rPr>
        <w:t>，</w:t>
      </w:r>
      <w:r>
        <w:rPr>
          <w:rFonts w:hint="default" w:ascii="仿宋_GB2312" w:hAnsi="仿宋_GB2312" w:eastAsia="仿宋_GB2312"/>
          <w:color w:val="auto"/>
          <w:sz w:val="32"/>
          <w:highlight w:val="none"/>
          <w:u w:val="none"/>
          <w:lang w:val="en-US" w:eastAsia="zh-CN"/>
        </w:rPr>
        <w:t>济高高速</w:t>
      </w:r>
      <w:r>
        <w:rPr>
          <w:rFonts w:hint="eastAsia" w:ascii="仿宋_GB2312" w:hAnsi="仿宋_GB2312" w:eastAsia="仿宋_GB2312"/>
          <w:color w:val="auto"/>
          <w:sz w:val="32"/>
          <w:highlight w:val="none"/>
          <w:u w:val="none"/>
          <w:lang w:val="en-US" w:eastAsia="zh-CN"/>
        </w:rPr>
        <w:t>、</w:t>
      </w:r>
      <w:r>
        <w:rPr>
          <w:rFonts w:hint="default" w:ascii="仿宋_GB2312" w:hAnsi="仿宋_GB2312" w:eastAsia="仿宋_GB2312"/>
          <w:color w:val="auto"/>
          <w:sz w:val="32"/>
          <w:highlight w:val="none"/>
          <w:u w:val="none"/>
          <w:lang w:val="en-US" w:eastAsia="zh-CN"/>
        </w:rPr>
        <w:t>济潍高速</w:t>
      </w:r>
      <w:r>
        <w:rPr>
          <w:rFonts w:hint="eastAsia" w:ascii="仿宋_GB2312" w:hAnsi="仿宋_GB2312" w:eastAsia="仿宋_GB2312"/>
          <w:color w:val="auto"/>
          <w:sz w:val="32"/>
          <w:highlight w:val="none"/>
          <w:u w:val="none"/>
          <w:lang w:val="en-US" w:eastAsia="zh-CN"/>
        </w:rPr>
        <w:t>、</w:t>
      </w:r>
      <w:r>
        <w:rPr>
          <w:rFonts w:hint="default" w:ascii="仿宋_GB2312" w:hAnsi="仿宋_GB2312" w:eastAsia="仿宋_GB2312"/>
          <w:color w:val="auto"/>
          <w:sz w:val="32"/>
          <w:highlight w:val="none"/>
          <w:u w:val="none"/>
          <w:lang w:val="en-US" w:eastAsia="zh-CN"/>
        </w:rPr>
        <w:t>济南绕城高速二环线北环段</w:t>
      </w:r>
      <w:r>
        <w:rPr>
          <w:rFonts w:hint="eastAsia" w:ascii="仿宋_GB2312" w:hAnsi="仿宋_GB2312" w:eastAsia="仿宋_GB2312"/>
          <w:color w:val="auto"/>
          <w:sz w:val="32"/>
          <w:highlight w:val="none"/>
          <w:u w:val="none"/>
          <w:lang w:val="en-US" w:eastAsia="zh-CN"/>
        </w:rPr>
        <w:t>、</w:t>
      </w:r>
      <w:r>
        <w:rPr>
          <w:rFonts w:hint="default" w:ascii="仿宋_GB2312" w:hAnsi="仿宋_GB2312" w:eastAsia="仿宋_GB2312"/>
          <w:color w:val="auto"/>
          <w:sz w:val="32"/>
          <w:highlight w:val="none"/>
          <w:u w:val="none"/>
          <w:lang w:val="en-US" w:eastAsia="zh-CN"/>
        </w:rPr>
        <w:t>旅游路东延建成通车，济南轨道交通8号线通车运营</w:t>
      </w:r>
      <w:r>
        <w:rPr>
          <w:rFonts w:hint="eastAsia" w:ascii="仿宋_GB2312" w:hAnsi="仿宋_GB2312" w:eastAsia="仿宋_GB2312"/>
          <w:color w:val="auto"/>
          <w:sz w:val="32"/>
          <w:highlight w:val="none"/>
          <w:u w:val="none"/>
          <w:lang w:val="en-US" w:eastAsia="zh-CN"/>
        </w:rPr>
        <w:t>，庆章高速</w:t>
      </w:r>
      <w:r>
        <w:rPr>
          <w:rFonts w:hint="default" w:ascii="仿宋_GB2312" w:hAnsi="仿宋_GB2312" w:eastAsia="仿宋_GB2312"/>
          <w:color w:val="auto"/>
          <w:sz w:val="32"/>
          <w:highlight w:val="none"/>
          <w:u w:val="none"/>
          <w:lang w:val="en-US" w:eastAsia="zh-CN"/>
        </w:rPr>
        <w:t>建设提速，小清河</w:t>
      </w:r>
      <w:r>
        <w:rPr>
          <w:rFonts w:hint="default" w:ascii="仿宋_GB2312" w:hAnsi="仿宋_GB2312" w:eastAsia="仿宋_GB2312" w:cs="仿宋_GB2312"/>
          <w:color w:val="auto"/>
          <w:spacing w:val="0"/>
          <w:w w:val="100"/>
          <w:kern w:val="21"/>
          <w:sz w:val="32"/>
          <w:szCs w:val="32"/>
          <w:highlight w:val="none"/>
          <w:u w:val="none"/>
          <w:lang w:val="en-US" w:eastAsia="zh-CN"/>
        </w:rPr>
        <w:t>章丘港实现内外贸一体化运输新突破。</w:t>
      </w:r>
      <w:r>
        <w:rPr>
          <w:rFonts w:hint="default" w:ascii="仿宋_GB2312" w:hAnsi="仿宋_GB2312" w:eastAsia="仿宋_GB2312" w:cs="仿宋_GB2312"/>
          <w:color w:val="auto"/>
          <w:kern w:val="21"/>
          <w:sz w:val="32"/>
          <w:szCs w:val="32"/>
          <w:highlight w:val="none"/>
          <w:u w:val="none"/>
          <w:lang w:val="en-US" w:eastAsia="zh-CN"/>
        </w:rPr>
        <w:t>城市精细化管理显著提升，完成市政路灯节能智慧提升一期二期、生活垃圾焚烧发电二期等重点项目建设任务</w:t>
      </w:r>
      <w:r>
        <w:rPr>
          <w:rFonts w:hint="eastAsia" w:ascii="仿宋_GB2312" w:hAnsi="仿宋_GB2312" w:eastAsia="仿宋_GB2312" w:cs="仿宋_GB2312"/>
          <w:color w:val="auto"/>
          <w:spacing w:val="0"/>
          <w:w w:val="100"/>
          <w:kern w:val="21"/>
          <w:sz w:val="32"/>
          <w:szCs w:val="32"/>
          <w:highlight w:val="none"/>
          <w:u w:val="none"/>
          <w:lang w:val="en-US" w:eastAsia="zh-CN"/>
        </w:rPr>
        <w:t>，</w:t>
      </w:r>
      <w:r>
        <w:rPr>
          <w:rFonts w:hint="default" w:ascii="仿宋_GB2312" w:hAnsi="仿宋_GB2312" w:eastAsia="仿宋_GB2312" w:cs="仿宋_GB2312"/>
          <w:color w:val="auto"/>
          <w:spacing w:val="0"/>
          <w:w w:val="100"/>
          <w:kern w:val="21"/>
          <w:sz w:val="32"/>
          <w:szCs w:val="32"/>
          <w:highlight w:val="none"/>
          <w:u w:val="none"/>
          <w:lang w:val="en-US" w:eastAsia="zh-CN"/>
        </w:rPr>
        <w:t>白云水库、云湖水厂及供水管网工程全面建成联合运行，城乡供水一体化、水质提升工程</w:t>
      </w:r>
      <w:r>
        <w:rPr>
          <w:rFonts w:hint="eastAsia" w:ascii="仿宋_GB2312" w:hAnsi="仿宋_GB2312" w:eastAsia="仿宋_GB2312" w:cs="仿宋_GB2312"/>
          <w:color w:val="auto"/>
          <w:spacing w:val="0"/>
          <w:w w:val="100"/>
          <w:kern w:val="21"/>
          <w:sz w:val="32"/>
          <w:szCs w:val="32"/>
          <w:highlight w:val="none"/>
          <w:u w:val="none"/>
          <w:lang w:val="en-US" w:eastAsia="zh-CN"/>
        </w:rPr>
        <w:t>相继</w:t>
      </w:r>
      <w:r>
        <w:rPr>
          <w:rFonts w:hint="default" w:ascii="仿宋_GB2312" w:hAnsi="仿宋_GB2312" w:eastAsia="仿宋_GB2312" w:cs="仿宋_GB2312"/>
          <w:color w:val="auto"/>
          <w:spacing w:val="0"/>
          <w:w w:val="100"/>
          <w:kern w:val="21"/>
          <w:sz w:val="32"/>
          <w:szCs w:val="32"/>
          <w:highlight w:val="none"/>
          <w:u w:val="none"/>
          <w:lang w:val="en-US" w:eastAsia="zh-CN"/>
        </w:rPr>
        <w:t>完成，城乡供水保障能力全面提升</w:t>
      </w:r>
      <w:r>
        <w:rPr>
          <w:rFonts w:hint="default" w:ascii="仿宋_GB2312" w:hAnsi="仿宋_GB2312" w:eastAsia="仿宋_GB2312"/>
          <w:color w:val="auto"/>
          <w:sz w:val="32"/>
          <w:highlight w:val="none"/>
          <w:u w:val="none"/>
          <w:lang w:val="en-US" w:eastAsia="zh-CN"/>
        </w:rPr>
        <w:t>。</w:t>
      </w:r>
    </w:p>
    <w:p>
      <w:pPr>
        <w:keepNext w:val="0"/>
        <w:keepLines w:val="0"/>
        <w:pageBreakBefore w:val="0"/>
        <w:numPr>
          <w:ilvl w:val="0"/>
          <w:numId w:val="0"/>
        </w:numPr>
        <w:kinsoku/>
        <w:wordWrap/>
        <w:topLinePunct/>
        <w:autoSpaceDE/>
        <w:autoSpaceDN/>
        <w:bidi w:val="0"/>
        <w:snapToGrid/>
        <w:spacing w:line="560" w:lineRule="exact"/>
        <w:ind w:firstLine="640" w:firstLineChars="200"/>
        <w:textAlignment w:val="auto"/>
        <w:outlineLvl w:val="9"/>
        <w:rPr>
          <w:rFonts w:hint="eastAsia" w:ascii="仿宋_GB2312" w:hAnsi="仿宋_GB2312" w:eastAsia="仿宋_GB2312" w:cs="仿宋_GB2312"/>
          <w:color w:val="auto"/>
          <w:spacing w:val="0"/>
          <w:w w:val="100"/>
          <w:kern w:val="21"/>
          <w:sz w:val="32"/>
          <w:szCs w:val="32"/>
          <w:highlight w:val="none"/>
          <w:u w:val="none"/>
        </w:rPr>
      </w:pPr>
      <w:r>
        <w:rPr>
          <w:rFonts w:hint="eastAsia" w:ascii="楷体_GB2312" w:hAnsi="楷体_GB2312" w:eastAsia="楷体_GB2312" w:cs="楷体_GB2312"/>
          <w:b w:val="0"/>
          <w:bCs w:val="0"/>
          <w:color w:val="auto"/>
          <w:spacing w:val="0"/>
          <w:w w:val="100"/>
          <w:kern w:val="21"/>
          <w:sz w:val="32"/>
          <w:highlight w:val="none"/>
          <w:u w:val="none"/>
          <w:lang w:val="en-US" w:eastAsia="zh-CN"/>
        </w:rPr>
        <w:t>城乡融合迸发新活力。</w:t>
      </w:r>
      <w:r>
        <w:rPr>
          <w:rFonts w:hint="eastAsia" w:ascii="仿宋_GB2312" w:hAnsi="仿宋_GB2312" w:eastAsia="仿宋_GB2312" w:cs="仿宋_GB2312"/>
          <w:b w:val="0"/>
          <w:bCs w:val="0"/>
          <w:snapToGrid/>
          <w:color w:val="auto"/>
          <w:spacing w:val="0"/>
          <w:w w:val="100"/>
          <w:kern w:val="21"/>
          <w:sz w:val="32"/>
          <w:szCs w:val="32"/>
          <w:highlight w:val="none"/>
          <w:u w:val="none"/>
        </w:rPr>
        <w:t>积极搭建城乡产业协同发展平台，</w:t>
      </w:r>
      <w:r>
        <w:rPr>
          <w:rFonts w:hint="eastAsia" w:ascii="仿宋_GB2312" w:hAnsi="仿宋_GB2312" w:eastAsia="仿宋_GB2312" w:cs="仿宋_GB2312"/>
          <w:color w:val="auto"/>
          <w:spacing w:val="0"/>
          <w:w w:val="100"/>
          <w:kern w:val="21"/>
          <w:sz w:val="32"/>
          <w:szCs w:val="32"/>
          <w:highlight w:val="none"/>
          <w:u w:val="none"/>
        </w:rPr>
        <w:t>学习运用“千万工程”经验，以城乡融合发展为主题，持续推动农业增效益、农民增收入、农村增活力</w:t>
      </w:r>
      <w:r>
        <w:rPr>
          <w:rFonts w:hint="eastAsia" w:ascii="仿宋_GB2312" w:hAnsi="仿宋_GB2312" w:eastAsia="仿宋_GB2312" w:cs="仿宋_GB2312"/>
          <w:color w:val="auto"/>
          <w:spacing w:val="0"/>
          <w:w w:val="100"/>
          <w:kern w:val="21"/>
          <w:sz w:val="32"/>
          <w:szCs w:val="32"/>
          <w:highlight w:val="none"/>
          <w:u w:val="none"/>
          <w:lang w:eastAsia="zh-CN"/>
        </w:rPr>
        <w:t>。</w:t>
      </w:r>
      <w:r>
        <w:rPr>
          <w:rFonts w:hint="eastAsia" w:ascii="仿宋_GB2312" w:hAnsi="仿宋_GB2312" w:eastAsia="仿宋_GB2312" w:cs="仿宋_GB2312"/>
          <w:color w:val="auto"/>
          <w:spacing w:val="0"/>
          <w:w w:val="100"/>
          <w:kern w:val="21"/>
          <w:sz w:val="32"/>
          <w:szCs w:val="32"/>
          <w:highlight w:val="none"/>
          <w:u w:val="none"/>
          <w:lang w:val="en-US" w:eastAsia="zh-CN"/>
        </w:rPr>
        <w:t>农业经济稳定增长，2025年全区农林牧渔业总产值达到192.6亿元，总量稳居全市首位，较“十三五”末增长25%。</w:t>
      </w:r>
      <w:r>
        <w:rPr>
          <w:rFonts w:hint="eastAsia" w:ascii="仿宋_GB2312" w:hAnsi="仿宋_GB2312" w:eastAsia="仿宋_GB2312" w:cs="仿宋_GB2312"/>
          <w:color w:val="auto"/>
          <w:spacing w:val="0"/>
          <w:w w:val="100"/>
          <w:kern w:val="21"/>
          <w:sz w:val="32"/>
          <w:szCs w:val="32"/>
          <w:highlight w:val="none"/>
          <w:u w:val="none"/>
          <w:lang w:eastAsia="zh-CN"/>
        </w:rPr>
        <w:t>城乡居民收入比由“十三五”末的</w:t>
      </w:r>
      <w:r>
        <w:rPr>
          <w:rFonts w:hint="eastAsia" w:ascii="仿宋_GB2312" w:hAnsi="仿宋_GB2312" w:eastAsia="仿宋_GB2312" w:cs="仿宋_GB2312"/>
          <w:color w:val="auto"/>
          <w:spacing w:val="0"/>
          <w:w w:val="100"/>
          <w:kern w:val="21"/>
          <w:sz w:val="32"/>
          <w:szCs w:val="32"/>
          <w:highlight w:val="none"/>
          <w:u w:val="none"/>
          <w:lang w:val="en-US" w:eastAsia="zh-CN"/>
        </w:rPr>
        <w:t>1.76:1降至1.63:1</w:t>
      </w:r>
      <w:r>
        <w:rPr>
          <w:rFonts w:hint="eastAsia" w:ascii="仿宋_GB2312" w:hAnsi="仿宋_GB2312" w:eastAsia="仿宋_GB2312" w:cs="仿宋_GB2312"/>
          <w:color w:val="auto"/>
          <w:spacing w:val="0"/>
          <w:w w:val="100"/>
          <w:kern w:val="21"/>
          <w:sz w:val="32"/>
          <w:szCs w:val="32"/>
          <w:highlight w:val="none"/>
          <w:u w:val="none"/>
        </w:rPr>
        <w:t>。</w:t>
      </w:r>
      <w:r>
        <w:rPr>
          <w:rFonts w:hint="eastAsia" w:ascii="仿宋_GB2312" w:hAnsi="仿宋_GB2312" w:eastAsia="仿宋_GB2312" w:cs="仿宋_GB2312"/>
          <w:color w:val="auto"/>
          <w:spacing w:val="0"/>
          <w:w w:val="100"/>
          <w:kern w:val="21"/>
          <w:sz w:val="32"/>
          <w:szCs w:val="32"/>
          <w:highlight w:val="none"/>
          <w:u w:val="none"/>
          <w:lang w:val="en-US" w:eastAsia="zh-CN"/>
        </w:rPr>
        <w:t>坚决遏制耕地“非农化”、防止耕地“非粮化”，新增耕地2.47万亩，高标准农田总面积达到88.5万亩，粮食产能实现“七连增”，稳定在161万亩、64万吨以上。农业产业稳步发展，创建省级农业产业强镇10个、乡土产业名品村59个，形成了“粮油食品、精致果蔬、高效畜牧、现代种业、章丘大葱、龙山小米、高官甜瓜、花卉药菌、农化服务、乡村旅游”10条重点产业链。市级以上经营主体达到400家，规上农产品加工企业达到53家，市级以上农业品牌产品达到72个，“章丘大葱”列“2024中国地理标志农产品区域公用品牌声誉”第二位。深入实施乡村振兴战略，乡村建设稳妥推进，实施人居环境补短板项目152个，建设省市区三级6个和美乡村片区，创建94个省市和美乡村。获批创建国家乡村振兴示范县，入选“四好农村路”全国示范县、全国名特优新农产品整体推进试点县，获评省级现代农业强县等荣誉。</w:t>
      </w:r>
    </w:p>
    <w:p>
      <w:pPr>
        <w:keepNext w:val="0"/>
        <w:keepLines w:val="0"/>
        <w:pageBreakBefore w:val="0"/>
        <w:numPr>
          <w:ilvl w:val="0"/>
          <w:numId w:val="0"/>
        </w:numPr>
        <w:kinsoku/>
        <w:wordWrap/>
        <w:topLinePunct/>
        <w:autoSpaceDE/>
        <w:autoSpaceDN/>
        <w:bidi w:val="0"/>
        <w:snapToGrid/>
        <w:spacing w:line="560" w:lineRule="exact"/>
        <w:ind w:firstLine="640" w:firstLineChars="200"/>
        <w:textAlignment w:val="auto"/>
        <w:outlineLvl w:val="9"/>
        <w:rPr>
          <w:rFonts w:hint="eastAsia" w:ascii="仿宋_GB2312" w:hAnsi="仿宋_GB2312" w:eastAsia="仿宋_GB2312" w:cs="仿宋_GB2312"/>
          <w:b/>
          <w:bCs/>
          <w:color w:val="auto"/>
          <w:spacing w:val="0"/>
          <w:w w:val="100"/>
          <w:kern w:val="21"/>
          <w:sz w:val="32"/>
          <w:highlight w:val="none"/>
          <w:u w:val="none"/>
          <w:lang w:val="en-US" w:eastAsia="zh-CN"/>
        </w:rPr>
      </w:pPr>
      <w:r>
        <w:rPr>
          <w:rFonts w:hint="eastAsia" w:ascii="楷体_GB2312" w:hAnsi="楷体_GB2312" w:eastAsia="楷体_GB2312" w:cs="楷体_GB2312"/>
          <w:b w:val="0"/>
          <w:bCs w:val="0"/>
          <w:color w:val="auto"/>
          <w:spacing w:val="0"/>
          <w:w w:val="100"/>
          <w:kern w:val="21"/>
          <w:sz w:val="32"/>
          <w:highlight w:val="none"/>
          <w:u w:val="none"/>
          <w:lang w:val="en-US" w:eastAsia="zh-CN"/>
        </w:rPr>
        <w:t>生态环境绘就新画卷。</w:t>
      </w:r>
      <w:r>
        <w:rPr>
          <w:rFonts w:hint="default" w:ascii="仿宋_GB2312" w:hAnsi="仿宋_GB2312" w:eastAsia="仿宋_GB2312"/>
          <w:color w:val="auto"/>
          <w:sz w:val="32"/>
          <w:highlight w:val="none"/>
          <w:u w:val="none"/>
          <w:lang w:val="en-US" w:eastAsia="zh-CN"/>
        </w:rPr>
        <w:t>高标准</w:t>
      </w:r>
      <w:r>
        <w:rPr>
          <w:rFonts w:hint="eastAsia" w:ascii="仿宋_GB2312" w:hAnsi="仿宋_GB2312" w:eastAsia="仿宋_GB2312"/>
          <w:color w:val="auto"/>
          <w:sz w:val="32"/>
          <w:highlight w:val="none"/>
          <w:u w:val="none"/>
          <w:lang w:val="en-US" w:eastAsia="zh-CN"/>
        </w:rPr>
        <w:t>完成</w:t>
      </w:r>
      <w:r>
        <w:rPr>
          <w:rFonts w:hint="default" w:ascii="仿宋_GB2312" w:hAnsi="仿宋_GB2312" w:eastAsia="仿宋_GB2312"/>
          <w:color w:val="auto"/>
          <w:sz w:val="32"/>
          <w:highlight w:val="none"/>
          <w:u w:val="none"/>
          <w:lang w:val="en-US" w:eastAsia="zh-CN"/>
        </w:rPr>
        <w:t>黄河下游章丘段防洪工程，</w:t>
      </w:r>
      <w:r>
        <w:rPr>
          <w:rFonts w:hint="eastAsia" w:ascii="仿宋_GB2312" w:hAnsi="仿宋_GB2312" w:eastAsia="仿宋_GB2312"/>
          <w:color w:val="auto"/>
          <w:sz w:val="32"/>
          <w:highlight w:val="none"/>
          <w:u w:val="none"/>
          <w:lang w:val="en-US" w:eastAsia="zh-CN"/>
        </w:rPr>
        <w:t>精心打造黄河生态风貌带，协调推进济南市东部水源四库连通调水工程，全力守护黄河安澜。</w:t>
      </w:r>
      <w:r>
        <w:rPr>
          <w:rFonts w:hint="default" w:ascii="仿宋_GB2312" w:hAnsi="仿宋_GB2312" w:eastAsia="仿宋_GB2312"/>
          <w:color w:val="auto"/>
          <w:sz w:val="32"/>
          <w:highlight w:val="none"/>
          <w:u w:val="none"/>
          <w:lang w:val="en-US" w:eastAsia="zh-CN"/>
        </w:rPr>
        <w:t>白云湖</w:t>
      </w:r>
      <w:r>
        <w:rPr>
          <w:rFonts w:hint="eastAsia" w:ascii="仿宋_GB2312" w:hAnsi="仿宋_GB2312" w:eastAsia="仿宋_GB2312"/>
          <w:color w:val="auto"/>
          <w:sz w:val="32"/>
          <w:highlight w:val="none"/>
          <w:u w:val="none"/>
          <w:lang w:val="en-US" w:eastAsia="zh-CN"/>
        </w:rPr>
        <w:t>湿地入选国家重要湿地名录，</w:t>
      </w:r>
      <w:r>
        <w:rPr>
          <w:rFonts w:hint="default" w:ascii="仿宋_GB2312" w:hAnsi="仿宋_GB2312" w:eastAsia="仿宋_GB2312"/>
          <w:color w:val="auto"/>
          <w:sz w:val="32"/>
          <w:highlight w:val="none"/>
          <w:u w:val="none"/>
          <w:lang w:val="en-US" w:eastAsia="zh-CN"/>
        </w:rPr>
        <w:t>湿地公园环境整治被评为</w:t>
      </w:r>
      <w:r>
        <w:rPr>
          <w:rFonts w:hint="eastAsia" w:ascii="仿宋_GB2312" w:hAnsi="仿宋_GB2312" w:eastAsia="仿宋_GB2312"/>
          <w:color w:val="auto"/>
          <w:sz w:val="32"/>
          <w:highlight w:val="none"/>
          <w:u w:val="none"/>
          <w:lang w:val="en-US" w:eastAsia="zh-CN"/>
        </w:rPr>
        <w:t>“</w:t>
      </w:r>
      <w:r>
        <w:rPr>
          <w:rFonts w:hint="default" w:ascii="仿宋_GB2312" w:hAnsi="仿宋_GB2312" w:eastAsia="仿宋_GB2312"/>
          <w:color w:val="auto"/>
          <w:sz w:val="32"/>
          <w:highlight w:val="none"/>
          <w:u w:val="none"/>
          <w:lang w:val="en-US" w:eastAsia="zh-CN"/>
        </w:rPr>
        <w:t>以督促治</w:t>
      </w:r>
      <w:r>
        <w:rPr>
          <w:rFonts w:hint="eastAsia" w:ascii="仿宋_GB2312" w:hAnsi="仿宋_GB2312" w:eastAsia="仿宋_GB2312"/>
          <w:color w:val="auto"/>
          <w:sz w:val="32"/>
          <w:highlight w:val="none"/>
          <w:u w:val="none"/>
          <w:lang w:val="en-US" w:eastAsia="zh-CN"/>
        </w:rPr>
        <w:t>”</w:t>
      </w:r>
      <w:r>
        <w:rPr>
          <w:rFonts w:hint="default" w:ascii="仿宋_GB2312" w:hAnsi="仿宋_GB2312" w:eastAsia="仿宋_GB2312"/>
          <w:color w:val="auto"/>
          <w:sz w:val="32"/>
          <w:highlight w:val="none"/>
          <w:u w:val="none"/>
          <w:lang w:val="en-US" w:eastAsia="zh-CN"/>
        </w:rPr>
        <w:t>典型案例</w:t>
      </w:r>
      <w:r>
        <w:rPr>
          <w:rFonts w:hint="eastAsia" w:ascii="仿宋_GB2312" w:hAnsi="仿宋_GB2312" w:eastAsia="仿宋_GB2312"/>
          <w:color w:val="auto"/>
          <w:sz w:val="32"/>
          <w:highlight w:val="none"/>
          <w:u w:val="none"/>
          <w:lang w:val="en-US" w:eastAsia="zh-CN"/>
        </w:rPr>
        <w:t>。累计</w:t>
      </w:r>
      <w:r>
        <w:rPr>
          <w:rFonts w:hint="eastAsia" w:ascii="仿宋_GB2312" w:hAnsi="仿宋_GB2312" w:eastAsia="仿宋_GB2312" w:cs="仿宋_GB2312"/>
          <w:color w:val="auto"/>
          <w:spacing w:val="0"/>
          <w:w w:val="100"/>
          <w:kern w:val="21"/>
          <w:sz w:val="32"/>
          <w:szCs w:val="32"/>
          <w:highlight w:val="none"/>
          <w:u w:val="none" w:color="auto"/>
          <w:lang w:val="en-US" w:eastAsia="zh-CN"/>
        </w:rPr>
        <w:t>造林绿化4.43万亩，森林覆盖率提高1.71个百分点。</w:t>
      </w:r>
      <w:r>
        <w:rPr>
          <w:rFonts w:hint="eastAsia" w:ascii="仿宋_GB2312" w:hAnsi="仿宋_GB2312" w:eastAsia="仿宋_GB2312"/>
          <w:color w:val="auto"/>
          <w:sz w:val="32"/>
          <w:highlight w:val="none"/>
          <w:u w:val="none"/>
          <w:lang w:val="en-US" w:eastAsia="zh-CN"/>
        </w:rPr>
        <w:t>持续聚焦水环境质量提升</w:t>
      </w:r>
      <w:r>
        <w:rPr>
          <w:rFonts w:hint="eastAsia" w:ascii="仿宋_GB2312" w:hAnsi="仿宋_GB2312" w:eastAsia="仿宋_GB2312" w:cs="仿宋_GB2312"/>
          <w:color w:val="auto"/>
          <w:sz w:val="32"/>
          <w:szCs w:val="32"/>
          <w:highlight w:val="none"/>
          <w:u w:val="none"/>
          <w:lang w:val="en-US" w:eastAsia="zh-CN"/>
        </w:rPr>
        <w:t>，建成章丘区第五水质净化厂，全区城市污水处理能力达到21万立方米/日。实施完成第四污水处理厂提标改造，出水水质达到地表水准Ⅳ类标准。</w:t>
      </w:r>
      <w:r>
        <w:rPr>
          <w:rFonts w:hint="eastAsia" w:ascii="仿宋_GB2312" w:hAnsi="仿宋_GB2312" w:eastAsia="仿宋_GB2312" w:cs="仿宋_GB2312"/>
          <w:color w:val="auto"/>
          <w:kern w:val="2"/>
          <w:sz w:val="32"/>
          <w:szCs w:val="32"/>
          <w:highlight w:val="none"/>
          <w:u w:val="none"/>
          <w:lang w:val="en-US" w:eastAsia="zh-CN" w:bidi="ar-SA"/>
        </w:rPr>
        <w:t>国控断面水质连续三年年均值稳定在Ⅱ类，河流考核断面和饮用水水源水质达标率均保持100%</w:t>
      </w:r>
      <w:r>
        <w:rPr>
          <w:rFonts w:hint="eastAsia" w:ascii="仿宋_GB2312" w:hAnsi="仿宋_GB2312" w:eastAsia="仿宋_GB2312"/>
          <w:color w:val="auto"/>
          <w:sz w:val="32"/>
          <w:highlight w:val="none"/>
          <w:u w:val="none"/>
          <w:lang w:val="en-US" w:eastAsia="zh-CN"/>
        </w:rPr>
        <w:t>。全面推进大气污染防治</w:t>
      </w:r>
      <w:r>
        <w:rPr>
          <w:rFonts w:hint="default" w:ascii="仿宋_GB2312" w:hAnsi="仿宋_GB2312" w:eastAsia="仿宋_GB2312"/>
          <w:color w:val="auto"/>
          <w:sz w:val="32"/>
          <w:highlight w:val="none"/>
          <w:u w:val="none"/>
          <w:lang w:val="en-US" w:eastAsia="zh-CN"/>
        </w:rPr>
        <w:t>，2025年底空气质量综合指数3.</w:t>
      </w:r>
      <w:r>
        <w:rPr>
          <w:rFonts w:hint="eastAsia" w:ascii="仿宋_GB2312" w:hAnsi="仿宋_GB2312" w:eastAsia="仿宋_GB2312"/>
          <w:color w:val="auto"/>
          <w:sz w:val="32"/>
          <w:highlight w:val="none"/>
          <w:u w:val="none"/>
          <w:lang w:val="en-US" w:eastAsia="zh-CN"/>
        </w:rPr>
        <w:t>85</w:t>
      </w:r>
      <w:r>
        <w:rPr>
          <w:rFonts w:hint="default" w:ascii="仿宋_GB2312" w:hAnsi="仿宋_GB2312" w:eastAsia="仿宋_GB2312"/>
          <w:color w:val="auto"/>
          <w:sz w:val="32"/>
          <w:highlight w:val="none"/>
          <w:u w:val="none"/>
          <w:lang w:val="en-US" w:eastAsia="zh-CN"/>
        </w:rPr>
        <w:t>，较“十三五”末同期改善29%，PM</w:t>
      </w:r>
      <w:r>
        <w:rPr>
          <w:rFonts w:hint="default" w:ascii="仿宋_GB2312" w:hAnsi="仿宋_GB2312" w:eastAsia="仿宋_GB2312"/>
          <w:color w:val="auto"/>
          <w:sz w:val="32"/>
          <w:highlight w:val="none"/>
          <w:u w:val="none"/>
          <w:vertAlign w:val="subscript"/>
          <w:lang w:val="en-US" w:eastAsia="zh-CN"/>
        </w:rPr>
        <w:t>10</w:t>
      </w:r>
      <w:r>
        <w:rPr>
          <w:rFonts w:hint="default" w:ascii="仿宋_GB2312" w:hAnsi="仿宋_GB2312" w:eastAsia="仿宋_GB2312"/>
          <w:color w:val="auto"/>
          <w:sz w:val="32"/>
          <w:highlight w:val="none"/>
          <w:u w:val="none"/>
          <w:lang w:val="en-US" w:eastAsia="zh-CN"/>
        </w:rPr>
        <w:t>、PM</w:t>
      </w:r>
      <w:r>
        <w:rPr>
          <w:rFonts w:hint="default" w:ascii="仿宋_GB2312" w:hAnsi="仿宋_GB2312" w:eastAsia="仿宋_GB2312"/>
          <w:color w:val="auto"/>
          <w:sz w:val="32"/>
          <w:highlight w:val="none"/>
          <w:u w:val="none"/>
          <w:vertAlign w:val="subscript"/>
          <w:lang w:val="en-US" w:eastAsia="zh-CN"/>
        </w:rPr>
        <w:t>2.5</w:t>
      </w:r>
      <w:r>
        <w:rPr>
          <w:rFonts w:hint="default" w:ascii="仿宋_GB2312" w:hAnsi="仿宋_GB2312" w:eastAsia="仿宋_GB2312"/>
          <w:color w:val="auto"/>
          <w:sz w:val="32"/>
          <w:highlight w:val="none"/>
          <w:u w:val="none"/>
          <w:lang w:val="en-US" w:eastAsia="zh-CN"/>
        </w:rPr>
        <w:t>、SO</w:t>
      </w:r>
      <w:r>
        <w:rPr>
          <w:rFonts w:hint="default" w:ascii="仿宋_GB2312" w:hAnsi="仿宋_GB2312" w:eastAsia="仿宋_GB2312"/>
          <w:color w:val="auto"/>
          <w:sz w:val="32"/>
          <w:highlight w:val="none"/>
          <w:u w:val="none"/>
          <w:vertAlign w:val="subscript"/>
          <w:lang w:val="en-US" w:eastAsia="zh-CN"/>
        </w:rPr>
        <w:t>2</w:t>
      </w:r>
      <w:r>
        <w:rPr>
          <w:rFonts w:hint="default" w:ascii="仿宋_GB2312" w:hAnsi="仿宋_GB2312" w:eastAsia="仿宋_GB2312"/>
          <w:color w:val="auto"/>
          <w:sz w:val="32"/>
          <w:highlight w:val="none"/>
          <w:u w:val="none"/>
          <w:lang w:val="en-US" w:eastAsia="zh-CN"/>
        </w:rPr>
        <w:t>、NO</w:t>
      </w:r>
      <w:r>
        <w:rPr>
          <w:rFonts w:hint="default" w:ascii="仿宋_GB2312" w:hAnsi="仿宋_GB2312" w:eastAsia="仿宋_GB2312"/>
          <w:color w:val="auto"/>
          <w:sz w:val="32"/>
          <w:highlight w:val="none"/>
          <w:u w:val="none"/>
          <w:vertAlign w:val="subscript"/>
          <w:lang w:val="en-US" w:eastAsia="zh-CN"/>
        </w:rPr>
        <w:t>2</w:t>
      </w:r>
      <w:r>
        <w:rPr>
          <w:rFonts w:hint="default" w:ascii="仿宋_GB2312" w:hAnsi="仿宋_GB2312" w:eastAsia="仿宋_GB2312"/>
          <w:color w:val="auto"/>
          <w:sz w:val="32"/>
          <w:highlight w:val="none"/>
          <w:u w:val="none"/>
          <w:lang w:val="en-US" w:eastAsia="zh-CN"/>
        </w:rPr>
        <w:t>、CO年均值达到国家《环境空气质量标准》二级标准</w:t>
      </w:r>
      <w:r>
        <w:rPr>
          <w:rFonts w:hint="eastAsia" w:ascii="仿宋_GB2312" w:hAnsi="仿宋_GB2312" w:eastAsia="仿宋_GB2312"/>
          <w:color w:val="auto"/>
          <w:sz w:val="32"/>
          <w:highlight w:val="none"/>
          <w:u w:val="none"/>
          <w:lang w:val="en-US" w:eastAsia="zh-CN"/>
        </w:rPr>
        <w:t>。稳步推进净土清废行动，将</w:t>
      </w:r>
      <w:r>
        <w:rPr>
          <w:rFonts w:hint="eastAsia" w:ascii="仿宋_GB2312" w:hAnsi="仿宋_GB2312" w:eastAsia="仿宋_GB2312" w:cs="仿宋_GB2312"/>
          <w:b w:val="0"/>
          <w:bCs/>
          <w:caps w:val="0"/>
          <w:color w:val="auto"/>
          <w:spacing w:val="0"/>
          <w:kern w:val="2"/>
          <w:sz w:val="32"/>
          <w:szCs w:val="32"/>
          <w:highlight w:val="none"/>
          <w:lang w:val="en-US" w:eastAsia="zh-CN" w:bidi="ar-SA"/>
        </w:rPr>
        <w:t>符合条件的重点企业纳入土壤污染监管名录</w:t>
      </w:r>
      <w:r>
        <w:rPr>
          <w:rFonts w:hint="eastAsia" w:ascii="仿宋_GB2312" w:hAnsi="仿宋_GB2312" w:eastAsia="仿宋_GB2312"/>
          <w:color w:val="auto"/>
          <w:sz w:val="32"/>
          <w:highlight w:val="none"/>
          <w:u w:val="none"/>
          <w:lang w:val="en-US" w:eastAsia="zh-CN"/>
        </w:rPr>
        <w:t>，成功创建省级水土保持示范区。碳达峰碳中和行动深入实施，</w:t>
      </w:r>
      <w:r>
        <w:rPr>
          <w:rFonts w:hint="eastAsia" w:ascii="仿宋_GB2312" w:hAnsi="仿宋_GB2312" w:eastAsia="仿宋_GB2312" w:cs="仿宋_GB2312"/>
          <w:b w:val="0"/>
          <w:bCs w:val="0"/>
          <w:color w:val="auto"/>
          <w:spacing w:val="0"/>
          <w:w w:val="100"/>
          <w:kern w:val="21"/>
          <w:sz w:val="32"/>
          <w:szCs w:val="31"/>
          <w:highlight w:val="none"/>
          <w:u w:val="none"/>
          <w:lang w:val="en-US" w:eastAsia="zh-CN" w:bidi="ar"/>
        </w:rPr>
        <w:t>全面落实能源“双控”，</w:t>
      </w:r>
      <w:r>
        <w:rPr>
          <w:rFonts w:hint="eastAsia" w:ascii="仿宋_GB2312" w:hAnsi="仿宋_GB2312" w:eastAsia="仿宋_GB2312" w:cs="仿宋_GB2312"/>
          <w:b w:val="0"/>
          <w:bCs w:val="0"/>
          <w:color w:val="000000"/>
          <w:sz w:val="32"/>
          <w:szCs w:val="32"/>
          <w:highlight w:val="none"/>
          <w:lang w:val="en-US" w:eastAsia="zh-CN"/>
        </w:rPr>
        <w:t>能耗强度和煤炭压减分别较2020年下降38%和10%，超额完成目标</w:t>
      </w:r>
      <w:r>
        <w:rPr>
          <w:rFonts w:hint="eastAsia" w:ascii="仿宋_GB2312" w:hAnsi="仿宋_GB2312" w:eastAsia="仿宋_GB2312"/>
          <w:color w:val="auto"/>
          <w:spacing w:val="0"/>
          <w:w w:val="100"/>
          <w:kern w:val="21"/>
          <w:sz w:val="32"/>
          <w:szCs w:val="32"/>
          <w:highlight w:val="none"/>
          <w:u w:val="none"/>
          <w:lang w:eastAsia="zh-CN"/>
        </w:rPr>
        <w:t>。</w:t>
      </w:r>
      <w:r>
        <w:rPr>
          <w:rFonts w:hint="eastAsia" w:ascii="仿宋_GB2312" w:hAnsi="仿宋_GB2312" w:eastAsia="仿宋_GB2312"/>
          <w:color w:val="auto"/>
          <w:spacing w:val="0"/>
          <w:w w:val="100"/>
          <w:kern w:val="21"/>
          <w:sz w:val="32"/>
          <w:szCs w:val="32"/>
          <w:highlight w:val="none"/>
          <w:u w:val="none"/>
        </w:rPr>
        <w:t>率先在全市开展区级绿色制造体系认定，</w:t>
      </w:r>
      <w:r>
        <w:rPr>
          <w:rFonts w:hint="eastAsia" w:ascii="仿宋_GB2312" w:hAnsi="仿宋_GB2312" w:eastAsia="仿宋_GB2312"/>
          <w:color w:val="auto"/>
          <w:spacing w:val="0"/>
          <w:w w:val="100"/>
          <w:kern w:val="21"/>
          <w:sz w:val="32"/>
          <w:szCs w:val="32"/>
          <w:highlight w:val="none"/>
          <w:u w:val="none"/>
          <w:lang w:eastAsia="zh-CN"/>
        </w:rPr>
        <w:t>成功培育国家级绿色工厂</w:t>
      </w:r>
      <w:r>
        <w:rPr>
          <w:rFonts w:hint="eastAsia" w:ascii="仿宋_GB2312" w:hAnsi="仿宋_GB2312" w:eastAsia="仿宋_GB2312"/>
          <w:color w:val="auto"/>
          <w:spacing w:val="0"/>
          <w:w w:val="100"/>
          <w:kern w:val="21"/>
          <w:sz w:val="32"/>
          <w:szCs w:val="32"/>
          <w:highlight w:val="none"/>
          <w:u w:val="none"/>
          <w:lang w:val="en-US" w:eastAsia="zh-CN"/>
        </w:rPr>
        <w:t>8家，</w:t>
      </w:r>
      <w:r>
        <w:rPr>
          <w:rFonts w:hint="eastAsia" w:ascii="仿宋_GB2312" w:hAnsi="仿宋_GB2312" w:eastAsia="仿宋_GB2312"/>
          <w:color w:val="auto"/>
          <w:spacing w:val="0"/>
          <w:w w:val="100"/>
          <w:kern w:val="21"/>
          <w:sz w:val="32"/>
          <w:szCs w:val="32"/>
          <w:highlight w:val="none"/>
          <w:u w:val="none"/>
        </w:rPr>
        <w:t>新</w:t>
      </w:r>
      <w:r>
        <w:rPr>
          <w:rFonts w:hint="eastAsia" w:ascii="仿宋_GB2312" w:hAnsi="仿宋_GB2312" w:eastAsia="仿宋_GB2312"/>
          <w:color w:val="auto"/>
          <w:spacing w:val="0"/>
          <w:w w:val="100"/>
          <w:kern w:val="21"/>
          <w:sz w:val="32"/>
          <w:szCs w:val="32"/>
          <w:highlight w:val="none"/>
          <w:u w:val="none"/>
          <w:lang w:val="en-US" w:eastAsia="zh-CN"/>
        </w:rPr>
        <w:t>认定</w:t>
      </w:r>
      <w:r>
        <w:rPr>
          <w:rFonts w:hint="eastAsia" w:ascii="仿宋_GB2312" w:hAnsi="仿宋_GB2312" w:eastAsia="仿宋_GB2312"/>
          <w:color w:val="auto"/>
          <w:spacing w:val="0"/>
          <w:w w:val="100"/>
          <w:kern w:val="21"/>
          <w:sz w:val="32"/>
          <w:szCs w:val="32"/>
          <w:highlight w:val="none"/>
          <w:u w:val="none"/>
        </w:rPr>
        <w:t>省市级绿色工厂</w:t>
      </w:r>
      <w:r>
        <w:rPr>
          <w:rFonts w:hint="eastAsia" w:ascii="仿宋_GB2312" w:hAnsi="仿宋_GB2312" w:eastAsia="仿宋_GB2312"/>
          <w:color w:val="auto"/>
          <w:spacing w:val="0"/>
          <w:w w:val="100"/>
          <w:kern w:val="21"/>
          <w:sz w:val="32"/>
          <w:szCs w:val="32"/>
          <w:highlight w:val="none"/>
          <w:u w:val="none"/>
          <w:lang w:val="en-US" w:eastAsia="zh-CN"/>
        </w:rPr>
        <w:t>96</w:t>
      </w:r>
      <w:r>
        <w:rPr>
          <w:rFonts w:hint="eastAsia" w:ascii="仿宋_GB2312" w:hAnsi="仿宋_GB2312" w:eastAsia="仿宋_GB2312"/>
          <w:color w:val="auto"/>
          <w:spacing w:val="0"/>
          <w:w w:val="100"/>
          <w:kern w:val="21"/>
          <w:sz w:val="32"/>
          <w:szCs w:val="32"/>
          <w:highlight w:val="none"/>
          <w:u w:val="none"/>
        </w:rPr>
        <w:t>家</w:t>
      </w:r>
      <w:r>
        <w:rPr>
          <w:rFonts w:hint="eastAsia" w:ascii="仿宋_GB2312" w:hAnsi="仿宋_GB2312" w:eastAsia="仿宋_GB2312"/>
          <w:color w:val="auto"/>
          <w:spacing w:val="0"/>
          <w:w w:val="100"/>
          <w:kern w:val="21"/>
          <w:sz w:val="32"/>
          <w:szCs w:val="32"/>
          <w:highlight w:val="none"/>
          <w:u w:val="none"/>
          <w:lang w:eastAsia="zh-CN"/>
        </w:rPr>
        <w:t>、</w:t>
      </w:r>
      <w:r>
        <w:rPr>
          <w:rFonts w:hint="eastAsia" w:ascii="仿宋_GB2312" w:hAnsi="仿宋_GB2312" w:eastAsia="仿宋_GB2312"/>
          <w:color w:val="auto"/>
          <w:spacing w:val="0"/>
          <w:w w:val="100"/>
          <w:kern w:val="21"/>
          <w:sz w:val="32"/>
          <w:szCs w:val="32"/>
          <w:highlight w:val="none"/>
          <w:u w:val="none"/>
        </w:rPr>
        <w:t>省市级绿色供应链管理企业</w:t>
      </w:r>
      <w:r>
        <w:rPr>
          <w:rFonts w:hint="eastAsia" w:ascii="仿宋_GB2312" w:hAnsi="仿宋_GB2312" w:eastAsia="仿宋_GB2312"/>
          <w:color w:val="auto"/>
          <w:spacing w:val="0"/>
          <w:w w:val="100"/>
          <w:kern w:val="21"/>
          <w:sz w:val="32"/>
          <w:szCs w:val="32"/>
          <w:highlight w:val="none"/>
          <w:u w:val="none"/>
          <w:lang w:val="en-US" w:eastAsia="zh-CN"/>
        </w:rPr>
        <w:t>26</w:t>
      </w:r>
      <w:r>
        <w:rPr>
          <w:rFonts w:hint="eastAsia" w:ascii="仿宋_GB2312" w:hAnsi="仿宋_GB2312" w:eastAsia="仿宋_GB2312"/>
          <w:color w:val="auto"/>
          <w:spacing w:val="0"/>
          <w:w w:val="100"/>
          <w:kern w:val="21"/>
          <w:sz w:val="32"/>
          <w:szCs w:val="32"/>
          <w:highlight w:val="none"/>
          <w:u w:val="none"/>
        </w:rPr>
        <w:t>家</w:t>
      </w:r>
      <w:r>
        <w:rPr>
          <w:rFonts w:hint="eastAsia" w:ascii="仿宋_GB2312" w:hAnsi="仿宋_GB2312" w:eastAsia="仿宋_GB2312"/>
          <w:color w:val="auto"/>
          <w:spacing w:val="0"/>
          <w:w w:val="100"/>
          <w:kern w:val="21"/>
          <w:sz w:val="32"/>
          <w:szCs w:val="32"/>
          <w:highlight w:val="none"/>
          <w:u w:val="none"/>
          <w:lang w:eastAsia="zh-CN"/>
        </w:rPr>
        <w:t>，明水</w:t>
      </w:r>
      <w:r>
        <w:rPr>
          <w:rFonts w:hint="eastAsia" w:ascii="仿宋_GB2312" w:hAnsi="仿宋_GB2312" w:eastAsia="仿宋_GB2312"/>
          <w:color w:val="auto"/>
          <w:spacing w:val="0"/>
          <w:w w:val="100"/>
          <w:kern w:val="21"/>
          <w:sz w:val="32"/>
          <w:szCs w:val="32"/>
          <w:highlight w:val="none"/>
          <w:u w:val="none"/>
          <w:lang w:val="en-US" w:eastAsia="zh-CN"/>
        </w:rPr>
        <w:t>经济技术开发</w:t>
      </w:r>
      <w:r>
        <w:rPr>
          <w:rFonts w:hint="eastAsia" w:ascii="仿宋_GB2312" w:hAnsi="仿宋_GB2312" w:eastAsia="仿宋_GB2312"/>
          <w:color w:val="auto"/>
          <w:spacing w:val="0"/>
          <w:w w:val="100"/>
          <w:kern w:val="21"/>
          <w:sz w:val="32"/>
          <w:szCs w:val="32"/>
          <w:highlight w:val="none"/>
          <w:u w:val="none"/>
          <w:lang w:eastAsia="zh-CN"/>
        </w:rPr>
        <w:t>区成功创建国家级绿色工业园区。</w:t>
      </w:r>
    </w:p>
    <w:p>
      <w:pPr>
        <w:keepNext w:val="0"/>
        <w:keepLines w:val="0"/>
        <w:pageBreakBefore w:val="0"/>
        <w:numPr>
          <w:ilvl w:val="0"/>
          <w:numId w:val="0"/>
        </w:numPr>
        <w:kinsoku/>
        <w:wordWrap/>
        <w:topLinePunct/>
        <w:autoSpaceDE/>
        <w:autoSpaceDN/>
        <w:bidi w:val="0"/>
        <w:spacing w:line="560" w:lineRule="exact"/>
        <w:ind w:firstLine="640" w:firstLineChars="200"/>
        <w:textAlignment w:val="auto"/>
        <w:outlineLvl w:val="9"/>
        <w:rPr>
          <w:rFonts w:hint="eastAsia"/>
          <w:color w:val="auto"/>
          <w:highlight w:val="none"/>
          <w:lang w:val="en-US" w:eastAsia="zh-CN"/>
        </w:rPr>
      </w:pPr>
      <w:r>
        <w:rPr>
          <w:rFonts w:hint="eastAsia" w:ascii="楷体_GB2312" w:hAnsi="楷体_GB2312" w:eastAsia="楷体_GB2312" w:cs="楷体_GB2312"/>
          <w:b w:val="0"/>
          <w:bCs w:val="0"/>
          <w:color w:val="auto"/>
          <w:spacing w:val="0"/>
          <w:w w:val="100"/>
          <w:kern w:val="21"/>
          <w:sz w:val="32"/>
          <w:highlight w:val="none"/>
          <w:u w:val="none"/>
          <w:lang w:val="en-US" w:eastAsia="zh-CN"/>
        </w:rPr>
        <w:t>民生福祉取得新成效。</w:t>
      </w:r>
      <w:r>
        <w:rPr>
          <w:rFonts w:hint="default" w:ascii="仿宋_GB2312" w:hAnsi="仿宋_GB2312" w:eastAsia="仿宋_GB2312" w:cs="仿宋_GB2312"/>
          <w:color w:val="auto"/>
          <w:kern w:val="21"/>
          <w:sz w:val="32"/>
          <w:szCs w:val="32"/>
          <w:highlight w:val="none"/>
          <w:u w:val="none"/>
          <w:lang w:val="en-US" w:eastAsia="zh-CN"/>
        </w:rPr>
        <w:t>“十四五”</w:t>
      </w:r>
      <w:r>
        <w:rPr>
          <w:rFonts w:hint="eastAsia" w:ascii="仿宋_GB2312" w:hAnsi="仿宋_GB2312" w:eastAsia="仿宋_GB2312" w:cs="仿宋_GB2312"/>
          <w:color w:val="auto"/>
          <w:kern w:val="21"/>
          <w:sz w:val="32"/>
          <w:szCs w:val="32"/>
          <w:highlight w:val="none"/>
          <w:u w:val="none"/>
          <w:lang w:val="en-US" w:eastAsia="zh-CN"/>
        </w:rPr>
        <w:t>期间</w:t>
      </w:r>
      <w:r>
        <w:rPr>
          <w:rFonts w:hint="default" w:ascii="仿宋_GB2312" w:hAnsi="仿宋_GB2312" w:eastAsia="仿宋_GB2312" w:cs="仿宋_GB2312"/>
          <w:color w:val="auto"/>
          <w:kern w:val="21"/>
          <w:sz w:val="32"/>
          <w:szCs w:val="32"/>
          <w:highlight w:val="none"/>
          <w:u w:val="none"/>
          <w:lang w:val="en-US" w:eastAsia="zh-CN"/>
        </w:rPr>
        <w:t>，累计实施</w:t>
      </w:r>
      <w:r>
        <w:rPr>
          <w:rFonts w:hint="eastAsia" w:ascii="仿宋_GB2312" w:hAnsi="仿宋_GB2312" w:eastAsia="仿宋_GB2312" w:cs="仿宋_GB2312"/>
          <w:color w:val="auto"/>
          <w:kern w:val="21"/>
          <w:sz w:val="32"/>
          <w:szCs w:val="32"/>
          <w:highlight w:val="none"/>
          <w:u w:val="none"/>
          <w:lang w:val="en-US" w:eastAsia="zh-CN"/>
        </w:rPr>
        <w:t>102</w:t>
      </w:r>
      <w:r>
        <w:rPr>
          <w:rFonts w:hint="default" w:ascii="仿宋_GB2312" w:hAnsi="仿宋_GB2312" w:eastAsia="仿宋_GB2312" w:cs="仿宋_GB2312"/>
          <w:color w:val="auto"/>
          <w:kern w:val="21"/>
          <w:sz w:val="32"/>
          <w:szCs w:val="32"/>
          <w:highlight w:val="none"/>
          <w:u w:val="none"/>
          <w:lang w:val="en-US" w:eastAsia="zh-CN"/>
        </w:rPr>
        <w:t>项民生实事。人均可支配收入稳步提升，全区城乡人均可支配收入突破4.5万元，较“十三五”末提升30.8个百分点。</w:t>
      </w:r>
      <w:r>
        <w:rPr>
          <w:rFonts w:hint="default" w:ascii="仿宋_GB2312" w:hAnsi="仿宋_GB2312" w:eastAsia="仿宋_GB2312" w:cs="仿宋_GB2312"/>
          <w:color w:val="auto"/>
          <w:kern w:val="21"/>
          <w:sz w:val="32"/>
          <w:szCs w:val="32"/>
          <w:highlight w:val="none"/>
          <w:u w:val="none"/>
          <w:lang w:val="en-US" w:eastAsia="zh-CN" w:bidi="ar-SA"/>
        </w:rPr>
        <w:t>章丘人力资源服务产业园正式投入运营，建成31处就业驿站，兜底保障更加有力，累计实现城镇新增就业4.04万人</w:t>
      </w:r>
      <w:r>
        <w:rPr>
          <w:rFonts w:hint="eastAsia" w:ascii="仿宋_GB2312" w:hAnsi="仿宋_GB2312" w:eastAsia="仿宋_GB2312" w:cs="仿宋_GB2312"/>
          <w:color w:val="auto"/>
          <w:kern w:val="21"/>
          <w:sz w:val="32"/>
          <w:szCs w:val="32"/>
          <w:highlight w:val="none"/>
          <w:u w:val="none"/>
          <w:lang w:val="en-US" w:eastAsia="zh-CN" w:bidi="ar-SA"/>
        </w:rPr>
        <w:t>。</w:t>
      </w:r>
      <w:r>
        <w:rPr>
          <w:rFonts w:hint="default" w:ascii="仿宋_GB2312" w:hAnsi="仿宋_GB2312" w:eastAsia="仿宋_GB2312" w:cs="仿宋_GB2312"/>
          <w:color w:val="auto"/>
          <w:kern w:val="21"/>
          <w:sz w:val="32"/>
          <w:szCs w:val="32"/>
          <w:highlight w:val="none"/>
          <w:u w:val="none"/>
          <w:lang w:val="en-US" w:eastAsia="zh-CN"/>
        </w:rPr>
        <w:t>建设养老服务设施224处，入选全省县域养老服务体系创新示范区、第二批幸福家园村社互助工程全国联动示范县。</w:t>
      </w:r>
      <w:r>
        <w:rPr>
          <w:rFonts w:hint="eastAsia" w:ascii="仿宋_GB2312" w:hAnsi="仿宋_GB2312" w:eastAsia="仿宋_GB2312" w:cs="仿宋_GB2312"/>
          <w:color w:val="auto"/>
          <w:kern w:val="21"/>
          <w:sz w:val="32"/>
          <w:szCs w:val="32"/>
          <w:highlight w:val="none"/>
          <w:u w:val="none"/>
          <w:lang w:val="en-US" w:eastAsia="zh-CN"/>
        </w:rPr>
        <w:t>五顶山殡仪馆投入使用。钱学森高级中学、新世纪百年高中、东城实验学校、东山小学北校区、章丘中学初中部、绣源小学、清照兰庭实验幼儿园等学校（幼儿园）建成使用。</w:t>
      </w:r>
      <w:r>
        <w:rPr>
          <w:rFonts w:hint="eastAsia" w:ascii="仿宋_GB2312" w:hAnsi="仿宋_GB2312" w:eastAsia="仿宋_GB2312" w:cs="仿宋_GB2312"/>
          <w:color w:val="auto"/>
          <w:sz w:val="32"/>
          <w:szCs w:val="32"/>
          <w:highlight w:val="none"/>
          <w:u w:val="none"/>
          <w:lang w:val="en-US" w:eastAsia="zh-CN"/>
        </w:rPr>
        <w:t>章丘四中绣源河校区、济南山东大学实验学校等加快建设，全区办学条件持续改善</w:t>
      </w:r>
      <w:r>
        <w:rPr>
          <w:rFonts w:hint="default" w:ascii="仿宋_GB2312" w:hAnsi="仿宋_GB2312" w:eastAsia="仿宋_GB2312" w:cs="仿宋_GB2312"/>
          <w:color w:val="auto"/>
          <w:kern w:val="21"/>
          <w:sz w:val="32"/>
          <w:szCs w:val="32"/>
          <w:highlight w:val="none"/>
          <w:u w:val="none"/>
          <w:lang w:val="en-US" w:eastAsia="zh-CN"/>
        </w:rPr>
        <w:t>。</w:t>
      </w:r>
      <w:r>
        <w:rPr>
          <w:rFonts w:hint="eastAsia" w:ascii="仿宋_GB2312" w:eastAsia="仿宋_GB2312"/>
          <w:sz w:val="32"/>
          <w:szCs w:val="32"/>
          <w:highlight w:val="none"/>
          <w:lang w:val="en-US" w:eastAsia="zh-CN"/>
        </w:rPr>
        <w:t>新启用区人民医院东院区、区中医医院、精神卫生中心、北部医疗中心、章丘二院新院区、黄河卫生院综合楼。新建医养结合机构16处，改造提升396处村卫生室。医养结合、妇幼保健、中医药急救工作做法在全国推广，入选省级县域医疗卫生高质量发展项目，成功创建全国中医药文化宣传教育基地，全区居民健康素养水平达到41.54%</w:t>
      </w:r>
      <w:r>
        <w:rPr>
          <w:rFonts w:hint="default" w:ascii="仿宋_GB2312" w:hAnsi="仿宋_GB2312" w:eastAsia="仿宋_GB2312" w:cs="仿宋_GB2312"/>
          <w:color w:val="auto"/>
          <w:kern w:val="21"/>
          <w:sz w:val="32"/>
          <w:szCs w:val="32"/>
          <w:highlight w:val="none"/>
          <w:u w:val="none"/>
          <w:lang w:val="en-US" w:eastAsia="zh-CN"/>
        </w:rPr>
        <w:t>。扎实开展社会保险扩面提质行动，全区职工养老、居民养老、工伤、失业保险参保人数分别达到2</w:t>
      </w:r>
      <w:r>
        <w:rPr>
          <w:rFonts w:hint="eastAsia" w:ascii="仿宋_GB2312" w:hAnsi="仿宋_GB2312" w:eastAsia="仿宋_GB2312" w:cs="仿宋_GB2312"/>
          <w:color w:val="auto"/>
          <w:kern w:val="21"/>
          <w:sz w:val="32"/>
          <w:szCs w:val="32"/>
          <w:highlight w:val="none"/>
          <w:u w:val="none"/>
          <w:lang w:val="en-US" w:eastAsia="zh-CN"/>
        </w:rPr>
        <w:t>8</w:t>
      </w:r>
      <w:r>
        <w:rPr>
          <w:rFonts w:hint="default" w:ascii="仿宋_GB2312" w:hAnsi="仿宋_GB2312" w:eastAsia="仿宋_GB2312" w:cs="仿宋_GB2312"/>
          <w:color w:val="auto"/>
          <w:kern w:val="21"/>
          <w:sz w:val="32"/>
          <w:szCs w:val="32"/>
          <w:highlight w:val="none"/>
          <w:u w:val="none"/>
          <w:lang w:val="en-US" w:eastAsia="zh-CN"/>
        </w:rPr>
        <w:t>万人、5</w:t>
      </w:r>
      <w:r>
        <w:rPr>
          <w:rFonts w:hint="eastAsia" w:ascii="仿宋_GB2312" w:hAnsi="仿宋_GB2312" w:eastAsia="仿宋_GB2312" w:cs="仿宋_GB2312"/>
          <w:color w:val="auto"/>
          <w:kern w:val="21"/>
          <w:sz w:val="32"/>
          <w:szCs w:val="32"/>
          <w:highlight w:val="none"/>
          <w:u w:val="none"/>
          <w:lang w:val="en-US" w:eastAsia="zh-CN"/>
        </w:rPr>
        <w:t>1</w:t>
      </w:r>
      <w:r>
        <w:rPr>
          <w:rFonts w:hint="default" w:ascii="仿宋_GB2312" w:hAnsi="仿宋_GB2312" w:eastAsia="仿宋_GB2312" w:cs="仿宋_GB2312"/>
          <w:color w:val="auto"/>
          <w:kern w:val="21"/>
          <w:sz w:val="32"/>
          <w:szCs w:val="32"/>
          <w:highlight w:val="none"/>
          <w:u w:val="none"/>
          <w:lang w:val="en-US" w:eastAsia="zh-CN"/>
        </w:rPr>
        <w:t>.</w:t>
      </w:r>
      <w:r>
        <w:rPr>
          <w:rFonts w:hint="eastAsia" w:ascii="仿宋_GB2312" w:hAnsi="仿宋_GB2312" w:eastAsia="仿宋_GB2312" w:cs="仿宋_GB2312"/>
          <w:color w:val="auto"/>
          <w:kern w:val="21"/>
          <w:sz w:val="32"/>
          <w:szCs w:val="32"/>
          <w:highlight w:val="none"/>
          <w:u w:val="none"/>
          <w:lang w:val="en-US" w:eastAsia="zh-CN"/>
        </w:rPr>
        <w:t>6</w:t>
      </w:r>
      <w:r>
        <w:rPr>
          <w:rFonts w:hint="default" w:ascii="仿宋_GB2312" w:hAnsi="仿宋_GB2312" w:eastAsia="仿宋_GB2312" w:cs="仿宋_GB2312"/>
          <w:color w:val="auto"/>
          <w:kern w:val="21"/>
          <w:sz w:val="32"/>
          <w:szCs w:val="32"/>
          <w:highlight w:val="none"/>
          <w:u w:val="none"/>
          <w:lang w:val="en-US" w:eastAsia="zh-CN"/>
        </w:rPr>
        <w:t>万人、17.</w:t>
      </w:r>
      <w:r>
        <w:rPr>
          <w:rFonts w:hint="eastAsia" w:ascii="仿宋_GB2312" w:hAnsi="仿宋_GB2312" w:eastAsia="仿宋_GB2312" w:cs="仿宋_GB2312"/>
          <w:color w:val="auto"/>
          <w:kern w:val="21"/>
          <w:sz w:val="32"/>
          <w:szCs w:val="32"/>
          <w:highlight w:val="none"/>
          <w:u w:val="none"/>
          <w:lang w:val="en-US" w:eastAsia="zh-CN"/>
        </w:rPr>
        <w:t>6</w:t>
      </w:r>
      <w:r>
        <w:rPr>
          <w:rFonts w:hint="default" w:ascii="仿宋_GB2312" w:hAnsi="仿宋_GB2312" w:eastAsia="仿宋_GB2312" w:cs="仿宋_GB2312"/>
          <w:color w:val="auto"/>
          <w:kern w:val="21"/>
          <w:sz w:val="32"/>
          <w:szCs w:val="32"/>
          <w:highlight w:val="none"/>
          <w:u w:val="none"/>
          <w:lang w:val="en-US" w:eastAsia="zh-CN"/>
        </w:rPr>
        <w:t>万人、13.</w:t>
      </w:r>
      <w:r>
        <w:rPr>
          <w:rFonts w:hint="eastAsia" w:ascii="仿宋_GB2312" w:hAnsi="仿宋_GB2312" w:eastAsia="仿宋_GB2312" w:cs="仿宋_GB2312"/>
          <w:color w:val="auto"/>
          <w:kern w:val="21"/>
          <w:sz w:val="32"/>
          <w:szCs w:val="32"/>
          <w:highlight w:val="none"/>
          <w:u w:val="none"/>
          <w:lang w:val="en-US" w:eastAsia="zh-CN"/>
        </w:rPr>
        <w:t>5</w:t>
      </w:r>
      <w:r>
        <w:rPr>
          <w:rFonts w:hint="default" w:ascii="仿宋_GB2312" w:hAnsi="仿宋_GB2312" w:eastAsia="仿宋_GB2312" w:cs="仿宋_GB2312"/>
          <w:color w:val="auto"/>
          <w:kern w:val="21"/>
          <w:sz w:val="32"/>
          <w:szCs w:val="32"/>
          <w:highlight w:val="none"/>
          <w:u w:val="none"/>
          <w:lang w:val="en-US" w:eastAsia="zh-CN"/>
        </w:rPr>
        <w:t>万人</w:t>
      </w:r>
      <w:r>
        <w:rPr>
          <w:rFonts w:hint="eastAsia" w:ascii="仿宋_GB2312" w:hAnsi="仿宋_GB2312" w:eastAsia="仿宋_GB2312" w:cs="仿宋_GB2312"/>
          <w:color w:val="auto"/>
          <w:kern w:val="21"/>
          <w:sz w:val="32"/>
          <w:szCs w:val="32"/>
          <w:highlight w:val="none"/>
          <w:u w:val="none"/>
          <w:lang w:val="en-US" w:eastAsia="zh-CN"/>
        </w:rPr>
        <w:t>，</w:t>
      </w:r>
      <w:r>
        <w:rPr>
          <w:rFonts w:hint="default" w:ascii="仿宋_GB2312" w:hAnsi="仿宋_GB2312" w:eastAsia="仿宋_GB2312" w:cs="仿宋_GB2312"/>
          <w:color w:val="auto"/>
          <w:kern w:val="21"/>
          <w:sz w:val="32"/>
          <w:szCs w:val="32"/>
          <w:highlight w:val="none"/>
          <w:u w:val="none"/>
          <w:lang w:val="en-US" w:eastAsia="zh-CN"/>
        </w:rPr>
        <w:t>社会保障范围不断扩大。</w:t>
      </w:r>
      <w:r>
        <w:rPr>
          <w:rFonts w:hint="eastAsia" w:ascii="仿宋_GB2312" w:hAnsi="仿宋_GB2312" w:eastAsia="仿宋_GB2312" w:cs="仿宋_GB2312"/>
          <w:color w:val="auto"/>
          <w:kern w:val="21"/>
          <w:sz w:val="32"/>
          <w:szCs w:val="32"/>
          <w:highlight w:val="none"/>
          <w:u w:val="none"/>
          <w:lang w:val="en-US" w:eastAsia="zh-CN"/>
        </w:rPr>
        <w:t>“十四五”期间完成38个安置房建设任务，总面积1222.1万平方米，3.6万户家庭、11.1万居民乔迁新居。</w:t>
      </w:r>
      <w:r>
        <w:rPr>
          <w:rFonts w:hint="default" w:ascii="仿宋_GB2312" w:hAnsi="仿宋_GB2312" w:eastAsia="仿宋_GB2312" w:cs="仿宋_GB2312"/>
          <w:color w:val="auto"/>
          <w:kern w:val="21"/>
          <w:sz w:val="32"/>
          <w:szCs w:val="32"/>
          <w:highlight w:val="none"/>
          <w:u w:val="none"/>
          <w:lang w:val="en-US" w:eastAsia="zh-CN"/>
        </w:rPr>
        <w:t>持续推动巩固</w:t>
      </w:r>
      <w:r>
        <w:rPr>
          <w:rFonts w:hint="eastAsia" w:ascii="仿宋_GB2312" w:hAnsi="仿宋_GB2312" w:eastAsia="仿宋_GB2312" w:cs="仿宋_GB2312"/>
          <w:color w:val="auto"/>
          <w:kern w:val="21"/>
          <w:sz w:val="32"/>
          <w:szCs w:val="32"/>
          <w:highlight w:val="none"/>
          <w:u w:val="none"/>
          <w:lang w:val="en-US" w:eastAsia="zh-CN"/>
        </w:rPr>
        <w:t>拓展</w:t>
      </w:r>
      <w:r>
        <w:rPr>
          <w:rFonts w:hint="default" w:ascii="仿宋_GB2312" w:hAnsi="仿宋_GB2312" w:eastAsia="仿宋_GB2312" w:cs="仿宋_GB2312"/>
          <w:color w:val="auto"/>
          <w:kern w:val="21"/>
          <w:sz w:val="32"/>
          <w:szCs w:val="32"/>
          <w:highlight w:val="none"/>
          <w:u w:val="none"/>
          <w:lang w:val="en-US" w:eastAsia="zh-CN"/>
        </w:rPr>
        <w:t>脱贫攻坚成果</w:t>
      </w:r>
      <w:r>
        <w:rPr>
          <w:rFonts w:hint="eastAsia" w:ascii="仿宋_GB2312" w:hAnsi="仿宋_GB2312" w:eastAsia="仿宋_GB2312" w:cs="仿宋_GB2312"/>
          <w:color w:val="auto"/>
          <w:kern w:val="21"/>
          <w:sz w:val="32"/>
          <w:szCs w:val="32"/>
          <w:highlight w:val="none"/>
          <w:u w:val="none"/>
          <w:lang w:val="en-US" w:eastAsia="zh-CN"/>
        </w:rPr>
        <w:t>，</w:t>
      </w:r>
      <w:r>
        <w:rPr>
          <w:rFonts w:hint="default" w:ascii="仿宋_GB2312" w:hAnsi="仿宋_GB2312" w:eastAsia="仿宋_GB2312" w:cs="仿宋_GB2312"/>
          <w:color w:val="auto"/>
          <w:kern w:val="21"/>
          <w:sz w:val="32"/>
          <w:szCs w:val="32"/>
          <w:highlight w:val="none"/>
          <w:u w:val="none"/>
          <w:lang w:val="en-US" w:eastAsia="zh-CN"/>
        </w:rPr>
        <w:t>行业帮扶政策总体稳定。</w:t>
      </w:r>
      <w:r>
        <w:rPr>
          <w:rFonts w:hint="eastAsia" w:ascii="仿宋_GB2312" w:hAnsi="仿宋_GB2312" w:eastAsia="仿宋_GB2312" w:cs="仿宋_GB2312"/>
          <w:color w:val="auto"/>
          <w:kern w:val="21"/>
          <w:sz w:val="32"/>
          <w:szCs w:val="32"/>
          <w:highlight w:val="none"/>
          <w:u w:val="none"/>
          <w:lang w:val="en-US" w:eastAsia="zh-CN"/>
        </w:rPr>
        <w:t>率先成立全省首家区级“社会治理综合服务中心”，建成以“区中心为龙头、街道（镇）中心为主体、村（社区）服务站为基础”的三级社会治理综合服务体系，被评为“全省党的二十大维稳安保表现突出区县”。妇女、儿童、残疾人等群体权益保障坚实有力，退役军人服务保障水平全面提升，体育、民族宗教、外事侨务、档案、史志等各项事业实现全面进步。</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outlineLvl w:val="1"/>
        <w:rPr>
          <w:rFonts w:hint="eastAsia" w:ascii="文星标宋" w:hAnsi="文星标宋" w:eastAsia="文星标宋" w:cs="文星标宋"/>
          <w:bCs/>
          <w:color w:val="auto"/>
          <w:kern w:val="0"/>
          <w:sz w:val="32"/>
          <w:szCs w:val="32"/>
          <w:highlight w:val="none"/>
          <w:u w:val="none"/>
          <w:lang w:val="en-US" w:eastAsia="zh-CN" w:bidi="ar"/>
        </w:rPr>
      </w:pPr>
      <w:bookmarkStart w:id="4" w:name="_Toc13733"/>
      <w:bookmarkStart w:id="5" w:name="_Toc30123"/>
      <w:bookmarkStart w:id="6" w:name="_Toc28308"/>
      <w:bookmarkStart w:id="7" w:name="_Toc22118"/>
      <w:r>
        <w:rPr>
          <w:rFonts w:hint="eastAsia" w:ascii="文星标宋" w:hAnsi="文星标宋" w:eastAsia="文星标宋" w:cs="文星标宋"/>
          <w:bCs/>
          <w:color w:val="auto"/>
          <w:kern w:val="0"/>
          <w:sz w:val="32"/>
          <w:szCs w:val="32"/>
          <w:highlight w:val="none"/>
          <w:u w:val="none"/>
          <w:lang w:val="en-US" w:eastAsia="zh-CN" w:bidi="ar"/>
        </w:rPr>
        <w:t>第二节  “十五五”时期国内外环境发生深刻变化</w:t>
      </w:r>
      <w:bookmarkEnd w:id="4"/>
      <w:bookmarkEnd w:id="5"/>
    </w:p>
    <w:bookmarkEnd w:id="6"/>
    <w:bookmarkEnd w:id="7"/>
    <w:p>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u w:val="none" w:color="auto"/>
          <w:lang w:val="en-US" w:eastAsia="zh-CN"/>
        </w:rPr>
      </w:pPr>
      <w:r>
        <w:rPr>
          <w:rFonts w:hint="eastAsia" w:ascii="仿宋_GB2312" w:hAnsi="仿宋_GB2312" w:eastAsia="仿宋_GB2312" w:cs="仿宋_GB2312"/>
          <w:b w:val="0"/>
          <w:bCs w:val="0"/>
          <w:color w:val="auto"/>
          <w:sz w:val="32"/>
          <w:szCs w:val="32"/>
          <w:highlight w:val="none"/>
          <w:u w:val="none" w:color="auto"/>
          <w:lang w:val="en-US" w:eastAsia="zh-CN"/>
        </w:rPr>
        <w:t>当前和今后一个时期，战略机遇和风险挑战并存、不确定难预料因素增多。</w:t>
      </w:r>
      <w:r>
        <w:rPr>
          <w:rFonts w:hint="eastAsia" w:ascii="仿宋_GB2312" w:hAnsi="仿宋_GB2312" w:eastAsia="仿宋_GB2312" w:cs="仿宋_GB2312"/>
          <w:b w:val="0"/>
          <w:bCs w:val="0"/>
          <w:color w:val="auto"/>
          <w:sz w:val="32"/>
          <w:szCs w:val="32"/>
          <w:highlight w:val="none"/>
          <w:u w:val="none" w:color="auto"/>
        </w:rPr>
        <w:t>从国际看，世界百年变局加速演进，国际力量对比深刻调整，新一轮科技革命和产业变革加速突破。同时，世界</w:t>
      </w:r>
      <w:r>
        <w:rPr>
          <w:rFonts w:hint="eastAsia" w:ascii="仿宋_GB2312" w:hAnsi="仿宋_GB2312" w:eastAsia="仿宋_GB2312" w:cs="仿宋_GB2312"/>
          <w:b w:val="0"/>
          <w:bCs w:val="0"/>
          <w:strike w:val="0"/>
          <w:dstrike w:val="0"/>
          <w:color w:val="auto"/>
          <w:sz w:val="32"/>
          <w:szCs w:val="32"/>
          <w:highlight w:val="none"/>
          <w:u w:val="none" w:color="auto"/>
        </w:rPr>
        <w:t>变乱交织、</w:t>
      </w:r>
      <w:r>
        <w:rPr>
          <w:rFonts w:hint="eastAsia" w:ascii="仿宋_GB2312" w:hAnsi="仿宋_GB2312" w:eastAsia="仿宋_GB2312" w:cs="仿宋_GB2312"/>
          <w:b w:val="0"/>
          <w:bCs w:val="0"/>
          <w:color w:val="auto"/>
          <w:sz w:val="32"/>
          <w:szCs w:val="32"/>
          <w:highlight w:val="none"/>
          <w:u w:val="none" w:color="auto"/>
        </w:rPr>
        <w:t>动荡加剧，单边主义、保护主义抬头，大国博弈更加复杂激烈。从国</w:t>
      </w:r>
      <w:r>
        <w:rPr>
          <w:rFonts w:hint="eastAsia" w:ascii="仿宋_GB2312" w:hAnsi="仿宋_GB2312" w:eastAsia="仿宋_GB2312" w:cs="仿宋_GB2312"/>
          <w:b w:val="0"/>
          <w:bCs w:val="0"/>
          <w:color w:val="auto"/>
          <w:sz w:val="32"/>
          <w:szCs w:val="32"/>
          <w:highlight w:val="none"/>
          <w:u w:val="none" w:color="auto"/>
          <w:lang w:val="en-US" w:eastAsia="zh-CN"/>
        </w:rPr>
        <w:t>内</w:t>
      </w:r>
      <w:r>
        <w:rPr>
          <w:rFonts w:hint="eastAsia" w:ascii="仿宋_GB2312" w:hAnsi="仿宋_GB2312" w:eastAsia="仿宋_GB2312" w:cs="仿宋_GB2312"/>
          <w:b w:val="0"/>
          <w:bCs w:val="0"/>
          <w:color w:val="auto"/>
          <w:sz w:val="32"/>
          <w:szCs w:val="32"/>
          <w:highlight w:val="none"/>
          <w:u w:val="none" w:color="auto"/>
        </w:rPr>
        <w:t>看，我国</w:t>
      </w:r>
      <w:r>
        <w:rPr>
          <w:rFonts w:hint="eastAsia" w:ascii="仿宋_GB2312" w:hAnsi="仿宋_GB2312" w:eastAsia="仿宋_GB2312" w:cs="仿宋_GB2312"/>
          <w:b w:val="0"/>
          <w:bCs w:val="0"/>
          <w:color w:val="auto"/>
          <w:sz w:val="32"/>
          <w:szCs w:val="32"/>
          <w:highlight w:val="none"/>
          <w:u w:val="none" w:color="auto"/>
          <w:lang w:val="en-US" w:eastAsia="zh-CN"/>
        </w:rPr>
        <w:t>经济基础稳、优势多、韧性强、潜能大，长期向好的支撑条件和基本趋势没有变，正加速向建成社会主义现代化强国迈进。</w:t>
      </w:r>
      <w:r>
        <w:rPr>
          <w:rFonts w:hint="eastAsia" w:ascii="仿宋_GB2312" w:hAnsi="仿宋_GB2312" w:eastAsia="仿宋_GB2312" w:cs="仿宋_GB2312"/>
          <w:b w:val="0"/>
          <w:bCs w:val="0"/>
          <w:color w:val="auto"/>
          <w:sz w:val="32"/>
          <w:szCs w:val="32"/>
          <w:highlight w:val="none"/>
          <w:u w:val="none" w:color="auto"/>
        </w:rPr>
        <w:t>从省内看</w:t>
      </w:r>
      <w:r>
        <w:rPr>
          <w:rFonts w:hint="eastAsia" w:ascii="仿宋_GB2312" w:hAnsi="仿宋_GB2312" w:eastAsia="仿宋_GB2312" w:cs="仿宋_GB2312"/>
          <w:b w:val="0"/>
          <w:bCs w:val="0"/>
          <w:color w:val="auto"/>
          <w:sz w:val="32"/>
          <w:szCs w:val="32"/>
          <w:highlight w:val="none"/>
          <w:u w:val="none" w:color="auto"/>
          <w:lang w:val="en-US" w:eastAsia="zh-CN"/>
        </w:rPr>
        <w:t>，深入实施“十大工程”，持续塑强“十个新优势”，北方地区经济重要增长极打造稳步推进，绿色低碳高质量发展先行区积厚成势，现代化强省建设内生动力持续激发。</w:t>
      </w:r>
      <w:r>
        <w:rPr>
          <w:rFonts w:hint="eastAsia" w:ascii="仿宋_GB2312" w:hAnsi="仿宋_GB2312" w:eastAsia="仿宋_GB2312" w:cs="仿宋_GB2312"/>
          <w:b w:val="0"/>
          <w:bCs w:val="0"/>
          <w:color w:val="auto"/>
          <w:sz w:val="32"/>
          <w:szCs w:val="32"/>
          <w:highlight w:val="none"/>
          <w:u w:val="none" w:color="auto"/>
        </w:rPr>
        <w:t>从</w:t>
      </w:r>
      <w:r>
        <w:rPr>
          <w:rFonts w:hint="eastAsia" w:ascii="仿宋_GB2312" w:hAnsi="仿宋_GB2312" w:eastAsia="仿宋_GB2312" w:cs="仿宋_GB2312"/>
          <w:b w:val="0"/>
          <w:bCs w:val="0"/>
          <w:color w:val="auto"/>
          <w:sz w:val="32"/>
          <w:szCs w:val="32"/>
          <w:highlight w:val="none"/>
          <w:u w:val="none" w:color="auto"/>
          <w:lang w:val="en-US" w:eastAsia="zh-CN"/>
        </w:rPr>
        <w:t>市</w:t>
      </w:r>
      <w:r>
        <w:rPr>
          <w:rFonts w:hint="eastAsia" w:ascii="仿宋_GB2312" w:hAnsi="仿宋_GB2312" w:eastAsia="仿宋_GB2312" w:cs="仿宋_GB2312"/>
          <w:b w:val="0"/>
          <w:bCs w:val="0"/>
          <w:color w:val="auto"/>
          <w:sz w:val="32"/>
          <w:szCs w:val="32"/>
          <w:highlight w:val="none"/>
          <w:u w:val="none" w:color="auto"/>
        </w:rPr>
        <w:t>内看，</w:t>
      </w:r>
      <w:r>
        <w:rPr>
          <w:rFonts w:hint="eastAsia" w:ascii="仿宋_GB2312" w:hAnsi="仿宋_GB2312" w:eastAsia="仿宋_GB2312" w:cs="仿宋_GB2312"/>
          <w:b w:val="0"/>
          <w:bCs w:val="0"/>
          <w:color w:val="auto"/>
          <w:sz w:val="32"/>
          <w:szCs w:val="32"/>
          <w:highlight w:val="none"/>
          <w:u w:val="none" w:color="auto"/>
          <w:lang w:val="en-US" w:eastAsia="zh-CN"/>
        </w:rPr>
        <w:t>北方先进制造业基地、北方商贸物流中心、区域性科技创新高地建设速度加快，省会城市核心功能不断增强，济南都市圈影响力持续提升，北方地区高质量发展的战略中枢作用更加凸显。</w:t>
      </w:r>
      <w:r>
        <w:rPr>
          <w:rFonts w:hint="eastAsia" w:ascii="仿宋_GB2312" w:hAnsi="仿宋_GB2312" w:eastAsia="仿宋_GB2312" w:cs="仿宋_GB2312"/>
          <w:b w:val="0"/>
          <w:bCs w:val="0"/>
          <w:color w:val="auto"/>
          <w:kern w:val="0"/>
          <w:sz w:val="32"/>
          <w:szCs w:val="32"/>
          <w:highlight w:val="none"/>
          <w:u w:val="none" w:color="auto"/>
          <w:lang w:eastAsia="zh-CN" w:bidi="ar"/>
        </w:rPr>
        <w:t>从我区看，</w:t>
      </w:r>
      <w:r>
        <w:rPr>
          <w:rFonts w:hint="eastAsia" w:ascii="仿宋_GB2312" w:hAnsi="仿宋_GB2312" w:eastAsia="仿宋_GB2312" w:cs="仿宋_GB2312"/>
          <w:b w:val="0"/>
          <w:bCs w:val="0"/>
          <w:color w:val="auto"/>
          <w:kern w:val="0"/>
          <w:sz w:val="32"/>
          <w:szCs w:val="32"/>
          <w:highlight w:val="none"/>
          <w:u w:val="none" w:color="auto"/>
          <w:lang w:val="en-US" w:eastAsia="zh-CN" w:bidi="ar"/>
        </w:rPr>
        <w:t>市委、</w:t>
      </w:r>
      <w:bookmarkStart w:id="158" w:name="_GoBack"/>
      <w:bookmarkEnd w:id="158"/>
      <w:r>
        <w:rPr>
          <w:rFonts w:hint="eastAsia" w:ascii="仿宋_GB2312" w:hAnsi="仿宋_GB2312" w:eastAsia="仿宋_GB2312" w:cs="仿宋_GB2312"/>
          <w:b w:val="0"/>
          <w:bCs w:val="0"/>
          <w:color w:val="auto"/>
          <w:kern w:val="0"/>
          <w:sz w:val="32"/>
          <w:szCs w:val="32"/>
          <w:highlight w:val="none"/>
          <w:u w:val="none" w:color="auto"/>
          <w:lang w:val="en-US" w:eastAsia="zh-CN" w:bidi="ar"/>
        </w:rPr>
        <w:t>市政府赋予章丘“济南都市圈现代化强区、齐鲁科技创新智造高地、龙山泉韵文旅名城、济南校地协同融合示范区”四大功能定位，</w:t>
      </w:r>
      <w:r>
        <w:rPr>
          <w:rFonts w:hint="eastAsia" w:ascii="仿宋_GB2312" w:hAnsi="仿宋_GB2312" w:eastAsia="仿宋_GB2312" w:cs="仿宋_GB2312"/>
          <w:b w:val="0"/>
          <w:bCs w:val="0"/>
          <w:color w:val="auto"/>
          <w:sz w:val="32"/>
          <w:szCs w:val="32"/>
          <w:highlight w:val="none"/>
          <w:u w:val="none" w:color="auto"/>
          <w:lang w:val="en-US" w:eastAsia="zh-CN"/>
        </w:rPr>
        <w:t>全区绿色低碳高质量发展优势将不断扩大，创新能力和发展活力将不断增强，高质量发展新动能将持续跃升，新时代社会主义现代化强区建设步伐将不断加快。</w:t>
      </w:r>
      <w:r>
        <w:rPr>
          <w:rFonts w:hint="eastAsia" w:ascii="仿宋_GB2312" w:hAnsi="仿宋_GB2312" w:eastAsia="仿宋_GB2312" w:cs="仿宋_GB2312"/>
          <w:b w:val="0"/>
          <w:bCs w:val="0"/>
          <w:color w:val="auto"/>
          <w:kern w:val="0"/>
          <w:sz w:val="32"/>
          <w:szCs w:val="32"/>
          <w:highlight w:val="none"/>
          <w:u w:val="none" w:color="auto"/>
          <w:lang w:val="en-US" w:eastAsia="zh-CN" w:bidi="ar"/>
        </w:rPr>
        <w:t>同时，也要清醒认识到，</w:t>
      </w:r>
      <w:r>
        <w:rPr>
          <w:rFonts w:hint="eastAsia" w:ascii="仿宋_GB2312" w:hAnsi="仿宋_GB2312" w:eastAsia="仿宋_GB2312" w:cs="仿宋_GB2312"/>
          <w:b w:val="0"/>
          <w:bCs w:val="0"/>
          <w:color w:val="auto"/>
          <w:sz w:val="32"/>
          <w:szCs w:val="32"/>
          <w:highlight w:val="none"/>
          <w:u w:val="none" w:color="auto"/>
          <w:lang w:val="en-US" w:eastAsia="zh-CN"/>
        </w:rPr>
        <w:t>我区发展仍面临一些困难挑战，传统产业转型动能不足，新兴产业支撑仍需增强，重大项目储备接续不够，科技创新与产业创新融合深度不到位，现代化治理能力和水平有待提升，统筹发展和安全存在薄弱环节等。</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u w:val="none" w:color="auto"/>
          <w:lang w:val="en-US" w:eastAsia="zh-CN"/>
        </w:rPr>
      </w:pPr>
      <w:r>
        <w:rPr>
          <w:rFonts w:hint="eastAsia" w:ascii="仿宋_GB2312" w:hAnsi="仿宋_GB2312" w:eastAsia="仿宋_GB2312" w:cs="仿宋_GB2312"/>
          <w:b w:val="0"/>
          <w:bCs w:val="0"/>
          <w:color w:val="auto"/>
          <w:sz w:val="32"/>
          <w:szCs w:val="32"/>
          <w:highlight w:val="none"/>
          <w:u w:val="none" w:color="auto"/>
          <w:lang w:val="en-US" w:eastAsia="zh-CN"/>
        </w:rPr>
        <w:t>全区上下要深刻领悟“两个确立”的决定性意义，增强“四个意识”、坚定“四个自信”、做到“两个维护”，守正创新、锐意进取，着力巩固拓展优势、破除瓶颈制约、补强短板弱项，努力在现代化强省会建设中担当作为、勇挑大梁。</w:t>
      </w:r>
    </w:p>
    <w:p>
      <w:pPr>
        <w:keepNext w:val="0"/>
        <w:keepLines w:val="0"/>
        <w:pageBreakBefore w:val="0"/>
        <w:widowControl/>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highlight w:val="none"/>
          <w:u w:val="none" w:color="auto"/>
          <w:lang w:val="en-US" w:eastAsia="zh-CN"/>
        </w:rPr>
      </w:pPr>
      <w:r>
        <w:rPr>
          <w:rFonts w:hint="eastAsia" w:ascii="仿宋_GB2312" w:hAnsi="仿宋_GB2312" w:eastAsia="仿宋_GB2312" w:cs="仿宋_GB2312"/>
          <w:b w:val="0"/>
          <w:bCs w:val="0"/>
          <w:color w:val="auto"/>
          <w:sz w:val="32"/>
          <w:szCs w:val="32"/>
          <w:highlight w:val="none"/>
          <w:u w:val="none" w:color="auto"/>
          <w:lang w:val="en-US" w:eastAsia="zh-CN"/>
        </w:rPr>
        <w:br w:type="page"/>
      </w:r>
    </w:p>
    <w:p>
      <w:pPr>
        <w:pStyle w:val="8"/>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outlineLvl w:val="0"/>
        <w:rPr>
          <w:rFonts w:hint="eastAsia" w:ascii="方正小标宋简体" w:hAnsi="方正小标宋简体" w:eastAsia="方正小标宋简体" w:cs="方正小标宋简体"/>
          <w:b w:val="0"/>
          <w:bCs w:val="0"/>
          <w:color w:val="auto"/>
          <w:kern w:val="2"/>
          <w:sz w:val="44"/>
          <w:szCs w:val="44"/>
          <w:highlight w:val="none"/>
          <w:lang w:val="en-US" w:eastAsia="zh-CN" w:bidi="ar-SA"/>
        </w:rPr>
      </w:pPr>
      <w:bookmarkStart w:id="8" w:name="_Toc16730"/>
      <w:bookmarkStart w:id="9" w:name="_Toc20399"/>
      <w:r>
        <w:rPr>
          <w:rFonts w:hint="eastAsia" w:ascii="方正小标宋简体" w:hAnsi="方正小标宋简体" w:eastAsia="方正小标宋简体" w:cs="方正小标宋简体"/>
          <w:b w:val="0"/>
          <w:bCs w:val="0"/>
          <w:color w:val="auto"/>
          <w:kern w:val="2"/>
          <w:sz w:val="44"/>
          <w:szCs w:val="44"/>
          <w:highlight w:val="none"/>
          <w:lang w:val="en-US" w:eastAsia="zh-CN" w:bidi="ar-SA"/>
        </w:rPr>
        <w:t xml:space="preserve">第二章  </w:t>
      </w:r>
      <w:bookmarkEnd w:id="8"/>
      <w:r>
        <w:rPr>
          <w:rFonts w:hint="eastAsia" w:ascii="方正小标宋简体" w:hAnsi="方正小标宋简体" w:eastAsia="方正小标宋简体" w:cs="方正小标宋简体"/>
          <w:b w:val="0"/>
          <w:bCs w:val="0"/>
          <w:color w:val="auto"/>
          <w:kern w:val="2"/>
          <w:sz w:val="44"/>
          <w:szCs w:val="44"/>
          <w:highlight w:val="none"/>
          <w:lang w:val="en-US" w:eastAsia="zh-CN" w:bidi="ar-SA"/>
        </w:rPr>
        <w:t>明确指导思想与战略导向，绘就高质量发展新蓝图</w:t>
      </w:r>
      <w:bookmarkEnd w:id="9"/>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outlineLvl w:val="1"/>
        <w:rPr>
          <w:rFonts w:hint="eastAsia" w:ascii="文星标宋" w:hAnsi="文星标宋" w:eastAsia="文星标宋" w:cs="文星标宋"/>
          <w:bCs/>
          <w:color w:val="auto"/>
          <w:kern w:val="0"/>
          <w:sz w:val="32"/>
          <w:szCs w:val="32"/>
          <w:highlight w:val="none"/>
          <w:u w:val="none"/>
          <w:lang w:val="en-US" w:eastAsia="zh-CN" w:bidi="ar"/>
        </w:rPr>
      </w:pPr>
      <w:bookmarkStart w:id="10" w:name="_Toc3883"/>
      <w:r>
        <w:rPr>
          <w:rFonts w:hint="eastAsia" w:ascii="文星标宋" w:hAnsi="文星标宋" w:eastAsia="文星标宋" w:cs="文星标宋"/>
          <w:bCs/>
          <w:color w:val="auto"/>
          <w:kern w:val="0"/>
          <w:sz w:val="32"/>
          <w:szCs w:val="32"/>
          <w:highlight w:val="none"/>
          <w:u w:val="none"/>
          <w:lang w:val="en-US" w:eastAsia="zh-CN" w:bidi="ar"/>
        </w:rPr>
        <w:t>第一节  指导思想</w:t>
      </w:r>
      <w:bookmarkEnd w:id="10"/>
    </w:p>
    <w:p>
      <w:pPr>
        <w:keepNext w:val="0"/>
        <w:keepLines w:val="0"/>
        <w:pageBreakBefore w:val="0"/>
        <w:kinsoku/>
        <w:wordWrap/>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u w:val="none" w:color="auto"/>
          <w:lang w:val="en-US" w:eastAsia="zh-CN"/>
        </w:rPr>
      </w:pPr>
      <w:r>
        <w:rPr>
          <w:rFonts w:hint="eastAsia" w:ascii="仿宋_GB2312" w:hAnsi="仿宋_GB2312" w:eastAsia="仿宋_GB2312" w:cs="仿宋_GB2312"/>
          <w:color w:val="auto"/>
          <w:sz w:val="32"/>
          <w:szCs w:val="32"/>
          <w:highlight w:val="none"/>
          <w:u w:val="none" w:color="auto"/>
          <w:lang w:val="en-US" w:eastAsia="zh-CN"/>
        </w:rPr>
        <w:t>坚持马克思列宁主义、毛泽东思想、邓小平理论、“三个代表”重要思想、科学发展观，全面贯彻习近平新时代中国特色社会主义思想，深入贯彻党的二十大和二十届历次全会精神，认真落实习近平总书记视察山东重要讲话和重要指示批示精神，统筹推进“五位一体”总体布局，协调推进“四个全面”战略布局，完整准确全面贯彻新发展理念，主动服务和融入新发展格局，坚持稳中求进工作总基调，坚持以经济建设为中心，以推动高质量发展为主题，以改革创新为根本动力，以满足人民日益增长的美好生活需要为根本目的，以全面从严治党为根本保障，对标对表强省会建设重点任务，加快推动产业发展、科技创新、扩大内需、改革开放、城乡融合、乡村振兴、生态品质等方面提质增效，加速推进宜居宜业、活力迸发、和美幸福的现代化城区建设，着力打造</w:t>
      </w:r>
      <w:r>
        <w:rPr>
          <w:rFonts w:hint="eastAsia" w:ascii="仿宋_GB2312" w:hAnsi="仿宋_GB2312" w:eastAsia="仿宋_GB2312" w:cs="仿宋_GB2312"/>
          <w:sz w:val="32"/>
          <w:szCs w:val="32"/>
          <w:highlight w:val="none"/>
          <w:lang w:val="en-US" w:eastAsia="zh-CN"/>
        </w:rPr>
        <w:t>济南都市圈现代化强区、齐鲁科技创新智造高地、龙山泉韵文旅名城、济南校地协同融合示范区</w:t>
      </w:r>
      <w:r>
        <w:rPr>
          <w:rFonts w:hint="eastAsia" w:ascii="仿宋_GB2312" w:hAnsi="仿宋_GB2312" w:eastAsia="仿宋_GB2312" w:cs="仿宋_GB2312"/>
          <w:color w:val="auto"/>
          <w:sz w:val="32"/>
          <w:szCs w:val="32"/>
          <w:highlight w:val="none"/>
          <w:u w:val="none" w:color="auto"/>
          <w:lang w:val="en-US" w:eastAsia="zh-CN"/>
        </w:rPr>
        <w:t>，推动经济实现质的有效提升和量的合理增长，推动人的全面发展、全体人民共同富裕迈出坚实步伐，确保基本建成新时代社会主义现代化强区取得决定性进展。</w:t>
      </w:r>
    </w:p>
    <w:p>
      <w:pPr>
        <w:keepNext w:val="0"/>
        <w:keepLines w:val="0"/>
        <w:pageBreakBefore w:val="0"/>
        <w:widowControl w:val="0"/>
        <w:kinsoku/>
        <w:wordWrap/>
        <w:overflowPunct/>
        <w:topLinePunct w:val="0"/>
        <w:autoSpaceDE/>
        <w:autoSpaceDN/>
        <w:bidi w:val="0"/>
        <w:adjustRightInd/>
        <w:snapToGrid/>
        <w:spacing w:beforeAutospacing="0" w:after="157" w:afterLines="50" w:afterAutospacing="0" w:line="560" w:lineRule="exact"/>
        <w:ind w:firstLine="0" w:firstLineChars="0"/>
        <w:jc w:val="center"/>
        <w:textAlignment w:val="auto"/>
        <w:outlineLvl w:val="1"/>
        <w:rPr>
          <w:rFonts w:hint="eastAsia" w:ascii="黑体" w:hAnsi="黑体" w:eastAsia="黑体" w:cs="黑体"/>
          <w:bCs/>
          <w:color w:val="auto"/>
          <w:kern w:val="0"/>
          <w:sz w:val="32"/>
          <w:szCs w:val="36"/>
          <w:highlight w:val="none"/>
          <w:lang w:val="en-US" w:eastAsia="zh-CN" w:bidi="ar"/>
        </w:rPr>
      </w:pPr>
      <w:bookmarkStart w:id="11" w:name="_Toc3408"/>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outlineLvl w:val="1"/>
        <w:rPr>
          <w:rFonts w:hint="eastAsia" w:ascii="文星标宋" w:hAnsi="文星标宋" w:eastAsia="文星标宋" w:cs="文星标宋"/>
          <w:bCs/>
          <w:color w:val="auto"/>
          <w:kern w:val="0"/>
          <w:sz w:val="32"/>
          <w:szCs w:val="32"/>
          <w:highlight w:val="none"/>
          <w:u w:val="none"/>
          <w:lang w:val="en-US" w:eastAsia="zh-CN" w:bidi="ar"/>
        </w:rPr>
      </w:pPr>
      <w:r>
        <w:rPr>
          <w:rFonts w:hint="eastAsia" w:ascii="文星标宋" w:hAnsi="文星标宋" w:eastAsia="文星标宋" w:cs="文星标宋"/>
          <w:bCs/>
          <w:color w:val="auto"/>
          <w:kern w:val="0"/>
          <w:sz w:val="32"/>
          <w:szCs w:val="32"/>
          <w:highlight w:val="none"/>
          <w:u w:val="none"/>
          <w:lang w:val="en-US" w:eastAsia="zh-CN" w:bidi="ar"/>
        </w:rPr>
        <w:t>第二节  基本原则</w:t>
      </w:r>
      <w:bookmarkEnd w:id="1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坚持党的全面领导。坚持和完善党领导经济社会发展的体制机制，始终同以习近平同志为核心的党中央保持高度一致，切实发挥党总揽全局、协调各方的领导核心作用，把党的领导贯穿发展各方面全过程，确保改革始终沿着正确政治方向前进，为实现经济社会持续健康发展提供根本政治保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坚持人民至上。坚持人民城市人民建、人民城市为人民，始终做到发展为了人民、发展依靠人民、发展成果由人民共享，尽力而为、量力而行，推动基本公共服务均等化、普惠化、优质化，办好更多民生实事，增进民生福祉，让现代化建设成果更多更公平惠及全体人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坚持高质量发展。以新发展理念引领发展，坚定不移纵深推进新旧动能转换，因地制宜发展新质生产力，积极融入新发展格局，切实转变发展方式，推动经济持续健康发展和社会全面进步，实现更高质量、更有效率、更加公平、更可持续、更为安全的发展。</w:t>
      </w:r>
    </w:p>
    <w:p>
      <w:pPr>
        <w:keepNext w:val="0"/>
        <w:keepLines w:val="0"/>
        <w:pageBreakBefore w:val="0"/>
        <w:widowControl w:val="0"/>
        <w:suppressLineNumbers w:val="0"/>
        <w:kinsoku/>
        <w:wordWrap/>
        <w:autoSpaceDE/>
        <w:autoSpaceDN/>
        <w:bidi w:val="0"/>
        <w:spacing w:line="560" w:lineRule="exact"/>
        <w:ind w:firstLine="640" w:firstLineChars="200"/>
        <w:jc w:val="left"/>
        <w:textAlignment w:val="auto"/>
        <w:rPr>
          <w:rFonts w:eastAsia="仿宋_GB2312" w:asciiTheme="minorAscii" w:hAnsiTheme="minorAscii"/>
          <w:b w:val="0"/>
          <w:bCs w:val="0"/>
          <w:color w:val="auto"/>
          <w:sz w:val="32"/>
          <w:highlight w:val="none"/>
        </w:rPr>
      </w:pPr>
      <w:r>
        <w:rPr>
          <w:rFonts w:hint="eastAsia" w:ascii="仿宋_GB2312" w:hAnsi="仿宋_GB2312" w:eastAsia="仿宋_GB2312" w:cs="仿宋_GB2312"/>
          <w:b w:val="0"/>
          <w:bCs w:val="0"/>
          <w:color w:val="auto"/>
          <w:sz w:val="32"/>
          <w:szCs w:val="32"/>
          <w:highlight w:val="none"/>
          <w:lang w:val="en-US" w:eastAsia="zh-CN"/>
        </w:rPr>
        <w:t>坚持全面深化改革。</w:t>
      </w:r>
      <w:r>
        <w:rPr>
          <w:rFonts w:ascii="仿宋_GB2312" w:hAnsi="宋体" w:eastAsia="仿宋_GB2312" w:cs="仿宋_GB2312"/>
          <w:b w:val="0"/>
          <w:bCs w:val="0"/>
          <w:color w:val="auto"/>
          <w:kern w:val="0"/>
          <w:sz w:val="32"/>
          <w:szCs w:val="32"/>
          <w:highlight w:val="none"/>
          <w:lang w:val="en-US" w:eastAsia="zh-CN" w:bidi="ar"/>
        </w:rPr>
        <w:t>坚定不移推进深化改革和扩大开</w:t>
      </w:r>
      <w:r>
        <w:rPr>
          <w:rFonts w:hint="eastAsia" w:ascii="仿宋_GB2312" w:hAnsi="宋体" w:eastAsia="仿宋_GB2312" w:cs="仿宋_GB2312"/>
          <w:b w:val="0"/>
          <w:bCs w:val="0"/>
          <w:color w:val="auto"/>
          <w:kern w:val="0"/>
          <w:sz w:val="32"/>
          <w:szCs w:val="32"/>
          <w:highlight w:val="none"/>
          <w:lang w:val="en-US" w:eastAsia="zh-CN" w:bidi="ar"/>
        </w:rPr>
        <w:t>放，建设高标准市场体系和开放型经济新体制，加快推进治理体系和治理能力现代化，营造市场化、法治化、国际化营商环境，全面提高市场资源配置效率，</w:t>
      </w:r>
      <w:r>
        <w:rPr>
          <w:rFonts w:hint="eastAsia" w:ascii="仿宋_GB2312" w:hAnsi="仿宋_GB2312" w:eastAsia="仿宋_GB2312" w:cs="仿宋_GB2312"/>
          <w:b w:val="0"/>
          <w:bCs w:val="0"/>
          <w:color w:val="auto"/>
          <w:sz w:val="32"/>
          <w:szCs w:val="32"/>
          <w:highlight w:val="none"/>
          <w:lang w:val="en-US" w:eastAsia="zh-CN"/>
        </w:rPr>
        <w:t>持续增强发展动力和社会活力</w:t>
      </w:r>
      <w:r>
        <w:rPr>
          <w:rFonts w:hint="eastAsia" w:ascii="仿宋_GB2312" w:hAnsi="宋体" w:eastAsia="仿宋_GB2312" w:cs="仿宋_GB2312"/>
          <w:b w:val="0"/>
          <w:bCs w:val="0"/>
          <w:color w:val="auto"/>
          <w:kern w:val="0"/>
          <w:sz w:val="32"/>
          <w:szCs w:val="32"/>
          <w:highlight w:val="none"/>
          <w:lang w:val="en-US" w:eastAsia="zh-CN" w:bidi="ar"/>
        </w:rPr>
        <w:t>，充分调</w:t>
      </w:r>
      <w:r>
        <w:rPr>
          <w:rFonts w:ascii="仿宋_GB2312" w:hAnsi="宋体" w:eastAsia="仿宋_GB2312" w:cs="仿宋_GB2312"/>
          <w:b w:val="0"/>
          <w:bCs w:val="0"/>
          <w:color w:val="auto"/>
          <w:kern w:val="0"/>
          <w:sz w:val="32"/>
          <w:szCs w:val="32"/>
          <w:highlight w:val="none"/>
          <w:lang w:val="en-US" w:eastAsia="zh-CN" w:bidi="ar"/>
        </w:rPr>
        <w:t>动全社会积极性。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color w:val="auto"/>
          <w:sz w:val="32"/>
          <w:szCs w:val="32"/>
          <w:highlight w:val="none"/>
        </w:rPr>
        <w:t>坚持有效市场和有为政府相</w:t>
      </w:r>
      <w:r>
        <w:rPr>
          <w:rFonts w:hint="eastAsia" w:ascii="仿宋_GB2312" w:hAnsi="仿宋_GB2312" w:eastAsia="仿宋_GB2312" w:cs="仿宋_GB2312"/>
          <w:color w:val="auto"/>
          <w:sz w:val="32"/>
          <w:szCs w:val="32"/>
          <w:highlight w:val="none"/>
          <w:lang w:eastAsia="zh-CN"/>
        </w:rPr>
        <w:t>结合。充分发挥市场在资源配置中的决定性作用，进一步破除壁垒、畅通循环，建设统一开放、竞争有序的市场体系，为高质量发展注入不竭动力。进一步简政放权，更好发挥政府作用，减少行政审批，降低市场准入门槛，激发市场主体活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坚持统筹发展和安全。</w:t>
      </w:r>
      <w:r>
        <w:rPr>
          <w:rFonts w:hint="eastAsia" w:ascii="仿宋_GB2312" w:hAnsi="宋体" w:eastAsia="仿宋_GB2312" w:cs="仿宋_GB2312"/>
          <w:b w:val="0"/>
          <w:bCs w:val="0"/>
          <w:color w:val="auto"/>
          <w:kern w:val="0"/>
          <w:sz w:val="32"/>
          <w:szCs w:val="32"/>
          <w:highlight w:val="none"/>
          <w:lang w:val="en-US" w:eastAsia="zh-CN" w:bidi="ar"/>
        </w:rPr>
        <w:t>强化底线思维，加强前瞻性思考、全局性谋划、战略性布局、整体性推进，坚持全区一盘棋，更好发挥各方面积极性，着力固根基、扬优势、补短板、强弱项，注重落实国家安全责任制，防范化解重大风险挑战，全面提高灾害防控水平，守护人民生命安全，以新安全格局保障新发展格局。</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outlineLvl w:val="1"/>
        <w:rPr>
          <w:rFonts w:hint="eastAsia" w:ascii="文星标宋" w:hAnsi="文星标宋" w:eastAsia="文星标宋" w:cs="文星标宋"/>
          <w:bCs/>
          <w:color w:val="auto"/>
          <w:kern w:val="0"/>
          <w:sz w:val="32"/>
          <w:szCs w:val="32"/>
          <w:highlight w:val="none"/>
          <w:u w:val="none"/>
          <w:lang w:val="en-US" w:eastAsia="zh-CN" w:bidi="ar"/>
        </w:rPr>
      </w:pPr>
      <w:bookmarkStart w:id="12" w:name="_Toc11654"/>
      <w:r>
        <w:rPr>
          <w:rFonts w:hint="eastAsia" w:ascii="文星标宋" w:hAnsi="文星标宋" w:eastAsia="文星标宋" w:cs="文星标宋"/>
          <w:bCs/>
          <w:color w:val="auto"/>
          <w:kern w:val="0"/>
          <w:sz w:val="32"/>
          <w:szCs w:val="32"/>
          <w:highlight w:val="none"/>
          <w:u w:val="none"/>
          <w:lang w:val="en-US" w:eastAsia="zh-CN" w:bidi="ar"/>
        </w:rPr>
        <w:t>第三节  发展目标</w:t>
      </w:r>
      <w:bookmarkEnd w:id="12"/>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color w:val="auto"/>
          <w:sz w:val="32"/>
          <w:szCs w:val="32"/>
          <w:highlight w:val="none"/>
          <w:u w:val="none" w:color="auto"/>
          <w:lang w:val="en-US" w:eastAsia="zh-CN"/>
        </w:rPr>
      </w:pPr>
      <w:r>
        <w:rPr>
          <w:rFonts w:hint="eastAsia" w:ascii="仿宋_GB2312" w:hAnsi="仿宋_GB2312" w:eastAsia="仿宋_GB2312" w:cs="仿宋_GB2312"/>
          <w:b w:val="0"/>
          <w:bCs w:val="0"/>
          <w:color w:val="auto"/>
          <w:kern w:val="0"/>
          <w:sz w:val="32"/>
          <w:szCs w:val="32"/>
          <w:highlight w:val="none"/>
          <w:u w:val="none" w:color="auto"/>
          <w:lang w:val="en-US" w:eastAsia="zh-CN"/>
        </w:rPr>
        <w:t>经过五年接续奋斗，</w:t>
      </w:r>
      <w:r>
        <w:rPr>
          <w:rFonts w:hint="eastAsia" w:ascii="仿宋_GB2312" w:hAnsi="仿宋_GB2312" w:eastAsia="仿宋_GB2312" w:cs="仿宋_GB2312"/>
          <w:color w:val="auto"/>
          <w:sz w:val="32"/>
          <w:szCs w:val="32"/>
          <w:highlight w:val="none"/>
          <w:u w:val="none" w:color="auto"/>
          <w:lang w:val="en-US" w:eastAsia="zh-CN"/>
        </w:rPr>
        <w:t>聚焦聚力提升城市能级，增强区域核心竞争力，推动城市数智化转型，主要领域现代化进程走在全省区县前列，济南都市圈现代化强区、齐鲁科技创新智造高地、龙山泉韵文旅名城、济南校地协同融合示范区</w:t>
      </w:r>
      <w:r>
        <w:rPr>
          <w:rFonts w:hint="eastAsia" w:ascii="仿宋_GB2312" w:hAnsi="仿宋_GB2312" w:eastAsia="仿宋_GB2312" w:cs="仿宋_GB2312"/>
          <w:b w:val="0"/>
          <w:bCs w:val="0"/>
          <w:color w:val="auto"/>
          <w:sz w:val="32"/>
          <w:szCs w:val="32"/>
          <w:highlight w:val="none"/>
          <w:u w:val="none" w:color="auto"/>
          <w:lang w:val="en-US" w:eastAsia="zh-CN"/>
        </w:rPr>
        <w:t>建设取得显著成效。</w:t>
      </w:r>
    </w:p>
    <w:p>
      <w:pPr>
        <w:keepNext w:val="0"/>
        <w:keepLines w:val="0"/>
        <w:pageBreakBefore w:val="0"/>
        <w:widowControl w:val="0"/>
        <w:suppressLineNumbers w:val="0"/>
        <w:kinsoku/>
        <w:wordWrap/>
        <w:autoSpaceDE/>
        <w:autoSpaceDN/>
        <w:bidi w:val="0"/>
        <w:spacing w:line="560" w:lineRule="exact"/>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val="0"/>
          <w:bCs w:val="0"/>
          <w:color w:val="auto"/>
          <w:kern w:val="0"/>
          <w:sz w:val="32"/>
          <w:szCs w:val="32"/>
          <w:highlight w:val="none"/>
          <w:lang w:bidi="ar-SA"/>
        </w:rPr>
        <w:t>——</w:t>
      </w:r>
      <w:r>
        <w:rPr>
          <w:rFonts w:hint="eastAsia" w:ascii="仿宋_GB2312" w:hAnsi="仿宋_GB2312" w:eastAsia="仿宋_GB2312" w:cs="仿宋_GB2312"/>
          <w:b w:val="0"/>
          <w:bCs w:val="0"/>
          <w:color w:val="auto"/>
          <w:kern w:val="0"/>
          <w:sz w:val="32"/>
          <w:szCs w:val="32"/>
          <w:highlight w:val="none"/>
          <w:lang w:val="en-US" w:eastAsia="zh-CN" w:bidi="ar-SA"/>
        </w:rPr>
        <w:t>高质量发展水平显著提升</w:t>
      </w:r>
      <w:r>
        <w:rPr>
          <w:rFonts w:hint="eastAsia" w:ascii="仿宋_GB2312" w:hAnsi="仿宋_GB2312" w:eastAsia="仿宋_GB2312" w:cs="仿宋_GB2312"/>
          <w:b w:val="0"/>
          <w:bCs w:val="0"/>
          <w:color w:val="auto"/>
          <w:sz w:val="32"/>
          <w:szCs w:val="32"/>
          <w:highlight w:val="none"/>
          <w:lang w:val="en-US" w:eastAsia="zh-CN"/>
        </w:rPr>
        <w:t>。经济发展更多依靠创新驱动和内需拉动，先进制造业、现代服务业和未来产业对经济增长的支撑作用持续增强，形成若干个在省市及行业具有影响力的产业集群和特色平台。</w:t>
      </w:r>
      <w:r>
        <w:rPr>
          <w:rFonts w:hint="eastAsia" w:ascii="仿宋_GB2312" w:hAnsi="仿宋_GB2312" w:eastAsia="仿宋_GB2312" w:cs="仿宋_GB2312"/>
          <w:color w:val="auto"/>
          <w:kern w:val="2"/>
          <w:sz w:val="32"/>
          <w:szCs w:val="32"/>
          <w:highlight w:val="none"/>
          <w:lang w:val="en-US" w:eastAsia="zh-CN" w:bidi="ar"/>
        </w:rPr>
        <w:t>城市核心功能大幅提升，城市软实力全面增强，</w:t>
      </w:r>
      <w:r>
        <w:rPr>
          <w:rFonts w:hint="eastAsia" w:ascii="仿宋_GB2312" w:hAnsi="仿宋_GB2312" w:eastAsia="仿宋_GB2312" w:cs="仿宋_GB2312"/>
          <w:b w:val="0"/>
          <w:bCs w:val="0"/>
          <w:color w:val="auto"/>
          <w:sz w:val="32"/>
          <w:szCs w:val="32"/>
          <w:highlight w:val="none"/>
          <w:lang w:val="en-US" w:eastAsia="zh-CN"/>
        </w:rPr>
        <w:t>地区生产总值年均增长5.1%左右，“3＋2＋2”链群产业规模总量突破1600亿元，服务业增加值GDP占比达到48%左右。</w:t>
      </w:r>
    </w:p>
    <w:p>
      <w:pPr>
        <w:keepNext w:val="0"/>
        <w:keepLines w:val="0"/>
        <w:pageBreakBefore w:val="0"/>
        <w:kinsoku/>
        <w:wordWrap/>
        <w:autoSpaceDE/>
        <w:autoSpaceDN/>
        <w:bidi w:val="0"/>
        <w:adjustRightInd/>
        <w:snapToGrid/>
        <w:spacing w:line="560" w:lineRule="exact"/>
        <w:ind w:firstLine="640" w:firstLineChars="200"/>
        <w:textAlignment w:val="auto"/>
        <w:rPr>
          <w:rFonts w:ascii="Times New Roman" w:hAnsi="Times New Roman" w:eastAsia="仿宋_GB2312" w:cs="Times New Roman"/>
          <w:snapToGrid w:val="0"/>
          <w:color w:val="auto"/>
          <w:kern w:val="0"/>
          <w:sz w:val="32"/>
          <w:szCs w:val="32"/>
          <w:highlight w:val="none"/>
        </w:rPr>
      </w:pPr>
      <w:r>
        <w:rPr>
          <w:rFonts w:hint="eastAsia" w:ascii="仿宋_GB2312" w:hAnsi="仿宋_GB2312" w:eastAsia="仿宋_GB2312" w:cs="仿宋_GB2312"/>
          <w:b w:val="0"/>
          <w:bCs w:val="0"/>
          <w:color w:val="auto"/>
          <w:kern w:val="0"/>
          <w:sz w:val="32"/>
          <w:szCs w:val="32"/>
          <w:highlight w:val="none"/>
          <w:lang w:bidi="ar-SA"/>
        </w:rPr>
        <w:t>——</w:t>
      </w:r>
      <w:r>
        <w:rPr>
          <w:rFonts w:hint="eastAsia" w:ascii="仿宋_GB2312" w:hAnsi="仿宋_GB2312" w:eastAsia="仿宋_GB2312" w:cs="仿宋_GB2312"/>
          <w:color w:val="auto"/>
          <w:sz w:val="32"/>
          <w:szCs w:val="32"/>
          <w:highlight w:val="none"/>
          <w:lang w:val="en-US" w:eastAsia="zh-CN"/>
        </w:rPr>
        <w:t>创新能力显著提升。</w:t>
      </w:r>
      <w:r>
        <w:rPr>
          <w:rFonts w:hint="eastAsia" w:ascii="仿宋_GB2312" w:hAnsi="仿宋_GB2312" w:eastAsia="仿宋_GB2312" w:cs="仿宋_GB2312"/>
          <w:color w:val="auto"/>
          <w:sz w:val="32"/>
          <w:szCs w:val="32"/>
          <w:highlight w:val="none"/>
          <w:u w:val="none" w:color="auto"/>
          <w:lang w:val="en-US" w:eastAsia="zh-CN"/>
        </w:rPr>
        <w:t>推动创新资源、创新要素、创新人才集聚，</w:t>
      </w:r>
      <w:r>
        <w:rPr>
          <w:rFonts w:ascii="Times New Roman" w:hAnsi="Times New Roman" w:eastAsia="仿宋_GB2312" w:cs="Times New Roman"/>
          <w:snapToGrid w:val="0"/>
          <w:color w:val="auto"/>
          <w:kern w:val="0"/>
          <w:sz w:val="32"/>
          <w:szCs w:val="32"/>
          <w:highlight w:val="none"/>
          <w:u w:val="none" w:color="auto"/>
        </w:rPr>
        <w:t>新型研发机构倍增，</w:t>
      </w:r>
      <w:r>
        <w:rPr>
          <w:rFonts w:hint="eastAsia" w:ascii="仿宋_GB2312" w:hAnsi="仿宋_GB2312" w:eastAsia="仿宋_GB2312" w:cs="仿宋_GB2312"/>
          <w:b w:val="0"/>
          <w:bCs w:val="0"/>
          <w:color w:val="auto"/>
          <w:sz w:val="32"/>
          <w:szCs w:val="32"/>
          <w:highlight w:val="none"/>
          <w:u w:val="none" w:color="auto"/>
          <w:lang w:val="en-US" w:eastAsia="zh-CN"/>
        </w:rPr>
        <w:t>校地协同务实合作不断加深，科教产融合质效持续增强，区域创新集成能力全面提升，人才集聚优势加速形成，科技创新体制机制更加完善，高标准打造科技</w:t>
      </w:r>
      <w:r>
        <w:rPr>
          <w:rFonts w:hint="eastAsia" w:ascii="仿宋_GB2312" w:hAnsi="仿宋_GB2312" w:eastAsia="仿宋_GB2312" w:cs="仿宋_GB2312"/>
          <w:color w:val="auto"/>
          <w:sz w:val="32"/>
          <w:szCs w:val="32"/>
          <w:highlight w:val="none"/>
          <w:u w:val="none" w:color="auto"/>
          <w:lang w:val="en-US" w:eastAsia="zh-CN"/>
        </w:rPr>
        <w:t>创新资源高度集聚、成果转化有效、体制机制灵活、创新生态一流的城区</w:t>
      </w:r>
      <w:r>
        <w:rPr>
          <w:rFonts w:ascii="Times New Roman" w:hAnsi="Times New Roman" w:eastAsia="仿宋_GB2312" w:cs="Times New Roman"/>
          <w:snapToGrid w:val="0"/>
          <w:color w:val="auto"/>
          <w:kern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bidi="ar-SA"/>
        </w:rPr>
        <w:t>——城乡融合</w:t>
      </w:r>
      <w:r>
        <w:rPr>
          <w:rFonts w:hint="eastAsia" w:ascii="仿宋_GB2312" w:hAnsi="仿宋_GB2312" w:eastAsia="仿宋_GB2312" w:cs="仿宋_GB2312"/>
          <w:b w:val="0"/>
          <w:bCs w:val="0"/>
          <w:color w:val="auto"/>
          <w:kern w:val="0"/>
          <w:sz w:val="32"/>
          <w:szCs w:val="32"/>
          <w:highlight w:val="none"/>
          <w:lang w:val="en-US" w:eastAsia="zh-CN" w:bidi="ar-SA"/>
        </w:rPr>
        <w:t>显著提升</w:t>
      </w:r>
      <w:r>
        <w:rPr>
          <w:rFonts w:hint="eastAsia" w:ascii="仿宋_GB2312" w:hAnsi="仿宋_GB2312" w:eastAsia="仿宋_GB2312" w:cs="仿宋_GB2312"/>
          <w:b w:val="0"/>
          <w:bCs w:val="0"/>
          <w:color w:val="auto"/>
          <w:sz w:val="32"/>
          <w:szCs w:val="32"/>
          <w:highlight w:val="none"/>
          <w:lang w:val="en-US" w:eastAsia="zh-CN"/>
        </w:rPr>
        <w:t>。</w:t>
      </w:r>
      <w:r>
        <w:rPr>
          <w:rFonts w:hint="eastAsia" w:ascii="仿宋_GB2312" w:hAnsi="仿宋_GB2312" w:eastAsia="仿宋_GB2312" w:cs="仿宋_GB2312"/>
          <w:b w:val="0"/>
          <w:bCs w:val="0"/>
          <w:color w:val="auto"/>
          <w:sz w:val="32"/>
          <w:szCs w:val="32"/>
          <w:highlight w:val="none"/>
          <w:u w:val="none" w:color="auto"/>
          <w:lang w:val="en-US" w:eastAsia="zh-CN"/>
        </w:rPr>
        <w:t>城市空间、产业布局、资源配置更加科学合理，要素功能全面增强，</w:t>
      </w:r>
      <w:r>
        <w:rPr>
          <w:rFonts w:hint="eastAsia" w:ascii="仿宋_GB2312" w:hAnsi="仿宋" w:eastAsia="仿宋_GB2312" w:cs="仿宋_GB2312"/>
          <w:color w:val="auto"/>
          <w:sz w:val="32"/>
          <w:szCs w:val="32"/>
          <w:highlight w:val="none"/>
          <w:u w:val="none" w:color="auto"/>
          <w:lang w:val="en-US" w:eastAsia="zh-CN"/>
        </w:rPr>
        <w:t>产业</w:t>
      </w:r>
      <w:r>
        <w:rPr>
          <w:rFonts w:hint="eastAsia" w:ascii="仿宋_GB2312" w:hAnsi="仿宋" w:eastAsia="仿宋_GB2312" w:cs="仿宋_GB2312"/>
          <w:color w:val="auto"/>
          <w:sz w:val="32"/>
          <w:szCs w:val="32"/>
          <w:highlight w:val="none"/>
          <w:u w:val="none" w:color="auto"/>
        </w:rPr>
        <w:t>集聚能力和辐射带动作用显著提升，</w:t>
      </w:r>
      <w:r>
        <w:rPr>
          <w:rFonts w:hint="eastAsia" w:ascii="仿宋_GB2312" w:hAnsi="仿宋" w:eastAsia="仿宋_GB2312"/>
          <w:color w:val="auto"/>
          <w:sz w:val="32"/>
          <w:szCs w:val="32"/>
          <w:highlight w:val="none"/>
          <w:u w:val="none" w:color="auto"/>
        </w:rPr>
        <w:t>常住人口规模与结构双提升，</w:t>
      </w:r>
      <w:r>
        <w:rPr>
          <w:rFonts w:hint="eastAsia" w:ascii="仿宋_GB2312" w:hAnsi="仿宋_GB2312" w:eastAsia="仿宋_GB2312" w:cs="仿宋_GB2312"/>
          <w:b w:val="0"/>
          <w:bCs w:val="0"/>
          <w:color w:val="auto"/>
          <w:sz w:val="32"/>
          <w:szCs w:val="32"/>
          <w:highlight w:val="none"/>
          <w:u w:val="none" w:color="auto"/>
          <w:lang w:val="en-US" w:eastAsia="zh-CN"/>
        </w:rPr>
        <w:t>城市功能更加健全，全领域推进城乡一体发展，乡村全面振兴继续走在全省全国前列。各类服务配套更加完善，新型基础设施支撑更加有力，内联外畅交通体系基本形成。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bidi="ar-SA"/>
        </w:rPr>
        <w:t>——</w:t>
      </w:r>
      <w:r>
        <w:rPr>
          <w:rFonts w:hint="eastAsia" w:ascii="仿宋_GB2312" w:hAnsi="仿宋_GB2312" w:eastAsia="仿宋_GB2312" w:cs="仿宋_GB2312"/>
          <w:b w:val="0"/>
          <w:bCs w:val="0"/>
          <w:color w:val="auto"/>
          <w:sz w:val="32"/>
          <w:szCs w:val="32"/>
          <w:highlight w:val="none"/>
          <w:lang w:val="en-US" w:eastAsia="zh-CN"/>
        </w:rPr>
        <w:t>开放水平显著提升。落实黄河重大国家战略取得明显成效，区域协调发展能力持续提升，高水平“引进来”“走出去”的开放格局逐步形成，经济外向度稳中有升，重大开放平台建设取得突破，开放型经济体系基本建立。区域投资营商环境持续改善，各类产业链要素与国际市场深度融合，要素市场化配置机制更加健全，市场主体更加充满活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bidi="ar-SA"/>
        </w:rPr>
        <w:t>——生态环境</w:t>
      </w:r>
      <w:r>
        <w:rPr>
          <w:rFonts w:hint="eastAsia" w:ascii="仿宋_GB2312" w:hAnsi="仿宋_GB2312" w:eastAsia="仿宋_GB2312" w:cs="仿宋_GB2312"/>
          <w:b w:val="0"/>
          <w:bCs w:val="0"/>
          <w:color w:val="auto"/>
          <w:kern w:val="0"/>
          <w:sz w:val="32"/>
          <w:szCs w:val="32"/>
          <w:highlight w:val="none"/>
          <w:lang w:val="en-US" w:eastAsia="zh-CN" w:bidi="ar-SA"/>
        </w:rPr>
        <w:t>显著提升</w:t>
      </w:r>
      <w:r>
        <w:rPr>
          <w:rFonts w:hint="eastAsia" w:ascii="仿宋_GB2312" w:hAnsi="仿宋_GB2312" w:eastAsia="仿宋_GB2312" w:cs="仿宋_GB2312"/>
          <w:b w:val="0"/>
          <w:bCs w:val="0"/>
          <w:color w:val="auto"/>
          <w:sz w:val="32"/>
          <w:szCs w:val="32"/>
          <w:highlight w:val="none"/>
          <w:lang w:val="en-US" w:eastAsia="zh-CN"/>
        </w:rPr>
        <w:t>。绿色低碳转型持续发力，新型能源体系更加优化，持续深入打好蓝天、碧水、净土保卫战，主要污染物排放总量持续减少，空气质量优良天数比率完成市下达任务，生态环境和城乡人居环境明显改善，山清水秀、群泉竞涌、绿色宜居的现代化山水园林城市特色更加彰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bidi="ar-SA"/>
        </w:rPr>
        <w:t>——</w:t>
      </w:r>
      <w:r>
        <w:rPr>
          <w:rFonts w:hint="eastAsia" w:ascii="仿宋_GB2312" w:hAnsi="仿宋_GB2312" w:eastAsia="仿宋_GB2312" w:cs="仿宋_GB2312"/>
          <w:b w:val="0"/>
          <w:bCs w:val="0"/>
          <w:color w:val="auto"/>
          <w:sz w:val="32"/>
          <w:szCs w:val="32"/>
          <w:highlight w:val="none"/>
          <w:lang w:val="en-US" w:eastAsia="zh-CN"/>
        </w:rPr>
        <w:t>文明程度显著提升。</w:t>
      </w:r>
      <w:r>
        <w:rPr>
          <w:rFonts w:hint="eastAsia" w:ascii="仿宋_GB2312" w:hAnsi="仿宋_GB2312" w:eastAsia="仿宋_GB2312" w:cs="仿宋_GB2312"/>
          <w:b w:val="0"/>
          <w:bCs w:val="0"/>
          <w:color w:val="auto"/>
          <w:sz w:val="32"/>
          <w:szCs w:val="40"/>
          <w:highlight w:val="none"/>
          <w:u w:val="none" w:color="auto"/>
          <w:lang w:eastAsia="zh-CN"/>
        </w:rPr>
        <w:t>社会主义核心价值观深入践行，</w:t>
      </w:r>
      <w:r>
        <w:rPr>
          <w:rFonts w:hint="eastAsia" w:ascii="仿宋_GB2312" w:hAnsi="仿宋_GB2312" w:eastAsia="仿宋_GB2312" w:cs="仿宋_GB2312"/>
          <w:b w:val="0"/>
          <w:bCs w:val="0"/>
          <w:color w:val="auto"/>
          <w:sz w:val="32"/>
          <w:szCs w:val="40"/>
          <w:highlight w:val="none"/>
          <w:u w:val="none" w:color="auto"/>
          <w:lang w:val="en-US" w:eastAsia="zh-CN"/>
        </w:rPr>
        <w:t>文化事业和文化产业繁荣发展，龙山文化、泉水文化、清照文化影响力持续扩大，文化“两创”活力充分激发，群众精神文化生活更加丰富，“中国龙山 泉韵章丘”城市品牌知名度、美誉度进一步提高，文旅名城建设迈出坚实步伐。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bidi="ar-SA"/>
        </w:rPr>
        <w:t>——</w:t>
      </w:r>
      <w:r>
        <w:rPr>
          <w:rFonts w:hint="eastAsia" w:ascii="仿宋_GB2312" w:hAnsi="仿宋_GB2312" w:eastAsia="仿宋_GB2312" w:cs="仿宋_GB2312"/>
          <w:b w:val="0"/>
          <w:bCs w:val="0"/>
          <w:color w:val="auto"/>
          <w:sz w:val="32"/>
          <w:szCs w:val="32"/>
          <w:highlight w:val="none"/>
          <w:lang w:val="en-US" w:eastAsia="zh-CN"/>
        </w:rPr>
        <w:t>生活品质显著提升。坚持以人的全生命周期需求为导向，推动社会保障和社会事业加快发展，居民收入来源更加广泛，社会就业更加充分，基础教育更加优质均衡，居民健康主要指标达到省内先进水平，全体人民共同富裕取得实质性进展。累计城镇新增就业人数达3.35万人，居民人均可支配收入增长5%以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bidi="ar-SA"/>
        </w:rPr>
        <w:t>——治理</w:t>
      </w:r>
      <w:r>
        <w:rPr>
          <w:rFonts w:hint="eastAsia" w:ascii="仿宋_GB2312" w:hAnsi="仿宋_GB2312" w:eastAsia="仿宋_GB2312" w:cs="仿宋_GB2312"/>
          <w:b w:val="0"/>
          <w:bCs w:val="0"/>
          <w:color w:val="auto"/>
          <w:kern w:val="0"/>
          <w:sz w:val="32"/>
          <w:szCs w:val="32"/>
          <w:highlight w:val="none"/>
          <w:lang w:val="en-US" w:eastAsia="zh-CN" w:bidi="ar-SA"/>
        </w:rPr>
        <w:t>效能显著提升</w:t>
      </w:r>
      <w:r>
        <w:rPr>
          <w:rFonts w:hint="eastAsia" w:ascii="仿宋_GB2312" w:hAnsi="仿宋_GB2312" w:eastAsia="仿宋_GB2312" w:cs="仿宋_GB2312"/>
          <w:b w:val="0"/>
          <w:bCs w:val="0"/>
          <w:color w:val="auto"/>
          <w:sz w:val="32"/>
          <w:szCs w:val="32"/>
          <w:highlight w:val="none"/>
          <w:lang w:val="en-US" w:eastAsia="zh-CN"/>
        </w:rPr>
        <w:t>。全过程人民民主充分展现，城市运行更加安全高效，社会更加和谐稳定，司法公信力充分彰显，社会治理科学化、精细化、智能化水平显著提高，社会治安防控体系更加精准务实，加强社会诚信体系建设，统筹发展和安全的体制机制进一步完善，建成更高水平的平安章丘、法治章丘、诚信章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在此基础上再奋斗五年，到2035年实现经济实力、科教实力大幅跃升，人民生活更加幸福美好，基本建成济南都市圈现代化强区。</w:t>
      </w:r>
    </w:p>
    <w:p>
      <w:pPr>
        <w:keepNext w:val="0"/>
        <w:keepLines w:val="0"/>
        <w:pageBreakBefore w:val="0"/>
        <w:widowControl w:val="0"/>
        <w:kinsoku/>
        <w:wordWrap/>
        <w:overflowPunct w:val="0"/>
        <w:topLinePunct w:val="0"/>
        <w:autoSpaceDE/>
        <w:autoSpaceDN/>
        <w:bidi w:val="0"/>
        <w:adjustRightInd/>
        <w:snapToGrid/>
        <w:spacing w:after="0" w:afterLines="0" w:afterAutospacing="0" w:line="600" w:lineRule="exact"/>
        <w:ind w:left="0" w:leftChars="0" w:firstLine="0" w:firstLineChars="0"/>
        <w:jc w:val="center"/>
        <w:textAlignment w:val="auto"/>
        <w:rPr>
          <w:rFonts w:hint="eastAsia" w:ascii="楷体_GB2312" w:hAnsi="楷体_GB2312" w:eastAsia="楷体_GB2312" w:cs="楷体_GB2312"/>
          <w:b w:val="0"/>
          <w:bCs w:val="0"/>
          <w:color w:val="auto"/>
          <w:kern w:val="2"/>
          <w:sz w:val="28"/>
          <w:szCs w:val="28"/>
          <w:highlight w:val="none"/>
          <w:u w:val="none"/>
          <w:vertAlign w:val="baseline"/>
          <w:lang w:val="en-US" w:eastAsia="zh-CN" w:bidi="ar-SA"/>
        </w:rPr>
      </w:pPr>
      <w:r>
        <w:rPr>
          <w:rFonts w:hint="eastAsia" w:ascii="楷体_GB2312" w:hAnsi="楷体_GB2312" w:eastAsia="楷体_GB2312" w:cs="楷体_GB2312"/>
          <w:b w:val="0"/>
          <w:bCs w:val="0"/>
          <w:color w:val="auto"/>
          <w:kern w:val="2"/>
          <w:sz w:val="28"/>
          <w:szCs w:val="28"/>
          <w:highlight w:val="none"/>
          <w:u w:val="none"/>
          <w:vertAlign w:val="baseline"/>
          <w:lang w:val="en-US" w:eastAsia="zh-CN" w:bidi="ar-SA"/>
        </w:rPr>
        <w:t>专栏1  “十五五”时期经济社会发展主要指标</w:t>
      </w:r>
    </w:p>
    <w:tbl>
      <w:tblPr>
        <w:tblStyle w:val="16"/>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0"/>
        <w:gridCol w:w="2001"/>
        <w:gridCol w:w="2293"/>
        <w:gridCol w:w="1020"/>
        <w:gridCol w:w="940"/>
        <w:gridCol w:w="1194"/>
        <w:gridCol w:w="972"/>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4" w:hRule="atLeast"/>
          <w:tblHeader/>
          <w:jc w:val="center"/>
        </w:trPr>
        <w:tc>
          <w:tcPr>
            <w:tcW w:w="270" w:type="pct"/>
            <w:tcBorders>
              <w:top w:val="single" w:color="auto" w:sz="8" w:space="0"/>
              <w:left w:val="nil"/>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黑体" w:hAnsi="黑体" w:eastAsia="黑体" w:cs="黑体"/>
                <w:b w:val="0"/>
                <w:bCs w:val="0"/>
                <w:color w:val="auto"/>
                <w:sz w:val="24"/>
                <w:szCs w:val="32"/>
                <w:highlight w:val="none"/>
                <w:u w:val="none" w:color="auto"/>
              </w:rPr>
            </w:pPr>
            <w:r>
              <w:rPr>
                <w:rFonts w:hint="eastAsia" w:ascii="黑体" w:hAnsi="黑体" w:eastAsia="黑体" w:cs="黑体"/>
                <w:b w:val="0"/>
                <w:bCs w:val="0"/>
                <w:color w:val="auto"/>
                <w:sz w:val="24"/>
                <w:szCs w:val="32"/>
                <w:highlight w:val="none"/>
                <w:u w:val="none" w:color="auto"/>
              </w:rPr>
              <w:t>序</w:t>
            </w:r>
          </w:p>
          <w:p>
            <w:pPr>
              <w:overflowPunct w:val="0"/>
              <w:spacing w:line="480" w:lineRule="exact"/>
              <w:ind w:firstLine="0" w:firstLineChars="0"/>
              <w:jc w:val="center"/>
              <w:rPr>
                <w:rFonts w:hint="eastAsia" w:ascii="黑体" w:hAnsi="黑体" w:eastAsia="黑体" w:cs="黑体"/>
                <w:b w:val="0"/>
                <w:bCs w:val="0"/>
                <w:color w:val="auto"/>
                <w:sz w:val="24"/>
                <w:szCs w:val="32"/>
                <w:highlight w:val="none"/>
                <w:u w:val="none" w:color="auto"/>
              </w:rPr>
            </w:pPr>
            <w:r>
              <w:rPr>
                <w:rFonts w:hint="eastAsia" w:ascii="黑体" w:hAnsi="黑体" w:eastAsia="黑体" w:cs="黑体"/>
                <w:b w:val="0"/>
                <w:bCs w:val="0"/>
                <w:color w:val="auto"/>
                <w:sz w:val="24"/>
                <w:szCs w:val="32"/>
                <w:highlight w:val="none"/>
                <w:u w:val="none" w:color="auto"/>
              </w:rPr>
              <w:t>号</w:t>
            </w:r>
          </w:p>
        </w:tc>
        <w:tc>
          <w:tcPr>
            <w:tcW w:w="2412" w:type="pct"/>
            <w:gridSpan w:val="2"/>
            <w:tcBorders>
              <w:top w:val="single" w:color="auto" w:sz="8"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黑体" w:hAnsi="黑体" w:eastAsia="黑体" w:cs="黑体"/>
                <w:b w:val="0"/>
                <w:bCs w:val="0"/>
                <w:color w:val="auto"/>
                <w:sz w:val="24"/>
                <w:szCs w:val="32"/>
                <w:highlight w:val="none"/>
                <w:u w:val="none" w:color="auto"/>
              </w:rPr>
            </w:pPr>
            <w:r>
              <w:rPr>
                <w:rFonts w:hint="eastAsia" w:ascii="黑体" w:hAnsi="黑体" w:eastAsia="黑体" w:cs="黑体"/>
                <w:b w:val="0"/>
                <w:bCs w:val="0"/>
                <w:color w:val="auto"/>
                <w:sz w:val="24"/>
                <w:szCs w:val="32"/>
                <w:highlight w:val="none"/>
                <w:u w:val="none" w:color="auto"/>
              </w:rPr>
              <w:t>指 标</w:t>
            </w:r>
          </w:p>
        </w:tc>
        <w:tc>
          <w:tcPr>
            <w:tcW w:w="573" w:type="pct"/>
            <w:tcBorders>
              <w:top w:val="single" w:color="auto" w:sz="8"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黑体" w:hAnsi="黑体" w:eastAsia="黑体" w:cs="黑体"/>
                <w:b w:val="0"/>
                <w:bCs w:val="0"/>
                <w:color w:val="auto"/>
                <w:sz w:val="24"/>
                <w:szCs w:val="32"/>
                <w:highlight w:val="none"/>
                <w:u w:val="none" w:color="auto"/>
              </w:rPr>
            </w:pPr>
            <w:r>
              <w:rPr>
                <w:rFonts w:hint="eastAsia" w:ascii="黑体" w:hAnsi="黑体" w:eastAsia="黑体" w:cs="黑体"/>
                <w:b w:val="0"/>
                <w:bCs w:val="0"/>
                <w:color w:val="auto"/>
                <w:sz w:val="24"/>
                <w:szCs w:val="32"/>
                <w:highlight w:val="none"/>
                <w:u w:val="none" w:color="auto"/>
              </w:rPr>
              <w:t>2025年</w:t>
            </w:r>
          </w:p>
        </w:tc>
        <w:tc>
          <w:tcPr>
            <w:tcW w:w="528" w:type="pct"/>
            <w:tcBorders>
              <w:top w:val="single" w:color="auto" w:sz="8"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黑体" w:hAnsi="黑体" w:eastAsia="黑体" w:cs="黑体"/>
                <w:b w:val="0"/>
                <w:bCs w:val="0"/>
                <w:color w:val="auto"/>
                <w:sz w:val="24"/>
                <w:szCs w:val="32"/>
                <w:highlight w:val="none"/>
                <w:u w:val="none" w:color="auto"/>
              </w:rPr>
            </w:pPr>
            <w:r>
              <w:rPr>
                <w:rFonts w:hint="eastAsia" w:ascii="黑体" w:hAnsi="黑体" w:eastAsia="黑体" w:cs="黑体"/>
                <w:b w:val="0"/>
                <w:bCs w:val="0"/>
                <w:color w:val="auto"/>
                <w:sz w:val="24"/>
                <w:szCs w:val="32"/>
                <w:highlight w:val="none"/>
                <w:u w:val="none" w:color="auto"/>
              </w:rPr>
              <w:t>2030年</w:t>
            </w:r>
          </w:p>
        </w:tc>
        <w:tc>
          <w:tcPr>
            <w:tcW w:w="671" w:type="pct"/>
            <w:tcBorders>
              <w:top w:val="single" w:color="auto" w:sz="8"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黑体" w:hAnsi="黑体" w:eastAsia="黑体" w:cs="黑体"/>
                <w:b w:val="0"/>
                <w:bCs w:val="0"/>
                <w:color w:val="auto"/>
                <w:sz w:val="24"/>
                <w:szCs w:val="32"/>
                <w:highlight w:val="none"/>
                <w:u w:val="none" w:color="auto"/>
                <w:lang w:val="en-US" w:eastAsia="zh-CN"/>
              </w:rPr>
            </w:pPr>
            <w:r>
              <w:rPr>
                <w:rFonts w:hint="eastAsia" w:ascii="黑体" w:hAnsi="黑体" w:eastAsia="黑体" w:cs="黑体"/>
                <w:b w:val="0"/>
                <w:bCs w:val="0"/>
                <w:color w:val="auto"/>
                <w:sz w:val="24"/>
                <w:szCs w:val="32"/>
                <w:highlight w:val="none"/>
                <w:u w:val="none" w:color="auto"/>
              </w:rPr>
              <w:t>年均</w:t>
            </w:r>
            <w:r>
              <w:rPr>
                <w:rFonts w:hint="eastAsia" w:ascii="黑体" w:hAnsi="黑体" w:eastAsia="黑体" w:cs="黑体"/>
                <w:b w:val="0"/>
                <w:bCs w:val="0"/>
                <w:color w:val="auto"/>
                <w:sz w:val="24"/>
                <w:szCs w:val="32"/>
                <w:highlight w:val="none"/>
                <w:u w:val="none" w:color="auto"/>
                <w:lang w:val="en-US" w:eastAsia="zh-CN"/>
              </w:rPr>
              <w:t>/</w:t>
            </w:r>
          </w:p>
          <w:p>
            <w:pPr>
              <w:overflowPunct w:val="0"/>
              <w:spacing w:line="480" w:lineRule="exact"/>
              <w:ind w:firstLine="0" w:firstLineChars="0"/>
              <w:jc w:val="center"/>
              <w:rPr>
                <w:rFonts w:hint="default" w:ascii="黑体" w:hAnsi="黑体" w:eastAsia="黑体" w:cs="黑体"/>
                <w:b w:val="0"/>
                <w:bCs w:val="0"/>
                <w:color w:val="auto"/>
                <w:sz w:val="24"/>
                <w:szCs w:val="32"/>
                <w:highlight w:val="none"/>
                <w:u w:val="none" w:color="auto"/>
                <w:lang w:val="en-US" w:eastAsia="zh-CN"/>
              </w:rPr>
            </w:pPr>
            <w:r>
              <w:rPr>
                <w:rFonts w:hint="eastAsia" w:ascii="黑体" w:hAnsi="黑体" w:eastAsia="黑体" w:cs="黑体"/>
                <w:b w:val="0"/>
                <w:bCs w:val="0"/>
                <w:color w:val="auto"/>
                <w:sz w:val="24"/>
                <w:szCs w:val="32"/>
                <w:highlight w:val="none"/>
                <w:u w:val="none" w:color="auto"/>
                <w:lang w:val="en-US" w:eastAsia="zh-CN"/>
              </w:rPr>
              <w:t>〔累计〕</w:t>
            </w:r>
          </w:p>
        </w:tc>
        <w:tc>
          <w:tcPr>
            <w:tcW w:w="543" w:type="pct"/>
            <w:tcBorders>
              <w:top w:val="single" w:color="auto" w:sz="8" w:space="0"/>
              <w:left w:val="single" w:color="auto" w:sz="4" w:space="0"/>
              <w:bottom w:val="single" w:color="auto" w:sz="4" w:space="0"/>
              <w:right w:val="nil"/>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黑体" w:hAnsi="黑体" w:eastAsia="黑体" w:cs="黑体"/>
                <w:b w:val="0"/>
                <w:bCs w:val="0"/>
                <w:color w:val="auto"/>
                <w:sz w:val="24"/>
                <w:szCs w:val="32"/>
                <w:highlight w:val="none"/>
                <w:u w:val="none" w:color="auto"/>
              </w:rPr>
            </w:pPr>
            <w:r>
              <w:rPr>
                <w:rFonts w:hint="eastAsia" w:ascii="黑体" w:hAnsi="黑体" w:eastAsia="黑体" w:cs="黑体"/>
                <w:b w:val="0"/>
                <w:bCs w:val="0"/>
                <w:color w:val="auto"/>
                <w:sz w:val="24"/>
                <w:szCs w:val="32"/>
                <w:highlight w:val="none"/>
                <w:u w:val="none" w:color="auto"/>
              </w:rPr>
              <w:t>属性</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5000" w:type="pct"/>
            <w:gridSpan w:val="7"/>
            <w:tcBorders>
              <w:top w:val="single" w:color="auto" w:sz="4" w:space="0"/>
              <w:left w:val="nil"/>
              <w:bottom w:val="single" w:color="auto" w:sz="4" w:space="0"/>
              <w:right w:val="nil"/>
              <w:tl2br w:val="nil"/>
              <w:tr2bl w:val="nil"/>
            </w:tcBorders>
            <w:noWrap w:val="0"/>
            <w:tcMar>
              <w:left w:w="28" w:type="dxa"/>
              <w:right w:w="28" w:type="dxa"/>
            </w:tcMar>
            <w:vAlign w:val="center"/>
          </w:tcPr>
          <w:p>
            <w:pPr>
              <w:overflowPunct w:val="0"/>
              <w:spacing w:line="480" w:lineRule="exact"/>
              <w:ind w:firstLine="0" w:firstLineChars="0"/>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b w:val="0"/>
                <w:bCs w:val="0"/>
                <w:color w:val="auto"/>
                <w:sz w:val="24"/>
                <w:szCs w:val="24"/>
                <w:highlight w:val="none"/>
                <w:u w:val="none" w:color="auto"/>
                <w:lang w:eastAsia="zh-CN"/>
              </w:rPr>
              <w:t>（</w:t>
            </w:r>
            <w:r>
              <w:rPr>
                <w:rFonts w:hint="eastAsia" w:ascii="楷体_GB2312" w:hAnsi="仿宋_GB2312" w:eastAsia="楷体_GB2312"/>
                <w:b w:val="0"/>
                <w:bCs w:val="0"/>
                <w:color w:val="auto"/>
                <w:sz w:val="24"/>
                <w:szCs w:val="24"/>
                <w:highlight w:val="none"/>
                <w:u w:val="none" w:color="auto"/>
                <w:lang w:val="en-US" w:eastAsia="zh-CN"/>
              </w:rPr>
              <w:t>一</w:t>
            </w:r>
            <w:r>
              <w:rPr>
                <w:rFonts w:hint="eastAsia" w:ascii="楷体_GB2312" w:hAnsi="仿宋_GB2312" w:eastAsia="楷体_GB2312"/>
                <w:b w:val="0"/>
                <w:bCs w:val="0"/>
                <w:color w:val="auto"/>
                <w:sz w:val="24"/>
                <w:szCs w:val="24"/>
                <w:highlight w:val="none"/>
                <w:u w:val="none" w:color="auto"/>
                <w:lang w:eastAsia="zh-CN"/>
              </w:rPr>
              <w:t xml:space="preserve">）  </w:t>
            </w:r>
            <w:r>
              <w:rPr>
                <w:rFonts w:hint="eastAsia" w:ascii="楷体_GB2312" w:hAnsi="仿宋_GB2312" w:eastAsia="楷体_GB2312"/>
                <w:b w:val="0"/>
                <w:bCs w:val="0"/>
                <w:color w:val="auto"/>
                <w:sz w:val="24"/>
                <w:szCs w:val="24"/>
                <w:highlight w:val="none"/>
                <w:u w:val="none" w:color="auto"/>
              </w:rPr>
              <w:t>经济发展</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70" w:type="pct"/>
            <w:tcBorders>
              <w:top w:val="single" w:color="auto" w:sz="4" w:space="0"/>
              <w:left w:val="nil"/>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b w:val="0"/>
                <w:bCs w:val="0"/>
                <w:color w:val="auto"/>
                <w:sz w:val="24"/>
                <w:szCs w:val="24"/>
                <w:highlight w:val="none"/>
                <w:u w:val="none" w:color="auto"/>
              </w:rPr>
              <w:t>1</w:t>
            </w:r>
          </w:p>
        </w:tc>
        <w:tc>
          <w:tcPr>
            <w:tcW w:w="2412" w:type="pct"/>
            <w:gridSpan w:val="2"/>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b w:val="0"/>
                <w:bCs w:val="0"/>
                <w:color w:val="auto"/>
                <w:sz w:val="24"/>
                <w:szCs w:val="24"/>
                <w:highlight w:val="none"/>
                <w:u w:val="none" w:color="auto"/>
              </w:rPr>
              <w:t>地区生产总值</w:t>
            </w:r>
            <w:r>
              <w:rPr>
                <w:rFonts w:hint="eastAsia" w:ascii="楷体_GB2312" w:hAnsi="仿宋_GB2312" w:eastAsia="楷体_GB2312"/>
                <w:b w:val="0"/>
                <w:bCs w:val="0"/>
                <w:color w:val="auto"/>
                <w:sz w:val="24"/>
                <w:szCs w:val="24"/>
                <w:highlight w:val="none"/>
                <w:u w:val="none" w:color="auto"/>
                <w:lang w:eastAsia="zh-CN"/>
              </w:rPr>
              <w:t>（</w:t>
            </w:r>
            <w:r>
              <w:rPr>
                <w:rFonts w:hint="eastAsia" w:ascii="楷体_GB2312" w:hAnsi="仿宋_GB2312" w:eastAsia="楷体_GB2312"/>
                <w:b w:val="0"/>
                <w:bCs w:val="0"/>
                <w:color w:val="auto"/>
                <w:sz w:val="24"/>
                <w:szCs w:val="24"/>
                <w:highlight w:val="none"/>
                <w:u w:val="none" w:color="auto"/>
                <w:lang w:val="en-US" w:eastAsia="zh-CN"/>
              </w:rPr>
              <w:t>GDP</w:t>
            </w:r>
            <w:r>
              <w:rPr>
                <w:rFonts w:hint="eastAsia" w:ascii="楷体_GB2312" w:hAnsi="仿宋_GB2312" w:eastAsia="楷体_GB2312"/>
                <w:b w:val="0"/>
                <w:bCs w:val="0"/>
                <w:color w:val="auto"/>
                <w:sz w:val="24"/>
                <w:szCs w:val="24"/>
                <w:highlight w:val="none"/>
                <w:u w:val="none" w:color="auto"/>
                <w:lang w:eastAsia="zh-CN"/>
              </w:rPr>
              <w:t>）</w:t>
            </w:r>
            <w:r>
              <w:rPr>
                <w:rFonts w:hint="eastAsia" w:ascii="楷体_GB2312" w:hAnsi="仿宋_GB2312" w:eastAsia="楷体_GB2312"/>
                <w:b w:val="0"/>
                <w:bCs w:val="0"/>
                <w:color w:val="auto"/>
                <w:sz w:val="24"/>
                <w:szCs w:val="24"/>
                <w:highlight w:val="none"/>
                <w:u w:val="none" w:color="auto"/>
                <w:lang w:val="en-US" w:eastAsia="zh-CN"/>
              </w:rPr>
              <w:t>增长</w:t>
            </w:r>
            <w:r>
              <w:rPr>
                <w:rFonts w:hint="eastAsia" w:ascii="楷体_GB2312" w:hAnsi="仿宋_GB2312" w:eastAsia="楷体_GB2312"/>
                <w:b w:val="0"/>
                <w:bCs w:val="0"/>
                <w:color w:val="auto"/>
                <w:sz w:val="24"/>
                <w:szCs w:val="24"/>
                <w:highlight w:val="none"/>
                <w:u w:val="none" w:color="auto"/>
              </w:rPr>
              <w:t>（%）</w:t>
            </w:r>
          </w:p>
        </w:tc>
        <w:tc>
          <w:tcPr>
            <w:tcW w:w="573"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b w:val="0"/>
                <w:bCs w:val="0"/>
                <w:color w:val="auto"/>
                <w:sz w:val="24"/>
                <w:szCs w:val="24"/>
                <w:highlight w:val="none"/>
                <w:u w:val="none" w:color="auto"/>
                <w:lang w:val="en-US" w:eastAsia="zh-CN"/>
              </w:rPr>
              <w:t>5.9</w:t>
            </w:r>
          </w:p>
        </w:tc>
        <w:tc>
          <w:tcPr>
            <w:tcW w:w="528"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cstheme="minorBidi"/>
                <w:color w:val="auto"/>
                <w:spacing w:val="0"/>
                <w:w w:val="100"/>
                <w:kern w:val="2"/>
                <w:sz w:val="24"/>
                <w:szCs w:val="24"/>
                <w:highlight w:val="none"/>
                <w:u w:val="none" w:color="auto"/>
                <w:lang w:val="en-US" w:eastAsia="zh-CN"/>
              </w:rPr>
              <w:t>—</w:t>
            </w:r>
          </w:p>
        </w:tc>
        <w:tc>
          <w:tcPr>
            <w:tcW w:w="671"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b w:val="0"/>
                <w:bCs w:val="0"/>
                <w:color w:val="auto"/>
                <w:sz w:val="24"/>
                <w:szCs w:val="24"/>
                <w:highlight w:val="none"/>
                <w:u w:val="none" w:color="auto"/>
                <w:lang w:val="en-US" w:eastAsia="zh-CN"/>
              </w:rPr>
              <w:t>5.1</w:t>
            </w:r>
          </w:p>
        </w:tc>
        <w:tc>
          <w:tcPr>
            <w:tcW w:w="543" w:type="pct"/>
            <w:tcBorders>
              <w:top w:val="single" w:color="auto" w:sz="4" w:space="0"/>
              <w:left w:val="single" w:color="auto" w:sz="4" w:space="0"/>
              <w:bottom w:val="single" w:color="auto" w:sz="4" w:space="0"/>
              <w:right w:val="nil"/>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b w:val="0"/>
                <w:bCs w:val="0"/>
                <w:color w:val="auto"/>
                <w:sz w:val="24"/>
                <w:szCs w:val="24"/>
                <w:highlight w:val="none"/>
                <w:u w:val="none" w:color="auto"/>
              </w:rPr>
              <w:t>预期性</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70" w:type="pct"/>
            <w:tcBorders>
              <w:top w:val="single" w:color="auto" w:sz="4" w:space="0"/>
              <w:left w:val="nil"/>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b w:val="0"/>
                <w:bCs w:val="0"/>
                <w:color w:val="auto"/>
                <w:sz w:val="24"/>
                <w:szCs w:val="24"/>
                <w:highlight w:val="none"/>
                <w:u w:val="none" w:color="auto"/>
                <w:lang w:val="en-US" w:eastAsia="zh-CN"/>
              </w:rPr>
              <w:t>2</w:t>
            </w:r>
          </w:p>
        </w:tc>
        <w:tc>
          <w:tcPr>
            <w:tcW w:w="2412" w:type="pct"/>
            <w:gridSpan w:val="2"/>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lang w:val="en-US" w:eastAsia="zh-CN"/>
              </w:rPr>
              <w:t>工业增加值占GDP比重</w:t>
            </w:r>
            <w:r>
              <w:rPr>
                <w:rFonts w:hint="eastAsia" w:ascii="楷体_GB2312" w:hAnsi="仿宋_GB2312" w:eastAsia="楷体_GB2312"/>
                <w:b w:val="0"/>
                <w:bCs w:val="0"/>
                <w:color w:val="auto"/>
                <w:sz w:val="24"/>
                <w:szCs w:val="24"/>
                <w:highlight w:val="none"/>
                <w:u w:val="none" w:color="auto"/>
              </w:rPr>
              <w:t>（%）</w:t>
            </w:r>
          </w:p>
        </w:tc>
        <w:tc>
          <w:tcPr>
            <w:tcW w:w="573"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lang w:val="en-US" w:eastAsia="zh-CN"/>
              </w:rPr>
              <w:t>34</w:t>
            </w:r>
          </w:p>
        </w:tc>
        <w:tc>
          <w:tcPr>
            <w:tcW w:w="528"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cstheme="minorBidi"/>
                <w:color w:val="auto"/>
                <w:spacing w:val="0"/>
                <w:w w:val="100"/>
                <w:kern w:val="2"/>
                <w:sz w:val="24"/>
                <w:szCs w:val="24"/>
                <w:highlight w:val="none"/>
                <w:u w:val="none" w:color="auto"/>
                <w:lang w:val="en-US" w:eastAsia="zh-CN"/>
              </w:rPr>
              <w:t>37</w:t>
            </w:r>
          </w:p>
        </w:tc>
        <w:tc>
          <w:tcPr>
            <w:tcW w:w="671"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cstheme="minorBidi"/>
                <w:color w:val="auto"/>
                <w:spacing w:val="0"/>
                <w:w w:val="100"/>
                <w:kern w:val="2"/>
                <w:sz w:val="24"/>
                <w:szCs w:val="24"/>
                <w:highlight w:val="none"/>
                <w:u w:val="none" w:color="auto"/>
                <w:lang w:val="en-US" w:eastAsia="zh-CN"/>
              </w:rPr>
              <w:t>—</w:t>
            </w:r>
          </w:p>
        </w:tc>
        <w:tc>
          <w:tcPr>
            <w:tcW w:w="543" w:type="pct"/>
            <w:tcBorders>
              <w:top w:val="single" w:color="auto" w:sz="4" w:space="0"/>
              <w:left w:val="single" w:color="auto" w:sz="4" w:space="0"/>
              <w:bottom w:val="single" w:color="auto" w:sz="4" w:space="0"/>
              <w:right w:val="nil"/>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rPr>
              <w:t>预期性</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0" w:type="pct"/>
            <w:tcBorders>
              <w:top w:val="single" w:color="auto" w:sz="4" w:space="0"/>
              <w:left w:val="nil"/>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lang w:val="en-US" w:eastAsia="zh-CN"/>
              </w:rPr>
              <w:t>3</w:t>
            </w:r>
          </w:p>
        </w:tc>
        <w:tc>
          <w:tcPr>
            <w:tcW w:w="2412" w:type="pct"/>
            <w:gridSpan w:val="2"/>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lang w:val="en-US" w:eastAsia="zh-CN"/>
              </w:rPr>
              <w:t>社会消费品零售总额（亿元）</w:t>
            </w:r>
          </w:p>
        </w:tc>
        <w:tc>
          <w:tcPr>
            <w:tcW w:w="573"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b w:val="0"/>
                <w:bCs w:val="0"/>
                <w:color w:val="auto"/>
                <w:sz w:val="24"/>
                <w:szCs w:val="24"/>
                <w:highlight w:val="none"/>
                <w:u w:val="none" w:color="auto"/>
                <w:lang w:val="en-US"/>
              </w:rPr>
            </w:pPr>
            <w:r>
              <w:rPr>
                <w:rFonts w:hint="eastAsia" w:ascii="楷体_GB2312" w:hAnsi="仿宋_GB2312" w:eastAsia="楷体_GB2312" w:cstheme="minorBidi"/>
                <w:color w:val="auto"/>
                <w:spacing w:val="0"/>
                <w:w w:val="100"/>
                <w:kern w:val="2"/>
                <w:sz w:val="24"/>
                <w:szCs w:val="24"/>
                <w:highlight w:val="none"/>
                <w:u w:val="none" w:color="auto"/>
                <w:lang w:val="en-US" w:eastAsia="zh-CN"/>
              </w:rPr>
              <w:t>363.9</w:t>
            </w:r>
          </w:p>
        </w:tc>
        <w:tc>
          <w:tcPr>
            <w:tcW w:w="528"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cstheme="minorBidi"/>
                <w:color w:val="auto"/>
                <w:spacing w:val="0"/>
                <w:w w:val="100"/>
                <w:kern w:val="2"/>
                <w:sz w:val="24"/>
                <w:szCs w:val="24"/>
                <w:highlight w:val="none"/>
                <w:u w:val="none" w:color="auto"/>
                <w:lang w:val="en-US" w:eastAsia="zh-CN"/>
              </w:rPr>
              <w:t>420</w:t>
            </w:r>
          </w:p>
        </w:tc>
        <w:tc>
          <w:tcPr>
            <w:tcW w:w="671"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cstheme="minorBidi"/>
                <w:color w:val="auto"/>
                <w:spacing w:val="0"/>
                <w:w w:val="100"/>
                <w:kern w:val="2"/>
                <w:sz w:val="24"/>
                <w:szCs w:val="24"/>
                <w:highlight w:val="none"/>
                <w:u w:val="none" w:color="auto"/>
                <w:lang w:val="en-US" w:eastAsia="zh-CN"/>
              </w:rPr>
              <w:t>3</w:t>
            </w:r>
          </w:p>
        </w:tc>
        <w:tc>
          <w:tcPr>
            <w:tcW w:w="543" w:type="pct"/>
            <w:tcBorders>
              <w:top w:val="single" w:color="auto" w:sz="4" w:space="0"/>
              <w:left w:val="single" w:color="auto" w:sz="4" w:space="0"/>
              <w:bottom w:val="single" w:color="auto" w:sz="4" w:space="0"/>
              <w:right w:val="nil"/>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rPr>
              <w:t>预期性</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0" w:type="pct"/>
            <w:tcBorders>
              <w:top w:val="single" w:color="auto" w:sz="4" w:space="0"/>
              <w:left w:val="nil"/>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lang w:val="en-US" w:eastAsia="zh-CN"/>
              </w:rPr>
              <w:t>4</w:t>
            </w:r>
          </w:p>
        </w:tc>
        <w:tc>
          <w:tcPr>
            <w:tcW w:w="2412" w:type="pct"/>
            <w:gridSpan w:val="2"/>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color w:val="auto"/>
                <w:sz w:val="24"/>
                <w:highlight w:val="none"/>
              </w:rPr>
              <w:t>一般公共预算收入（亿元）</w:t>
            </w:r>
          </w:p>
        </w:tc>
        <w:tc>
          <w:tcPr>
            <w:tcW w:w="573"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b w:val="0"/>
                <w:bCs w:val="0"/>
                <w:color w:val="auto"/>
                <w:sz w:val="24"/>
                <w:szCs w:val="24"/>
                <w:highlight w:val="none"/>
                <w:u w:val="none" w:color="auto"/>
                <w:lang w:val="en-US"/>
              </w:rPr>
            </w:pPr>
            <w:r>
              <w:rPr>
                <w:rFonts w:hint="eastAsia" w:ascii="楷体_GB2312" w:hAnsi="仿宋_GB2312" w:eastAsia="楷体_GB2312"/>
                <w:b w:val="0"/>
                <w:bCs w:val="0"/>
                <w:color w:val="auto"/>
                <w:sz w:val="24"/>
                <w:szCs w:val="24"/>
                <w:highlight w:val="none"/>
                <w:u w:val="none" w:color="auto"/>
                <w:lang w:eastAsia="zh-CN"/>
              </w:rPr>
              <w:t>63.</w:t>
            </w:r>
            <w:r>
              <w:rPr>
                <w:rFonts w:hint="eastAsia" w:ascii="楷体_GB2312" w:hAnsi="仿宋_GB2312" w:eastAsia="楷体_GB2312"/>
                <w:b w:val="0"/>
                <w:bCs w:val="0"/>
                <w:color w:val="auto"/>
                <w:sz w:val="24"/>
                <w:szCs w:val="24"/>
                <w:highlight w:val="none"/>
                <w:u w:val="none" w:color="auto"/>
                <w:lang w:val="en-US" w:eastAsia="zh-CN"/>
              </w:rPr>
              <w:t>2</w:t>
            </w:r>
          </w:p>
        </w:tc>
        <w:tc>
          <w:tcPr>
            <w:tcW w:w="528"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rPr>
              <w:t>73.</w:t>
            </w:r>
            <w:r>
              <w:rPr>
                <w:rFonts w:hint="eastAsia" w:ascii="楷体_GB2312" w:hAnsi="仿宋_GB2312" w:eastAsia="楷体_GB2312"/>
                <w:b w:val="0"/>
                <w:bCs w:val="0"/>
                <w:color w:val="auto"/>
                <w:sz w:val="24"/>
                <w:szCs w:val="24"/>
                <w:highlight w:val="none"/>
                <w:u w:val="none"/>
                <w:lang w:val="en-US" w:eastAsia="zh-CN"/>
              </w:rPr>
              <w:t>27</w:t>
            </w:r>
          </w:p>
        </w:tc>
        <w:tc>
          <w:tcPr>
            <w:tcW w:w="671"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lang w:val="en-US" w:eastAsia="zh-CN"/>
              </w:rPr>
              <w:t>3</w:t>
            </w:r>
          </w:p>
        </w:tc>
        <w:tc>
          <w:tcPr>
            <w:tcW w:w="543" w:type="pct"/>
            <w:tcBorders>
              <w:top w:val="single" w:color="auto" w:sz="4" w:space="0"/>
              <w:left w:val="single" w:color="auto" w:sz="4" w:space="0"/>
              <w:bottom w:val="single" w:color="auto" w:sz="4" w:space="0"/>
              <w:right w:val="nil"/>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rPr>
              <w:t>预期性</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0" w:type="pct"/>
            <w:tcBorders>
              <w:top w:val="single" w:color="auto" w:sz="4" w:space="0"/>
              <w:left w:val="nil"/>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b w:val="0"/>
                <w:bCs w:val="0"/>
                <w:color w:val="auto"/>
                <w:sz w:val="24"/>
                <w:szCs w:val="24"/>
                <w:highlight w:val="none"/>
                <w:u w:val="none" w:color="auto"/>
                <w:lang w:val="en-US" w:eastAsia="zh-CN"/>
              </w:rPr>
              <w:t>5</w:t>
            </w:r>
          </w:p>
        </w:tc>
        <w:tc>
          <w:tcPr>
            <w:tcW w:w="2412" w:type="pct"/>
            <w:gridSpan w:val="2"/>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rPr>
                <w:rFonts w:hint="eastAsia" w:ascii="楷体_GB2312" w:hAnsi="仿宋_GB2312" w:eastAsia="楷体_GB2312"/>
                <w:color w:val="auto"/>
                <w:sz w:val="24"/>
                <w:highlight w:val="none"/>
                <w:lang w:eastAsia="zh-CN"/>
              </w:rPr>
            </w:pPr>
            <w:r>
              <w:rPr>
                <w:rFonts w:hint="eastAsia" w:ascii="楷体_GB2312" w:hAnsi="仿宋_GB2312" w:eastAsia="楷体_GB2312"/>
                <w:color w:val="auto"/>
                <w:sz w:val="24"/>
                <w:highlight w:val="none"/>
                <w:lang w:eastAsia="zh-CN"/>
              </w:rPr>
              <w:t>参与核算的规上服务业营业收入增速（</w:t>
            </w:r>
            <w:r>
              <w:rPr>
                <w:rFonts w:hint="eastAsia" w:ascii="楷体_GB2312" w:hAnsi="仿宋_GB2312" w:eastAsia="楷体_GB2312"/>
                <w:color w:val="auto"/>
                <w:sz w:val="24"/>
                <w:highlight w:val="none"/>
                <w:lang w:val="en-US" w:eastAsia="zh-CN"/>
              </w:rPr>
              <w:t>%</w:t>
            </w:r>
            <w:r>
              <w:rPr>
                <w:rFonts w:hint="eastAsia" w:ascii="楷体_GB2312" w:hAnsi="仿宋_GB2312" w:eastAsia="楷体_GB2312"/>
                <w:color w:val="auto"/>
                <w:sz w:val="24"/>
                <w:highlight w:val="none"/>
                <w:lang w:eastAsia="zh-CN"/>
              </w:rPr>
              <w:t>）</w:t>
            </w:r>
          </w:p>
        </w:tc>
        <w:tc>
          <w:tcPr>
            <w:tcW w:w="573"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b w:val="0"/>
                <w:bCs w:val="0"/>
                <w:color w:val="auto"/>
                <w:sz w:val="24"/>
                <w:szCs w:val="24"/>
                <w:highlight w:val="none"/>
                <w:u w:val="none" w:color="auto"/>
                <w:lang w:val="en-US" w:eastAsia="zh-CN"/>
              </w:rPr>
              <w:t>12.1</w:t>
            </w:r>
          </w:p>
        </w:tc>
        <w:tc>
          <w:tcPr>
            <w:tcW w:w="528"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rPr>
            </w:pPr>
            <w:r>
              <w:rPr>
                <w:rFonts w:hint="eastAsia" w:ascii="楷体_GB2312" w:hAnsi="仿宋_GB2312" w:eastAsia="楷体_GB2312" w:cstheme="minorBidi"/>
                <w:b w:val="0"/>
                <w:bCs w:val="0"/>
                <w:color w:val="auto"/>
                <w:kern w:val="2"/>
                <w:sz w:val="24"/>
                <w:szCs w:val="24"/>
                <w:highlight w:val="none"/>
                <w:u w:val="none" w:color="auto"/>
                <w:lang w:val="en-US" w:eastAsia="zh-CN" w:bidi="ar-SA"/>
              </w:rPr>
              <w:t>—</w:t>
            </w:r>
          </w:p>
        </w:tc>
        <w:tc>
          <w:tcPr>
            <w:tcW w:w="671"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b w:val="0"/>
                <w:bCs w:val="0"/>
                <w:color w:val="auto"/>
                <w:sz w:val="24"/>
                <w:szCs w:val="24"/>
                <w:highlight w:val="none"/>
                <w:u w:val="none" w:color="auto"/>
                <w:lang w:val="en-US" w:eastAsia="zh-CN"/>
              </w:rPr>
              <w:t>10</w:t>
            </w:r>
          </w:p>
        </w:tc>
        <w:tc>
          <w:tcPr>
            <w:tcW w:w="543" w:type="pct"/>
            <w:tcBorders>
              <w:top w:val="single" w:color="auto" w:sz="4" w:space="0"/>
              <w:left w:val="single" w:color="auto" w:sz="4" w:space="0"/>
              <w:bottom w:val="single" w:color="auto" w:sz="4" w:space="0"/>
              <w:right w:val="nil"/>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lang w:eastAsia="zh-CN"/>
              </w:rPr>
            </w:pPr>
            <w:r>
              <w:rPr>
                <w:rFonts w:hint="eastAsia" w:ascii="楷体_GB2312" w:hAnsi="仿宋_GB2312" w:eastAsia="楷体_GB2312"/>
                <w:b w:val="0"/>
                <w:bCs w:val="0"/>
                <w:color w:val="auto"/>
                <w:sz w:val="24"/>
                <w:szCs w:val="24"/>
                <w:highlight w:val="none"/>
                <w:u w:val="none" w:color="auto"/>
                <w:lang w:eastAsia="zh-CN"/>
              </w:rPr>
              <w:t>预期性</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0" w:type="pct"/>
            <w:tcBorders>
              <w:top w:val="single" w:color="auto" w:sz="4" w:space="0"/>
              <w:left w:val="nil"/>
              <w:bottom w:val="single" w:color="auto" w:sz="4" w:space="0"/>
              <w:right w:val="single" w:color="auto" w:sz="4" w:space="0"/>
              <w:tl2br w:val="nil"/>
              <w:tr2bl w:val="nil"/>
            </w:tcBorders>
            <w:shd w:val="clear" w:color="auto" w:fill="auto"/>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lang w:val="en-US" w:eastAsia="zh-CN"/>
              </w:rPr>
              <w:t>6</w:t>
            </w:r>
          </w:p>
        </w:tc>
        <w:tc>
          <w:tcPr>
            <w:tcW w:w="2412" w:type="pct"/>
            <w:gridSpan w:val="2"/>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rPr>
              <w:t>常住人口城镇化率（%）</w:t>
            </w:r>
          </w:p>
        </w:tc>
        <w:tc>
          <w:tcPr>
            <w:tcW w:w="573"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b w:val="0"/>
                <w:bCs w:val="0"/>
                <w:color w:val="auto"/>
                <w:sz w:val="24"/>
                <w:szCs w:val="24"/>
                <w:highlight w:val="none"/>
                <w:u w:val="none" w:color="auto"/>
                <w:lang w:val="en-US" w:eastAsia="zh-CN"/>
              </w:rPr>
              <w:t>65左右</w:t>
            </w:r>
          </w:p>
        </w:tc>
        <w:tc>
          <w:tcPr>
            <w:tcW w:w="528"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lang w:val="en-US" w:eastAsia="zh-CN"/>
              </w:rPr>
              <w:t>68</w:t>
            </w:r>
          </w:p>
        </w:tc>
        <w:tc>
          <w:tcPr>
            <w:tcW w:w="671"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cstheme="minorBidi"/>
                <w:b w:val="0"/>
                <w:bCs w:val="0"/>
                <w:color w:val="auto"/>
                <w:kern w:val="2"/>
                <w:sz w:val="24"/>
                <w:szCs w:val="24"/>
                <w:highlight w:val="none"/>
                <w:u w:val="none" w:color="auto"/>
                <w:lang w:val="en-US" w:eastAsia="zh-CN" w:bidi="ar-SA"/>
              </w:rPr>
              <w:t>—</w:t>
            </w:r>
          </w:p>
        </w:tc>
        <w:tc>
          <w:tcPr>
            <w:tcW w:w="543" w:type="pct"/>
            <w:tcBorders>
              <w:top w:val="single" w:color="auto" w:sz="4" w:space="0"/>
              <w:left w:val="single" w:color="auto" w:sz="4" w:space="0"/>
              <w:bottom w:val="single" w:color="auto" w:sz="4" w:space="0"/>
              <w:right w:val="nil"/>
              <w:tl2br w:val="nil"/>
              <w:tr2bl w:val="nil"/>
            </w:tcBorders>
            <w:shd w:val="clear" w:color="auto" w:fill="auto"/>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rPr>
              <w:t>预期性</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5000" w:type="pct"/>
            <w:gridSpan w:val="7"/>
            <w:tcBorders>
              <w:top w:val="single" w:color="auto" w:sz="4" w:space="0"/>
              <w:left w:val="nil"/>
              <w:bottom w:val="single" w:color="auto" w:sz="4" w:space="0"/>
              <w:right w:val="nil"/>
              <w:tl2br w:val="nil"/>
              <w:tr2bl w:val="nil"/>
            </w:tcBorders>
            <w:noWrap w:val="0"/>
            <w:tcMar>
              <w:left w:w="28" w:type="dxa"/>
              <w:right w:w="28" w:type="dxa"/>
            </w:tcMar>
            <w:vAlign w:val="center"/>
          </w:tcPr>
          <w:p>
            <w:pPr>
              <w:overflowPunct w:val="0"/>
              <w:spacing w:line="480" w:lineRule="exact"/>
              <w:ind w:firstLine="0" w:firstLineChars="0"/>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b w:val="0"/>
                <w:bCs w:val="0"/>
                <w:color w:val="auto"/>
                <w:sz w:val="24"/>
                <w:szCs w:val="24"/>
                <w:highlight w:val="none"/>
                <w:u w:val="none" w:color="auto"/>
                <w:lang w:eastAsia="zh-CN"/>
              </w:rPr>
              <w:t>（</w:t>
            </w:r>
            <w:r>
              <w:rPr>
                <w:rFonts w:hint="eastAsia" w:ascii="楷体_GB2312" w:hAnsi="仿宋_GB2312" w:eastAsia="楷体_GB2312"/>
                <w:b w:val="0"/>
                <w:bCs w:val="0"/>
                <w:color w:val="auto"/>
                <w:sz w:val="24"/>
                <w:szCs w:val="24"/>
                <w:highlight w:val="none"/>
                <w:u w:val="none" w:color="auto"/>
                <w:lang w:val="en-US" w:eastAsia="zh-CN"/>
              </w:rPr>
              <w:t>二</w:t>
            </w:r>
            <w:r>
              <w:rPr>
                <w:rFonts w:hint="eastAsia" w:ascii="楷体_GB2312" w:hAnsi="仿宋_GB2312" w:eastAsia="楷体_GB2312"/>
                <w:b w:val="0"/>
                <w:bCs w:val="0"/>
                <w:color w:val="auto"/>
                <w:sz w:val="24"/>
                <w:szCs w:val="24"/>
                <w:highlight w:val="none"/>
                <w:u w:val="none" w:color="auto"/>
                <w:lang w:eastAsia="zh-CN"/>
              </w:rPr>
              <w:t xml:space="preserve">）  </w:t>
            </w:r>
            <w:r>
              <w:rPr>
                <w:rFonts w:hint="eastAsia" w:ascii="楷体_GB2312" w:hAnsi="仿宋_GB2312" w:eastAsia="楷体_GB2312"/>
                <w:b w:val="0"/>
                <w:bCs w:val="0"/>
                <w:color w:val="auto"/>
                <w:sz w:val="24"/>
                <w:szCs w:val="24"/>
                <w:highlight w:val="none"/>
                <w:u w:val="none" w:color="auto"/>
              </w:rPr>
              <w:t>创新驱动</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70" w:type="pct"/>
            <w:tcBorders>
              <w:top w:val="single" w:color="auto" w:sz="4" w:space="0"/>
              <w:left w:val="nil"/>
              <w:bottom w:val="single" w:color="auto" w:sz="4" w:space="0"/>
              <w:right w:val="single" w:color="auto" w:sz="4" w:space="0"/>
              <w:tl2br w:val="nil"/>
              <w:tr2bl w:val="nil"/>
            </w:tcBorders>
            <w:shd w:val="clear" w:color="auto" w:fill="auto"/>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lang w:val="en-US" w:eastAsia="zh-CN"/>
              </w:rPr>
              <w:t>7</w:t>
            </w:r>
          </w:p>
        </w:tc>
        <w:tc>
          <w:tcPr>
            <w:tcW w:w="2412" w:type="pct"/>
            <w:gridSpan w:val="2"/>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rPr>
              <w:t>全社会研发经费投入</w:t>
            </w:r>
            <w:r>
              <w:rPr>
                <w:rFonts w:hint="eastAsia" w:ascii="楷体_GB2312" w:hAnsi="仿宋_GB2312" w:eastAsia="楷体_GB2312"/>
                <w:b w:val="0"/>
                <w:bCs w:val="0"/>
                <w:color w:val="auto"/>
                <w:sz w:val="24"/>
                <w:szCs w:val="24"/>
                <w:highlight w:val="none"/>
                <w:u w:val="none" w:color="auto"/>
                <w:lang w:val="en-US" w:eastAsia="zh-CN"/>
              </w:rPr>
              <w:t>增长</w:t>
            </w:r>
            <w:r>
              <w:rPr>
                <w:rFonts w:hint="eastAsia" w:ascii="楷体_GB2312" w:hAnsi="仿宋_GB2312" w:eastAsia="楷体_GB2312"/>
                <w:b w:val="0"/>
                <w:bCs w:val="0"/>
                <w:color w:val="auto"/>
                <w:sz w:val="24"/>
                <w:szCs w:val="24"/>
                <w:highlight w:val="none"/>
                <w:u w:val="none" w:color="auto"/>
              </w:rPr>
              <w:t>（%）</w:t>
            </w:r>
          </w:p>
        </w:tc>
        <w:tc>
          <w:tcPr>
            <w:tcW w:w="573"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cstheme="minorBidi"/>
                <w:b w:val="0"/>
                <w:bCs w:val="0"/>
                <w:color w:val="auto"/>
                <w:kern w:val="2"/>
                <w:sz w:val="24"/>
                <w:szCs w:val="24"/>
                <w:highlight w:val="none"/>
                <w:u w:val="none" w:color="auto"/>
                <w:lang w:val="en-US" w:eastAsia="zh-CN" w:bidi="ar-SA"/>
              </w:rPr>
              <w:t>1.96</w:t>
            </w:r>
          </w:p>
        </w:tc>
        <w:tc>
          <w:tcPr>
            <w:tcW w:w="528"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cstheme="minorBidi"/>
                <w:color w:val="auto"/>
                <w:spacing w:val="0"/>
                <w:w w:val="100"/>
                <w:kern w:val="2"/>
                <w:sz w:val="24"/>
                <w:szCs w:val="24"/>
                <w:highlight w:val="none"/>
                <w:u w:val="none" w:color="auto"/>
                <w:lang w:val="en-US" w:eastAsia="zh-CN"/>
              </w:rPr>
              <w:t>—</w:t>
            </w:r>
          </w:p>
        </w:tc>
        <w:tc>
          <w:tcPr>
            <w:tcW w:w="671"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cstheme="minorBidi"/>
                <w:b w:val="0"/>
                <w:bCs w:val="0"/>
                <w:color w:val="auto"/>
                <w:kern w:val="2"/>
                <w:sz w:val="24"/>
                <w:szCs w:val="24"/>
                <w:highlight w:val="none"/>
                <w:u w:val="none" w:color="auto"/>
                <w:lang w:val="en-US" w:eastAsia="zh-CN" w:bidi="ar-SA"/>
              </w:rPr>
              <w:t>4.5</w:t>
            </w:r>
          </w:p>
        </w:tc>
        <w:tc>
          <w:tcPr>
            <w:tcW w:w="543" w:type="pct"/>
            <w:tcBorders>
              <w:top w:val="single" w:color="auto" w:sz="4" w:space="0"/>
              <w:left w:val="single" w:color="auto" w:sz="4" w:space="0"/>
              <w:bottom w:val="single" w:color="auto" w:sz="4" w:space="0"/>
              <w:right w:val="nil"/>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rPr>
              <w:t>预期性</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70" w:type="pct"/>
            <w:tcBorders>
              <w:top w:val="single" w:color="auto" w:sz="4" w:space="0"/>
              <w:left w:val="nil"/>
              <w:bottom w:val="single" w:color="auto" w:sz="4" w:space="0"/>
              <w:right w:val="single" w:color="auto" w:sz="4" w:space="0"/>
              <w:tl2br w:val="nil"/>
              <w:tr2bl w:val="nil"/>
            </w:tcBorders>
            <w:shd w:val="clear" w:color="auto" w:fill="auto"/>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lang w:val="en-US" w:eastAsia="zh-CN"/>
              </w:rPr>
              <w:t>8</w:t>
            </w:r>
          </w:p>
        </w:tc>
        <w:tc>
          <w:tcPr>
            <w:tcW w:w="2412" w:type="pct"/>
            <w:gridSpan w:val="2"/>
            <w:tcBorders>
              <w:top w:val="single" w:color="auto" w:sz="4" w:space="0"/>
              <w:left w:val="single" w:color="auto" w:sz="4" w:space="0"/>
              <w:bottom w:val="single" w:color="auto" w:sz="4" w:space="0"/>
              <w:right w:val="single" w:color="auto" w:sz="4" w:space="0"/>
              <w:tl2br w:val="nil"/>
              <w:tr2bl w:val="nil"/>
            </w:tcBorders>
            <w:shd w:val="clear" w:color="auto" w:fill="auto"/>
            <w:noWrap w:val="0"/>
            <w:tcMar>
              <w:left w:w="28" w:type="dxa"/>
              <w:right w:w="28" w:type="dxa"/>
            </w:tcMar>
            <w:vAlign w:val="center"/>
          </w:tcPr>
          <w:p>
            <w:pPr>
              <w:overflowPunct w:val="0"/>
              <w:spacing w:line="480" w:lineRule="exact"/>
              <w:ind w:firstLine="0" w:firstLineChars="0"/>
              <w:rPr>
                <w:rFonts w:hint="default"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rPr>
              <w:t>每万人口高价值发明专利拥有量（件）</w:t>
            </w:r>
          </w:p>
        </w:tc>
        <w:tc>
          <w:tcPr>
            <w:tcW w:w="573" w:type="pct"/>
            <w:tcBorders>
              <w:top w:val="single" w:color="auto" w:sz="4" w:space="0"/>
              <w:left w:val="single" w:color="auto" w:sz="4" w:space="0"/>
              <w:bottom w:val="single" w:color="auto" w:sz="4" w:space="0"/>
              <w:right w:val="single" w:color="auto" w:sz="4" w:space="0"/>
              <w:tl2br w:val="nil"/>
              <w:tr2bl w:val="nil"/>
            </w:tcBorders>
            <w:shd w:val="clear" w:color="auto" w:fill="auto"/>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cstheme="minorBidi"/>
                <w:color w:val="auto"/>
                <w:spacing w:val="0"/>
                <w:w w:val="100"/>
                <w:kern w:val="2"/>
                <w:sz w:val="24"/>
                <w:szCs w:val="24"/>
                <w:highlight w:val="none"/>
                <w:u w:val="none" w:color="auto"/>
                <w:lang w:val="en-US" w:eastAsia="zh-CN"/>
              </w:rPr>
              <w:t>10.7</w:t>
            </w:r>
          </w:p>
        </w:tc>
        <w:tc>
          <w:tcPr>
            <w:tcW w:w="528" w:type="pct"/>
            <w:tcBorders>
              <w:top w:val="single" w:color="auto" w:sz="4" w:space="0"/>
              <w:left w:val="single" w:color="auto" w:sz="4" w:space="0"/>
              <w:bottom w:val="single" w:color="auto" w:sz="4" w:space="0"/>
              <w:right w:val="single" w:color="auto" w:sz="4" w:space="0"/>
              <w:tl2br w:val="nil"/>
              <w:tr2bl w:val="nil"/>
            </w:tcBorders>
            <w:shd w:val="clear" w:color="auto" w:fill="auto"/>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cstheme="minorBidi"/>
                <w:color w:val="auto"/>
                <w:spacing w:val="0"/>
                <w:w w:val="100"/>
                <w:kern w:val="2"/>
                <w:sz w:val="24"/>
                <w:szCs w:val="24"/>
                <w:highlight w:val="none"/>
                <w:u w:val="none" w:color="auto"/>
                <w:lang w:val="en-US" w:eastAsia="zh-CN"/>
              </w:rPr>
              <w:t>25</w:t>
            </w:r>
          </w:p>
        </w:tc>
        <w:tc>
          <w:tcPr>
            <w:tcW w:w="671" w:type="pct"/>
            <w:tcBorders>
              <w:top w:val="single" w:color="auto" w:sz="4" w:space="0"/>
              <w:left w:val="single" w:color="auto" w:sz="4" w:space="0"/>
              <w:bottom w:val="single" w:color="auto" w:sz="4" w:space="0"/>
              <w:right w:val="single" w:color="auto" w:sz="4" w:space="0"/>
              <w:tl2br w:val="nil"/>
              <w:tr2bl w:val="nil"/>
            </w:tcBorders>
            <w:shd w:val="clear" w:color="auto" w:fill="auto"/>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cstheme="minorBidi"/>
                <w:color w:val="auto"/>
                <w:spacing w:val="0"/>
                <w:w w:val="100"/>
                <w:kern w:val="2"/>
                <w:sz w:val="24"/>
                <w:szCs w:val="24"/>
                <w:highlight w:val="none"/>
                <w:u w:val="none" w:color="auto"/>
                <w:lang w:val="en-US" w:eastAsia="zh-CN"/>
              </w:rPr>
              <w:t>—</w:t>
            </w:r>
          </w:p>
        </w:tc>
        <w:tc>
          <w:tcPr>
            <w:tcW w:w="543" w:type="pct"/>
            <w:tcBorders>
              <w:top w:val="single" w:color="auto" w:sz="4" w:space="0"/>
              <w:left w:val="single" w:color="auto" w:sz="4" w:space="0"/>
              <w:bottom w:val="single" w:color="auto" w:sz="4" w:space="0"/>
              <w:right w:val="nil"/>
              <w:tl2br w:val="nil"/>
              <w:tr2bl w:val="nil"/>
            </w:tcBorders>
            <w:shd w:val="clear" w:color="auto" w:fill="auto"/>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rPr>
              <w:t>预期性</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5000" w:type="pct"/>
            <w:gridSpan w:val="7"/>
            <w:tcBorders>
              <w:top w:val="single" w:color="auto" w:sz="4" w:space="0"/>
              <w:left w:val="nil"/>
              <w:bottom w:val="single" w:color="auto" w:sz="4" w:space="0"/>
              <w:right w:val="nil"/>
              <w:tl2br w:val="nil"/>
              <w:tr2bl w:val="nil"/>
            </w:tcBorders>
            <w:noWrap w:val="0"/>
            <w:tcMar>
              <w:left w:w="28" w:type="dxa"/>
              <w:right w:w="28" w:type="dxa"/>
            </w:tcMar>
            <w:vAlign w:val="center"/>
          </w:tcPr>
          <w:p>
            <w:pPr>
              <w:overflowPunct w:val="0"/>
              <w:spacing w:line="480" w:lineRule="exact"/>
              <w:ind w:firstLine="0" w:firstLineChars="0"/>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b w:val="0"/>
                <w:bCs w:val="0"/>
                <w:color w:val="auto"/>
                <w:sz w:val="24"/>
                <w:szCs w:val="24"/>
                <w:highlight w:val="none"/>
                <w:u w:val="none" w:color="auto"/>
                <w:lang w:eastAsia="zh-CN"/>
              </w:rPr>
              <w:t>（</w:t>
            </w:r>
            <w:r>
              <w:rPr>
                <w:rFonts w:hint="eastAsia" w:ascii="楷体_GB2312" w:hAnsi="仿宋_GB2312" w:eastAsia="楷体_GB2312"/>
                <w:b w:val="0"/>
                <w:bCs w:val="0"/>
                <w:color w:val="auto"/>
                <w:sz w:val="24"/>
                <w:szCs w:val="24"/>
                <w:highlight w:val="none"/>
                <w:u w:val="none" w:color="auto"/>
                <w:lang w:val="en-US" w:eastAsia="zh-CN"/>
              </w:rPr>
              <w:t>三</w:t>
            </w:r>
            <w:r>
              <w:rPr>
                <w:rFonts w:hint="eastAsia" w:ascii="楷体_GB2312" w:hAnsi="仿宋_GB2312" w:eastAsia="楷体_GB2312"/>
                <w:b w:val="0"/>
                <w:bCs w:val="0"/>
                <w:color w:val="auto"/>
                <w:sz w:val="24"/>
                <w:szCs w:val="24"/>
                <w:highlight w:val="none"/>
                <w:u w:val="none" w:color="auto"/>
                <w:lang w:eastAsia="zh-CN"/>
              </w:rPr>
              <w:t xml:space="preserve">）  </w:t>
            </w:r>
            <w:r>
              <w:rPr>
                <w:rFonts w:hint="eastAsia" w:ascii="楷体_GB2312" w:hAnsi="仿宋_GB2312" w:eastAsia="楷体_GB2312"/>
                <w:b w:val="0"/>
                <w:bCs w:val="0"/>
                <w:color w:val="auto"/>
                <w:sz w:val="24"/>
                <w:szCs w:val="24"/>
                <w:highlight w:val="none"/>
                <w:u w:val="none" w:color="auto"/>
              </w:rPr>
              <w:t>民生福祉</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70" w:type="pct"/>
            <w:tcBorders>
              <w:top w:val="single" w:color="auto" w:sz="4" w:space="0"/>
              <w:left w:val="nil"/>
              <w:bottom w:val="single" w:color="auto" w:sz="4" w:space="0"/>
              <w:right w:val="single" w:color="auto" w:sz="4" w:space="0"/>
              <w:tl2br w:val="nil"/>
              <w:tr2bl w:val="nil"/>
            </w:tcBorders>
            <w:shd w:val="clear" w:color="auto" w:fill="auto"/>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cstheme="minorBidi"/>
                <w:b w:val="0"/>
                <w:bCs w:val="0"/>
                <w:color w:val="auto"/>
                <w:kern w:val="2"/>
                <w:sz w:val="24"/>
                <w:szCs w:val="24"/>
                <w:highlight w:val="none"/>
                <w:u w:val="none" w:color="auto"/>
                <w:lang w:val="en-US" w:eastAsia="zh-CN" w:bidi="ar-SA"/>
              </w:rPr>
              <w:t>9</w:t>
            </w:r>
          </w:p>
        </w:tc>
        <w:tc>
          <w:tcPr>
            <w:tcW w:w="2412" w:type="pct"/>
            <w:gridSpan w:val="2"/>
            <w:tcBorders>
              <w:top w:val="single" w:color="auto" w:sz="4" w:space="0"/>
              <w:left w:val="single" w:color="auto" w:sz="4" w:space="0"/>
              <w:bottom w:val="single" w:color="auto" w:sz="4" w:space="0"/>
              <w:right w:val="single" w:color="auto" w:sz="4" w:space="0"/>
              <w:tl2br w:val="nil"/>
              <w:tr2bl w:val="nil"/>
            </w:tcBorders>
            <w:shd w:val="clear" w:color="auto" w:fill="auto"/>
            <w:noWrap w:val="0"/>
            <w:tcMar>
              <w:left w:w="28" w:type="dxa"/>
              <w:right w:w="28" w:type="dxa"/>
            </w:tcMar>
            <w:vAlign w:val="center"/>
          </w:tcPr>
          <w:p>
            <w:pPr>
              <w:overflowPunct w:val="0"/>
              <w:spacing w:line="480" w:lineRule="exact"/>
              <w:ind w:firstLine="0" w:firstLineChars="0"/>
              <w:jc w:val="left"/>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rPr>
              <w:t>居民人均可支配收入增长（%）</w:t>
            </w:r>
          </w:p>
        </w:tc>
        <w:tc>
          <w:tcPr>
            <w:tcW w:w="573"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b w:val="0"/>
                <w:bCs w:val="0"/>
                <w:color w:val="auto"/>
                <w:sz w:val="24"/>
                <w:szCs w:val="24"/>
                <w:highlight w:val="none"/>
                <w:u w:val="none" w:color="auto"/>
                <w:lang w:val="en-US" w:eastAsia="zh-CN"/>
              </w:rPr>
              <w:t>5.5</w:t>
            </w:r>
          </w:p>
        </w:tc>
        <w:tc>
          <w:tcPr>
            <w:tcW w:w="528"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cstheme="minorBidi"/>
                <w:color w:val="auto"/>
                <w:spacing w:val="0"/>
                <w:w w:val="100"/>
                <w:kern w:val="2"/>
                <w:sz w:val="24"/>
                <w:szCs w:val="24"/>
                <w:highlight w:val="none"/>
                <w:u w:val="none" w:color="auto"/>
                <w:lang w:val="en-US" w:eastAsia="zh-CN"/>
              </w:rPr>
              <w:t>—</w:t>
            </w:r>
          </w:p>
        </w:tc>
        <w:tc>
          <w:tcPr>
            <w:tcW w:w="671"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b w:val="0"/>
                <w:bCs w:val="0"/>
                <w:color w:val="auto"/>
                <w:sz w:val="24"/>
                <w:szCs w:val="24"/>
                <w:highlight w:val="none"/>
                <w:u w:val="none" w:color="auto"/>
                <w:lang w:val="en-US" w:eastAsia="zh-CN"/>
              </w:rPr>
              <w:t>5</w:t>
            </w:r>
          </w:p>
        </w:tc>
        <w:tc>
          <w:tcPr>
            <w:tcW w:w="543" w:type="pct"/>
            <w:tcBorders>
              <w:top w:val="single" w:color="auto" w:sz="4" w:space="0"/>
              <w:left w:val="single" w:color="auto" w:sz="4" w:space="0"/>
              <w:bottom w:val="single" w:color="auto" w:sz="4" w:space="0"/>
              <w:right w:val="nil"/>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b w:val="0"/>
                <w:bCs w:val="0"/>
                <w:color w:val="auto"/>
                <w:sz w:val="24"/>
                <w:szCs w:val="24"/>
                <w:highlight w:val="none"/>
                <w:u w:val="none" w:color="auto"/>
              </w:rPr>
              <w:t>预期性</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70" w:type="pct"/>
            <w:tcBorders>
              <w:top w:val="single" w:color="auto" w:sz="4" w:space="0"/>
              <w:left w:val="nil"/>
              <w:bottom w:val="single" w:color="auto" w:sz="4" w:space="0"/>
              <w:right w:val="single" w:color="auto" w:sz="4" w:space="0"/>
              <w:tl2br w:val="nil"/>
              <w:tr2bl w:val="nil"/>
            </w:tcBorders>
            <w:shd w:val="clear" w:color="auto" w:fill="auto"/>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cstheme="minorBidi"/>
                <w:b w:val="0"/>
                <w:bCs w:val="0"/>
                <w:color w:val="auto"/>
                <w:kern w:val="2"/>
                <w:sz w:val="24"/>
                <w:szCs w:val="24"/>
                <w:highlight w:val="none"/>
                <w:u w:val="none" w:color="auto"/>
                <w:lang w:val="en-US" w:eastAsia="zh-CN" w:bidi="ar-SA"/>
              </w:rPr>
              <w:t>10</w:t>
            </w:r>
          </w:p>
        </w:tc>
        <w:tc>
          <w:tcPr>
            <w:tcW w:w="2412" w:type="pct"/>
            <w:gridSpan w:val="2"/>
            <w:tcBorders>
              <w:top w:val="single" w:color="auto" w:sz="4" w:space="0"/>
              <w:left w:val="single" w:color="auto" w:sz="4" w:space="0"/>
              <w:bottom w:val="single" w:color="auto" w:sz="4" w:space="0"/>
              <w:right w:val="single" w:color="auto" w:sz="4" w:space="0"/>
              <w:tl2br w:val="nil"/>
              <w:tr2bl w:val="nil"/>
            </w:tcBorders>
            <w:shd w:val="clear" w:color="auto" w:fill="auto"/>
            <w:noWrap w:val="0"/>
            <w:tcMar>
              <w:left w:w="28" w:type="dxa"/>
              <w:right w:w="28" w:type="dxa"/>
            </w:tcMar>
            <w:vAlign w:val="center"/>
          </w:tcPr>
          <w:p>
            <w:pPr>
              <w:overflowPunct w:val="0"/>
              <w:spacing w:line="480" w:lineRule="exact"/>
              <w:ind w:firstLine="0" w:firstLineChars="0"/>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cstheme="minorBidi"/>
                <w:b w:val="0"/>
                <w:bCs w:val="0"/>
                <w:color w:val="auto"/>
                <w:kern w:val="2"/>
                <w:sz w:val="24"/>
                <w:szCs w:val="24"/>
                <w:highlight w:val="none"/>
                <w:u w:val="none" w:color="auto"/>
                <w:lang w:val="en-US" w:eastAsia="zh-CN" w:bidi="ar-SA"/>
              </w:rPr>
              <w:t>新增城镇就业人数（万人）</w:t>
            </w:r>
          </w:p>
        </w:tc>
        <w:tc>
          <w:tcPr>
            <w:tcW w:w="573"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b w:val="0"/>
                <w:bCs w:val="0"/>
                <w:color w:val="auto"/>
                <w:sz w:val="24"/>
                <w:szCs w:val="24"/>
                <w:highlight w:val="none"/>
                <w:u w:val="none" w:color="auto"/>
                <w:lang w:val="en-US" w:eastAsia="zh-CN"/>
              </w:rPr>
              <w:t>〔4.14〕</w:t>
            </w:r>
          </w:p>
        </w:tc>
        <w:tc>
          <w:tcPr>
            <w:tcW w:w="528"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cstheme="minorBidi"/>
                <w:color w:val="auto"/>
                <w:spacing w:val="0"/>
                <w:w w:val="100"/>
                <w:kern w:val="2"/>
                <w:sz w:val="24"/>
                <w:szCs w:val="24"/>
                <w:highlight w:val="none"/>
                <w:u w:val="none" w:color="auto"/>
                <w:lang w:val="en-US" w:eastAsia="zh-CN"/>
              </w:rPr>
              <w:t>—</w:t>
            </w:r>
          </w:p>
        </w:tc>
        <w:tc>
          <w:tcPr>
            <w:tcW w:w="671"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b w:val="0"/>
                <w:bCs w:val="0"/>
                <w:color w:val="auto"/>
                <w:sz w:val="24"/>
                <w:szCs w:val="24"/>
                <w:highlight w:val="none"/>
                <w:u w:val="none" w:color="auto"/>
                <w:lang w:val="en-US" w:eastAsia="zh-CN"/>
              </w:rPr>
              <w:t>〔3.35〕</w:t>
            </w:r>
          </w:p>
        </w:tc>
        <w:tc>
          <w:tcPr>
            <w:tcW w:w="543" w:type="pct"/>
            <w:tcBorders>
              <w:top w:val="single" w:color="auto" w:sz="4" w:space="0"/>
              <w:left w:val="single" w:color="auto" w:sz="4" w:space="0"/>
              <w:bottom w:val="single" w:color="auto" w:sz="4" w:space="0"/>
              <w:right w:val="nil"/>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b w:val="0"/>
                <w:bCs w:val="0"/>
                <w:color w:val="auto"/>
                <w:sz w:val="24"/>
                <w:szCs w:val="24"/>
                <w:highlight w:val="none"/>
                <w:u w:val="none" w:color="auto"/>
              </w:rPr>
              <w:t>预期性</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70" w:type="pct"/>
            <w:tcBorders>
              <w:top w:val="single" w:color="auto" w:sz="4" w:space="0"/>
              <w:left w:val="nil"/>
              <w:bottom w:val="single" w:color="auto" w:sz="4" w:space="0"/>
              <w:right w:val="single" w:color="auto" w:sz="4" w:space="0"/>
              <w:tl2br w:val="nil"/>
              <w:tr2bl w:val="nil"/>
            </w:tcBorders>
            <w:shd w:val="clear" w:color="auto" w:fill="auto"/>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rPr>
              <w:t>1</w:t>
            </w:r>
            <w:r>
              <w:rPr>
                <w:rFonts w:hint="eastAsia" w:ascii="楷体_GB2312" w:hAnsi="仿宋_GB2312" w:eastAsia="楷体_GB2312"/>
                <w:b w:val="0"/>
                <w:bCs w:val="0"/>
                <w:color w:val="auto"/>
                <w:sz w:val="24"/>
                <w:szCs w:val="24"/>
                <w:highlight w:val="none"/>
                <w:u w:val="none" w:color="auto"/>
                <w:lang w:val="en-US" w:eastAsia="zh-CN"/>
              </w:rPr>
              <w:t>1</w:t>
            </w:r>
          </w:p>
        </w:tc>
        <w:tc>
          <w:tcPr>
            <w:tcW w:w="2412" w:type="pct"/>
            <w:gridSpan w:val="2"/>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b w:val="0"/>
                <w:bCs w:val="0"/>
                <w:color w:val="auto"/>
                <w:sz w:val="24"/>
                <w:szCs w:val="24"/>
                <w:highlight w:val="none"/>
                <w:u w:val="none" w:color="auto"/>
                <w:lang w:val="en-US" w:eastAsia="zh-CN"/>
              </w:rPr>
              <w:t>劳动年龄人口平均受教育年限（年）</w:t>
            </w:r>
          </w:p>
        </w:tc>
        <w:tc>
          <w:tcPr>
            <w:tcW w:w="573"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b w:val="0"/>
                <w:bCs w:val="0"/>
                <w:color w:val="auto"/>
                <w:sz w:val="24"/>
                <w:szCs w:val="24"/>
                <w:highlight w:val="none"/>
                <w:u w:val="none" w:color="auto"/>
                <w:lang w:val="en-US"/>
              </w:rPr>
            </w:pPr>
            <w:r>
              <w:rPr>
                <w:rFonts w:hint="eastAsia" w:ascii="楷体_GB2312" w:hAnsi="仿宋_GB2312" w:eastAsia="楷体_GB2312"/>
                <w:b w:val="0"/>
                <w:bCs w:val="0"/>
                <w:color w:val="auto"/>
                <w:sz w:val="24"/>
                <w:szCs w:val="24"/>
                <w:highlight w:val="none"/>
                <w:u w:val="none" w:color="auto"/>
                <w:lang w:val="en-US" w:eastAsia="zh-CN"/>
              </w:rPr>
              <w:t>10.8</w:t>
            </w:r>
          </w:p>
        </w:tc>
        <w:tc>
          <w:tcPr>
            <w:tcW w:w="528"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b w:val="0"/>
                <w:bCs w:val="0"/>
                <w:color w:val="auto"/>
                <w:sz w:val="24"/>
                <w:szCs w:val="24"/>
                <w:highlight w:val="none"/>
                <w:u w:val="none" w:color="auto"/>
                <w:lang w:val="en-US" w:eastAsia="zh-CN"/>
              </w:rPr>
              <w:t>11.2</w:t>
            </w:r>
          </w:p>
        </w:tc>
        <w:tc>
          <w:tcPr>
            <w:tcW w:w="671"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cstheme="minorBidi"/>
                <w:color w:val="auto"/>
                <w:spacing w:val="0"/>
                <w:w w:val="100"/>
                <w:kern w:val="2"/>
                <w:sz w:val="24"/>
                <w:szCs w:val="24"/>
                <w:highlight w:val="none"/>
                <w:u w:val="none" w:color="auto"/>
                <w:lang w:val="en-US" w:eastAsia="zh-CN"/>
              </w:rPr>
              <w:t>—</w:t>
            </w:r>
          </w:p>
        </w:tc>
        <w:tc>
          <w:tcPr>
            <w:tcW w:w="543" w:type="pct"/>
            <w:tcBorders>
              <w:top w:val="single" w:color="auto" w:sz="4" w:space="0"/>
              <w:left w:val="single" w:color="auto" w:sz="4" w:space="0"/>
              <w:bottom w:val="single" w:color="auto" w:sz="4" w:space="0"/>
              <w:right w:val="nil"/>
              <w:tl2br w:val="nil"/>
              <w:tr2bl w:val="nil"/>
            </w:tcBorders>
            <w:shd w:val="clear" w:color="auto" w:fill="auto"/>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rPr>
              <w:t>约束性</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270" w:type="pct"/>
            <w:vMerge w:val="restart"/>
            <w:tcBorders>
              <w:top w:val="single" w:color="auto" w:sz="4" w:space="0"/>
              <w:left w:val="nil"/>
              <w:right w:val="single" w:color="auto" w:sz="4" w:space="0"/>
              <w:tl2br w:val="nil"/>
              <w:tr2bl w:val="nil"/>
            </w:tcBorders>
            <w:shd w:val="clear" w:color="auto" w:fill="auto"/>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b w:val="0"/>
                <w:bCs w:val="0"/>
                <w:color w:val="auto"/>
                <w:sz w:val="24"/>
                <w:szCs w:val="24"/>
                <w:highlight w:val="none"/>
                <w:u w:val="none" w:color="auto"/>
              </w:rPr>
              <w:t>1</w:t>
            </w:r>
            <w:r>
              <w:rPr>
                <w:rFonts w:hint="eastAsia" w:ascii="楷体_GB2312" w:hAnsi="仿宋_GB2312" w:eastAsia="楷体_GB2312"/>
                <w:b w:val="0"/>
                <w:bCs w:val="0"/>
                <w:color w:val="auto"/>
                <w:sz w:val="24"/>
                <w:szCs w:val="24"/>
                <w:highlight w:val="none"/>
                <w:u w:val="none" w:color="auto"/>
                <w:lang w:val="en-US" w:eastAsia="zh-CN"/>
              </w:rPr>
              <w:t>2</w:t>
            </w:r>
          </w:p>
        </w:tc>
        <w:tc>
          <w:tcPr>
            <w:tcW w:w="1124" w:type="pct"/>
            <w:vMerge w:val="restart"/>
            <w:tcBorders>
              <w:top w:val="single" w:color="auto" w:sz="4" w:space="0"/>
              <w:left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rPr>
                <w:rFonts w:hint="default"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b w:val="0"/>
                <w:bCs w:val="0"/>
                <w:color w:val="auto"/>
                <w:sz w:val="24"/>
                <w:szCs w:val="24"/>
                <w:highlight w:val="none"/>
                <w:u w:val="none" w:color="auto"/>
                <w:lang w:val="en-US" w:eastAsia="zh-CN"/>
              </w:rPr>
              <w:t>每千人口拥有医护人员数</w:t>
            </w:r>
          </w:p>
        </w:tc>
        <w:tc>
          <w:tcPr>
            <w:tcW w:w="1288"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rPr>
                <w:rFonts w:hint="default"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b w:val="0"/>
                <w:bCs w:val="0"/>
                <w:color w:val="auto"/>
                <w:sz w:val="24"/>
                <w:szCs w:val="24"/>
                <w:highlight w:val="none"/>
                <w:u w:val="none" w:color="auto"/>
                <w:lang w:val="en-US" w:eastAsia="zh-CN"/>
              </w:rPr>
              <w:t>执业医师数（人）</w:t>
            </w:r>
          </w:p>
        </w:tc>
        <w:tc>
          <w:tcPr>
            <w:tcW w:w="573"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color w:val="auto"/>
                <w:sz w:val="24"/>
                <w:szCs w:val="24"/>
                <w:highlight w:val="none"/>
                <w:u w:val="none" w:color="auto"/>
                <w:lang w:val="en-US" w:eastAsia="zh-CN"/>
              </w:rPr>
              <w:t>3.68</w:t>
            </w:r>
          </w:p>
        </w:tc>
        <w:tc>
          <w:tcPr>
            <w:tcW w:w="528"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color w:val="auto"/>
                <w:sz w:val="24"/>
                <w:szCs w:val="24"/>
                <w:highlight w:val="none"/>
                <w:u w:val="none" w:color="auto"/>
                <w:lang w:val="en-US" w:eastAsia="zh-CN"/>
              </w:rPr>
              <w:t>4.45</w:t>
            </w:r>
          </w:p>
        </w:tc>
        <w:tc>
          <w:tcPr>
            <w:tcW w:w="671"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cstheme="minorBidi"/>
                <w:color w:val="auto"/>
                <w:spacing w:val="0"/>
                <w:w w:val="100"/>
                <w:kern w:val="2"/>
                <w:sz w:val="24"/>
                <w:szCs w:val="24"/>
                <w:highlight w:val="none"/>
                <w:u w:val="none" w:color="auto"/>
                <w:lang w:val="en-US" w:eastAsia="zh-CN"/>
              </w:rPr>
              <w:t>—</w:t>
            </w:r>
          </w:p>
        </w:tc>
        <w:tc>
          <w:tcPr>
            <w:tcW w:w="543" w:type="pct"/>
            <w:vMerge w:val="restart"/>
            <w:tcBorders>
              <w:top w:val="single" w:color="auto" w:sz="4" w:space="0"/>
              <w:left w:val="single" w:color="auto" w:sz="4" w:space="0"/>
              <w:right w:val="nil"/>
              <w:tl2br w:val="nil"/>
              <w:tr2bl w:val="nil"/>
            </w:tcBorders>
            <w:shd w:val="clear" w:color="auto" w:fill="auto"/>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rPr>
              <w:t>预期性</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270" w:type="pct"/>
            <w:vMerge w:val="continue"/>
            <w:tcBorders>
              <w:left w:val="nil"/>
              <w:bottom w:val="single" w:color="auto" w:sz="4" w:space="0"/>
              <w:right w:val="single" w:color="auto" w:sz="4" w:space="0"/>
              <w:tl2br w:val="nil"/>
              <w:tr2bl w:val="nil"/>
            </w:tcBorders>
            <w:shd w:val="clear" w:color="auto" w:fill="auto"/>
            <w:noWrap w:val="0"/>
            <w:tcMar>
              <w:left w:w="28" w:type="dxa"/>
              <w:right w:w="28" w:type="dxa"/>
            </w:tcMar>
            <w:vAlign w:val="center"/>
          </w:tcPr>
          <w:p>
            <w:pPr>
              <w:overflowPunct w:val="0"/>
              <w:spacing w:line="480" w:lineRule="exact"/>
              <w:ind w:firstLine="0" w:firstLineChars="0"/>
              <w:jc w:val="center"/>
              <w:rPr>
                <w:highlight w:val="none"/>
              </w:rPr>
            </w:pPr>
          </w:p>
        </w:tc>
        <w:tc>
          <w:tcPr>
            <w:tcW w:w="1124" w:type="pct"/>
            <w:vMerge w:val="continue"/>
            <w:tcBorders>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highlight w:val="none"/>
              </w:rPr>
            </w:pPr>
          </w:p>
        </w:tc>
        <w:tc>
          <w:tcPr>
            <w:tcW w:w="1288"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left"/>
              <w:rPr>
                <w:rFonts w:hint="default"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b w:val="0"/>
                <w:bCs w:val="0"/>
                <w:color w:val="auto"/>
                <w:sz w:val="24"/>
                <w:szCs w:val="24"/>
                <w:highlight w:val="none"/>
                <w:u w:val="none" w:color="auto"/>
                <w:lang w:val="en-US" w:eastAsia="zh-CN"/>
              </w:rPr>
              <w:t>注册护士数（人）</w:t>
            </w:r>
          </w:p>
        </w:tc>
        <w:tc>
          <w:tcPr>
            <w:tcW w:w="573"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color w:val="auto"/>
                <w:sz w:val="24"/>
                <w:szCs w:val="24"/>
                <w:highlight w:val="none"/>
                <w:u w:val="none" w:color="auto"/>
                <w:lang w:val="en-US" w:eastAsia="zh-CN"/>
              </w:rPr>
              <w:t>4.31</w:t>
            </w:r>
          </w:p>
        </w:tc>
        <w:tc>
          <w:tcPr>
            <w:tcW w:w="528"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color w:val="auto"/>
                <w:sz w:val="24"/>
                <w:szCs w:val="24"/>
                <w:highlight w:val="none"/>
                <w:u w:val="none" w:color="auto"/>
                <w:lang w:val="en-US" w:eastAsia="zh-CN"/>
              </w:rPr>
              <w:t>5.31</w:t>
            </w:r>
          </w:p>
        </w:tc>
        <w:tc>
          <w:tcPr>
            <w:tcW w:w="671"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cstheme="minorBidi"/>
                <w:color w:val="auto"/>
                <w:spacing w:val="0"/>
                <w:w w:val="100"/>
                <w:kern w:val="2"/>
                <w:sz w:val="24"/>
                <w:szCs w:val="24"/>
                <w:highlight w:val="none"/>
                <w:u w:val="none" w:color="auto"/>
                <w:lang w:val="en-US" w:eastAsia="zh-CN"/>
              </w:rPr>
              <w:t>—</w:t>
            </w:r>
          </w:p>
        </w:tc>
        <w:tc>
          <w:tcPr>
            <w:tcW w:w="543" w:type="pct"/>
            <w:vMerge w:val="continue"/>
            <w:tcBorders>
              <w:left w:val="single" w:color="auto" w:sz="4" w:space="0"/>
              <w:bottom w:val="single" w:color="auto" w:sz="4" w:space="0"/>
              <w:right w:val="nil"/>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lang w:val="en-US" w:eastAsia="zh-CN"/>
              </w:rPr>
            </w:pP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70" w:type="pct"/>
            <w:tcBorders>
              <w:top w:val="single" w:color="auto" w:sz="4" w:space="0"/>
              <w:left w:val="nil"/>
              <w:bottom w:val="single" w:color="auto" w:sz="4" w:space="0"/>
              <w:right w:val="single" w:color="auto" w:sz="4" w:space="0"/>
              <w:tl2br w:val="nil"/>
              <w:tr2bl w:val="nil"/>
            </w:tcBorders>
            <w:shd w:val="clear" w:color="auto" w:fill="auto"/>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rPr>
              <w:t>1</w:t>
            </w:r>
            <w:r>
              <w:rPr>
                <w:rFonts w:hint="eastAsia" w:ascii="楷体_GB2312" w:hAnsi="仿宋_GB2312" w:eastAsia="楷体_GB2312"/>
                <w:b w:val="0"/>
                <w:bCs w:val="0"/>
                <w:color w:val="auto"/>
                <w:sz w:val="24"/>
                <w:szCs w:val="24"/>
                <w:highlight w:val="none"/>
                <w:u w:val="none" w:color="auto"/>
                <w:lang w:val="en-US" w:eastAsia="zh-CN"/>
              </w:rPr>
              <w:t>3</w:t>
            </w:r>
          </w:p>
        </w:tc>
        <w:tc>
          <w:tcPr>
            <w:tcW w:w="2412" w:type="pct"/>
            <w:gridSpan w:val="2"/>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rPr>
                <w:rFonts w:hint="eastAsia"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b w:val="0"/>
                <w:bCs w:val="0"/>
                <w:color w:val="auto"/>
                <w:sz w:val="24"/>
                <w:szCs w:val="24"/>
                <w:highlight w:val="none"/>
                <w:u w:val="none" w:color="auto"/>
                <w:lang w:val="en-US" w:eastAsia="zh-CN"/>
              </w:rPr>
              <w:t>养老机构护理型床位占比（%）</w:t>
            </w:r>
          </w:p>
        </w:tc>
        <w:tc>
          <w:tcPr>
            <w:tcW w:w="573"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b w:val="0"/>
                <w:bCs w:val="0"/>
                <w:color w:val="auto"/>
                <w:sz w:val="24"/>
                <w:szCs w:val="24"/>
                <w:highlight w:val="none"/>
                <w:u w:val="none" w:color="auto"/>
                <w:lang w:val="en-US"/>
              </w:rPr>
            </w:pPr>
            <w:r>
              <w:rPr>
                <w:rFonts w:hint="eastAsia" w:ascii="楷体_GB2312" w:hAnsi="仿宋_GB2312" w:eastAsia="楷体_GB2312"/>
                <w:b w:val="0"/>
                <w:bCs w:val="0"/>
                <w:color w:val="auto"/>
                <w:sz w:val="24"/>
                <w:szCs w:val="24"/>
                <w:highlight w:val="none"/>
                <w:u w:val="none" w:color="auto"/>
                <w:lang w:val="en-US" w:eastAsia="zh-CN"/>
              </w:rPr>
              <w:t>80</w:t>
            </w:r>
          </w:p>
        </w:tc>
        <w:tc>
          <w:tcPr>
            <w:tcW w:w="528"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b w:val="0"/>
                <w:bCs w:val="0"/>
                <w:color w:val="auto"/>
                <w:sz w:val="24"/>
                <w:szCs w:val="24"/>
                <w:highlight w:val="none"/>
                <w:u w:val="none" w:color="auto"/>
                <w:lang w:val="en-US" w:eastAsia="zh-CN"/>
              </w:rPr>
              <w:t>90</w:t>
            </w:r>
          </w:p>
        </w:tc>
        <w:tc>
          <w:tcPr>
            <w:tcW w:w="671"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cstheme="minorBidi"/>
                <w:color w:val="auto"/>
                <w:spacing w:val="0"/>
                <w:w w:val="100"/>
                <w:kern w:val="2"/>
                <w:sz w:val="24"/>
                <w:szCs w:val="24"/>
                <w:highlight w:val="none"/>
                <w:u w:val="none" w:color="auto"/>
                <w:lang w:val="en-US" w:eastAsia="zh-CN"/>
              </w:rPr>
              <w:t>—</w:t>
            </w:r>
          </w:p>
        </w:tc>
        <w:tc>
          <w:tcPr>
            <w:tcW w:w="543" w:type="pct"/>
            <w:tcBorders>
              <w:top w:val="single" w:color="auto" w:sz="4" w:space="0"/>
              <w:left w:val="single" w:color="auto" w:sz="4" w:space="0"/>
              <w:bottom w:val="single" w:color="auto" w:sz="4" w:space="0"/>
              <w:right w:val="nil"/>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b w:val="0"/>
                <w:bCs w:val="0"/>
                <w:color w:val="auto"/>
                <w:sz w:val="24"/>
                <w:szCs w:val="24"/>
                <w:highlight w:val="none"/>
                <w:u w:val="none" w:color="auto"/>
              </w:rPr>
              <w:t>预期性</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70" w:type="pct"/>
            <w:tcBorders>
              <w:top w:val="single" w:color="auto" w:sz="4" w:space="0"/>
              <w:left w:val="nil"/>
              <w:bottom w:val="single" w:color="auto" w:sz="4" w:space="0"/>
              <w:right w:val="single" w:color="auto" w:sz="4" w:space="0"/>
              <w:tl2br w:val="nil"/>
              <w:tr2bl w:val="nil"/>
            </w:tcBorders>
            <w:shd w:val="clear" w:color="auto" w:fill="auto"/>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rPr>
              <w:t>1</w:t>
            </w:r>
            <w:r>
              <w:rPr>
                <w:rFonts w:hint="eastAsia" w:ascii="楷体_GB2312" w:hAnsi="仿宋_GB2312" w:eastAsia="楷体_GB2312"/>
                <w:b w:val="0"/>
                <w:bCs w:val="0"/>
                <w:color w:val="auto"/>
                <w:sz w:val="24"/>
                <w:szCs w:val="24"/>
                <w:highlight w:val="none"/>
                <w:u w:val="none" w:color="auto"/>
                <w:lang w:val="en-US" w:eastAsia="zh-CN"/>
              </w:rPr>
              <w:t>4</w:t>
            </w:r>
          </w:p>
        </w:tc>
        <w:tc>
          <w:tcPr>
            <w:tcW w:w="2412" w:type="pct"/>
            <w:gridSpan w:val="2"/>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rPr>
                <w:rFonts w:hint="eastAsia"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color w:val="auto"/>
                <w:sz w:val="24"/>
                <w:highlight w:val="none"/>
                <w:u w:val="none" w:color="auto"/>
              </w:rPr>
              <w:t>3岁以下婴幼儿入托率提高（</w:t>
            </w:r>
            <w:r>
              <w:rPr>
                <w:rFonts w:hint="eastAsia" w:ascii="楷体_GB2312" w:hAnsi="仿宋_GB2312" w:eastAsia="楷体_GB2312"/>
                <w:b w:val="0"/>
                <w:bCs w:val="0"/>
                <w:color w:val="auto"/>
                <w:sz w:val="24"/>
                <w:szCs w:val="24"/>
                <w:highlight w:val="none"/>
                <w:u w:val="none" w:color="auto"/>
                <w:lang w:val="en-US" w:eastAsia="zh-CN"/>
              </w:rPr>
              <w:t>%</w:t>
            </w:r>
            <w:r>
              <w:rPr>
                <w:rFonts w:hint="eastAsia" w:ascii="楷体_GB2312" w:hAnsi="仿宋_GB2312" w:eastAsia="楷体_GB2312"/>
                <w:color w:val="auto"/>
                <w:sz w:val="24"/>
                <w:highlight w:val="none"/>
                <w:u w:val="none" w:color="auto"/>
              </w:rPr>
              <w:t>）</w:t>
            </w:r>
          </w:p>
        </w:tc>
        <w:tc>
          <w:tcPr>
            <w:tcW w:w="573"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rPr>
            </w:pPr>
          </w:p>
        </w:tc>
        <w:tc>
          <w:tcPr>
            <w:tcW w:w="528"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cstheme="minorBidi"/>
                <w:color w:val="auto"/>
                <w:spacing w:val="0"/>
                <w:w w:val="100"/>
                <w:kern w:val="2"/>
                <w:sz w:val="24"/>
                <w:szCs w:val="24"/>
                <w:highlight w:val="none"/>
                <w:u w:val="none" w:color="auto"/>
                <w:lang w:val="en-US" w:eastAsia="zh-CN"/>
              </w:rPr>
              <w:t>—</w:t>
            </w:r>
          </w:p>
        </w:tc>
        <w:tc>
          <w:tcPr>
            <w:tcW w:w="671"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color w:val="auto"/>
                <w:sz w:val="24"/>
                <w:szCs w:val="24"/>
                <w:highlight w:val="none"/>
                <w:u w:val="none" w:color="auto"/>
                <w:lang w:val="en-US" w:eastAsia="zh-CN"/>
              </w:rPr>
              <w:t>与全市一致</w:t>
            </w:r>
          </w:p>
        </w:tc>
        <w:tc>
          <w:tcPr>
            <w:tcW w:w="543" w:type="pct"/>
            <w:tcBorders>
              <w:top w:val="single" w:color="auto" w:sz="4" w:space="0"/>
              <w:left w:val="single" w:color="auto" w:sz="4" w:space="0"/>
              <w:bottom w:val="single" w:color="auto" w:sz="4" w:space="0"/>
              <w:right w:val="nil"/>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b w:val="0"/>
                <w:bCs w:val="0"/>
                <w:color w:val="auto"/>
                <w:sz w:val="24"/>
                <w:szCs w:val="24"/>
                <w:highlight w:val="none"/>
                <w:u w:val="none" w:color="auto"/>
              </w:rPr>
              <w:t>预期性</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70" w:type="pct"/>
            <w:tcBorders>
              <w:top w:val="single" w:color="auto" w:sz="4" w:space="0"/>
              <w:left w:val="nil"/>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b w:val="0"/>
                <w:bCs w:val="0"/>
                <w:color w:val="auto"/>
                <w:sz w:val="24"/>
                <w:szCs w:val="24"/>
                <w:highlight w:val="none"/>
                <w:u w:val="none" w:color="auto"/>
                <w:lang w:val="en-US" w:eastAsia="zh-CN"/>
              </w:rPr>
              <w:t>15</w:t>
            </w:r>
          </w:p>
        </w:tc>
        <w:tc>
          <w:tcPr>
            <w:tcW w:w="2412" w:type="pct"/>
            <w:gridSpan w:val="2"/>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b w:val="0"/>
                <w:bCs w:val="0"/>
                <w:color w:val="auto"/>
                <w:sz w:val="24"/>
                <w:szCs w:val="24"/>
                <w:highlight w:val="none"/>
                <w:u w:val="none" w:color="auto"/>
              </w:rPr>
              <w:t>人均预期寿命（岁）</w:t>
            </w:r>
          </w:p>
        </w:tc>
        <w:tc>
          <w:tcPr>
            <w:tcW w:w="573"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color w:val="auto"/>
                <w:sz w:val="24"/>
                <w:szCs w:val="24"/>
                <w:highlight w:val="none"/>
                <w:u w:val="none" w:color="auto"/>
                <w:lang w:val="en-US" w:eastAsia="zh-CN"/>
              </w:rPr>
              <w:t>80.28</w:t>
            </w:r>
          </w:p>
        </w:tc>
        <w:tc>
          <w:tcPr>
            <w:tcW w:w="528"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color w:val="auto"/>
                <w:sz w:val="24"/>
                <w:szCs w:val="24"/>
                <w:highlight w:val="none"/>
                <w:u w:val="none" w:color="auto"/>
                <w:lang w:val="en-US" w:eastAsia="zh-CN"/>
              </w:rPr>
              <w:t>81.28</w:t>
            </w:r>
          </w:p>
        </w:tc>
        <w:tc>
          <w:tcPr>
            <w:tcW w:w="671"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cstheme="minorBidi"/>
                <w:color w:val="auto"/>
                <w:spacing w:val="0"/>
                <w:w w:val="100"/>
                <w:kern w:val="2"/>
                <w:sz w:val="24"/>
                <w:szCs w:val="24"/>
                <w:highlight w:val="none"/>
                <w:u w:val="none" w:color="auto"/>
                <w:lang w:val="en-US" w:eastAsia="zh-CN"/>
              </w:rPr>
              <w:t>—</w:t>
            </w:r>
          </w:p>
        </w:tc>
        <w:tc>
          <w:tcPr>
            <w:tcW w:w="543" w:type="pct"/>
            <w:tcBorders>
              <w:top w:val="single" w:color="auto" w:sz="4" w:space="0"/>
              <w:left w:val="single" w:color="auto" w:sz="4" w:space="0"/>
              <w:bottom w:val="single" w:color="auto" w:sz="4" w:space="0"/>
              <w:right w:val="nil"/>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b w:val="0"/>
                <w:bCs w:val="0"/>
                <w:color w:val="auto"/>
                <w:sz w:val="24"/>
                <w:szCs w:val="24"/>
                <w:highlight w:val="none"/>
                <w:u w:val="none" w:color="auto"/>
              </w:rPr>
              <w:t>预期性</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5000" w:type="pct"/>
            <w:gridSpan w:val="7"/>
            <w:tcBorders>
              <w:top w:val="single" w:color="auto" w:sz="4" w:space="0"/>
              <w:left w:val="nil"/>
              <w:bottom w:val="single" w:color="auto" w:sz="4" w:space="0"/>
              <w:right w:val="nil"/>
              <w:tl2br w:val="nil"/>
              <w:tr2bl w:val="nil"/>
            </w:tcBorders>
            <w:noWrap w:val="0"/>
            <w:tcMar>
              <w:left w:w="28" w:type="dxa"/>
              <w:right w:w="28" w:type="dxa"/>
            </w:tcMar>
            <w:vAlign w:val="center"/>
          </w:tcPr>
          <w:p>
            <w:pPr>
              <w:overflowPunct w:val="0"/>
              <w:spacing w:line="480" w:lineRule="exact"/>
              <w:ind w:firstLine="0" w:firstLineChars="0"/>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b w:val="0"/>
                <w:bCs w:val="0"/>
                <w:color w:val="auto"/>
                <w:sz w:val="24"/>
                <w:szCs w:val="24"/>
                <w:highlight w:val="none"/>
                <w:u w:val="none" w:color="auto"/>
                <w:lang w:eastAsia="zh-CN"/>
              </w:rPr>
              <w:t>（</w:t>
            </w:r>
            <w:r>
              <w:rPr>
                <w:rFonts w:hint="eastAsia" w:ascii="楷体_GB2312" w:hAnsi="仿宋_GB2312" w:eastAsia="楷体_GB2312"/>
                <w:b w:val="0"/>
                <w:bCs w:val="0"/>
                <w:color w:val="auto"/>
                <w:sz w:val="24"/>
                <w:szCs w:val="24"/>
                <w:highlight w:val="none"/>
                <w:u w:val="none" w:color="auto"/>
                <w:lang w:val="en-US" w:eastAsia="zh-CN"/>
              </w:rPr>
              <w:t>四</w:t>
            </w:r>
            <w:r>
              <w:rPr>
                <w:rFonts w:hint="eastAsia" w:ascii="楷体_GB2312" w:hAnsi="仿宋_GB2312" w:eastAsia="楷体_GB2312"/>
                <w:b w:val="0"/>
                <w:bCs w:val="0"/>
                <w:color w:val="auto"/>
                <w:sz w:val="24"/>
                <w:szCs w:val="24"/>
                <w:highlight w:val="none"/>
                <w:u w:val="none" w:color="auto"/>
                <w:lang w:eastAsia="zh-CN"/>
              </w:rPr>
              <w:t xml:space="preserve">）  </w:t>
            </w:r>
            <w:r>
              <w:rPr>
                <w:rFonts w:hint="eastAsia" w:ascii="楷体_GB2312" w:hAnsi="仿宋_GB2312" w:eastAsia="楷体_GB2312"/>
                <w:b w:val="0"/>
                <w:bCs w:val="0"/>
                <w:color w:val="auto"/>
                <w:sz w:val="24"/>
                <w:szCs w:val="24"/>
                <w:highlight w:val="none"/>
                <w:u w:val="none" w:color="auto"/>
              </w:rPr>
              <w:t>绿色</w:t>
            </w:r>
            <w:r>
              <w:rPr>
                <w:rFonts w:hint="eastAsia" w:ascii="楷体_GB2312" w:hAnsi="仿宋_GB2312" w:eastAsia="楷体_GB2312"/>
                <w:b w:val="0"/>
                <w:bCs w:val="0"/>
                <w:color w:val="auto"/>
                <w:sz w:val="24"/>
                <w:szCs w:val="24"/>
                <w:highlight w:val="none"/>
                <w:u w:val="none" w:color="auto"/>
                <w:lang w:val="en-US" w:eastAsia="zh-CN"/>
              </w:rPr>
              <w:t>低碳</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70" w:type="pct"/>
            <w:tcBorders>
              <w:top w:val="single" w:color="auto" w:sz="4" w:space="0"/>
              <w:left w:val="nil"/>
              <w:bottom w:val="single" w:color="auto" w:sz="4" w:space="0"/>
              <w:right w:val="single" w:color="auto" w:sz="4" w:space="0"/>
              <w:tl2br w:val="nil"/>
              <w:tr2bl w:val="nil"/>
            </w:tcBorders>
            <w:shd w:val="clear" w:color="auto" w:fill="auto"/>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lang w:val="en-US" w:eastAsia="zh-CN"/>
              </w:rPr>
              <w:t>16</w:t>
            </w:r>
          </w:p>
        </w:tc>
        <w:tc>
          <w:tcPr>
            <w:tcW w:w="2412" w:type="pct"/>
            <w:gridSpan w:val="2"/>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b w:val="0"/>
                <w:bCs w:val="0"/>
                <w:color w:val="auto"/>
                <w:sz w:val="24"/>
                <w:szCs w:val="24"/>
                <w:highlight w:val="none"/>
                <w:u w:val="none" w:color="auto"/>
              </w:rPr>
              <w:t>单位</w:t>
            </w:r>
            <w:r>
              <w:rPr>
                <w:rFonts w:hint="eastAsia" w:ascii="楷体_GB2312" w:hAnsi="仿宋_GB2312" w:eastAsia="楷体_GB2312"/>
                <w:b w:val="0"/>
                <w:bCs w:val="0"/>
                <w:color w:val="auto"/>
                <w:sz w:val="24"/>
                <w:szCs w:val="24"/>
                <w:highlight w:val="none"/>
                <w:u w:val="none" w:color="auto"/>
                <w:lang w:val="en-US" w:eastAsia="zh-CN"/>
              </w:rPr>
              <w:t>GDP</w:t>
            </w:r>
            <w:r>
              <w:rPr>
                <w:rFonts w:hint="eastAsia" w:ascii="楷体_GB2312" w:hAnsi="仿宋_GB2312" w:eastAsia="楷体_GB2312"/>
                <w:b w:val="0"/>
                <w:bCs w:val="0"/>
                <w:color w:val="auto"/>
                <w:sz w:val="24"/>
                <w:szCs w:val="24"/>
                <w:highlight w:val="none"/>
                <w:u w:val="none" w:color="auto"/>
              </w:rPr>
              <w:t>二氧化碳排放降低（%）</w:t>
            </w:r>
          </w:p>
        </w:tc>
        <w:tc>
          <w:tcPr>
            <w:tcW w:w="573" w:type="pct"/>
            <w:tcBorders>
              <w:top w:val="single" w:color="auto" w:sz="4" w:space="0"/>
              <w:left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lang w:eastAsia="zh-CN"/>
              </w:rPr>
            </w:pPr>
            <w:r>
              <w:rPr>
                <w:rFonts w:hint="eastAsia" w:ascii="楷体_GB2312" w:hAnsi="仿宋_GB2312" w:eastAsia="楷体_GB2312" w:cstheme="minorBidi"/>
                <w:color w:val="auto"/>
                <w:spacing w:val="0"/>
                <w:w w:val="100"/>
                <w:kern w:val="2"/>
                <w:sz w:val="24"/>
                <w:szCs w:val="24"/>
                <w:highlight w:val="none"/>
                <w:u w:val="none" w:color="auto"/>
                <w:lang w:val="en-US" w:eastAsia="zh-CN"/>
              </w:rPr>
              <w:t>—</w:t>
            </w:r>
          </w:p>
        </w:tc>
        <w:tc>
          <w:tcPr>
            <w:tcW w:w="528" w:type="pct"/>
            <w:vMerge w:val="restart"/>
            <w:tcBorders>
              <w:top w:val="single" w:color="auto" w:sz="4" w:space="0"/>
              <w:left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b w:val="0"/>
                <w:bCs w:val="0"/>
                <w:color w:val="auto"/>
                <w:sz w:val="24"/>
                <w:szCs w:val="24"/>
                <w:highlight w:val="none"/>
                <w:u w:val="none" w:color="auto"/>
                <w:lang w:val="en-US" w:eastAsia="zh-CN"/>
              </w:rPr>
              <w:t>完成市下达任务</w:t>
            </w:r>
          </w:p>
        </w:tc>
        <w:tc>
          <w:tcPr>
            <w:tcW w:w="671"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cstheme="minorBidi"/>
                <w:color w:val="auto"/>
                <w:spacing w:val="0"/>
                <w:w w:val="100"/>
                <w:kern w:val="2"/>
                <w:sz w:val="24"/>
                <w:szCs w:val="24"/>
                <w:highlight w:val="none"/>
                <w:u w:val="none" w:color="auto"/>
                <w:lang w:val="en-US" w:eastAsia="zh-CN"/>
              </w:rPr>
              <w:t>—</w:t>
            </w:r>
          </w:p>
        </w:tc>
        <w:tc>
          <w:tcPr>
            <w:tcW w:w="543" w:type="pct"/>
            <w:tcBorders>
              <w:top w:val="single" w:color="auto" w:sz="4" w:space="0"/>
              <w:left w:val="single" w:color="auto" w:sz="4" w:space="0"/>
              <w:bottom w:val="single" w:color="auto" w:sz="4" w:space="0"/>
              <w:right w:val="nil"/>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b w:val="0"/>
                <w:bCs w:val="0"/>
                <w:color w:val="auto"/>
                <w:sz w:val="24"/>
                <w:szCs w:val="24"/>
                <w:highlight w:val="none"/>
                <w:u w:val="none" w:color="auto"/>
              </w:rPr>
              <w:t>约束性</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70" w:type="pct"/>
            <w:tcBorders>
              <w:top w:val="single" w:color="auto" w:sz="4" w:space="0"/>
              <w:left w:val="nil"/>
              <w:bottom w:val="single" w:color="auto" w:sz="4" w:space="0"/>
              <w:right w:val="single" w:color="auto" w:sz="4" w:space="0"/>
              <w:tl2br w:val="nil"/>
              <w:tr2bl w:val="nil"/>
            </w:tcBorders>
            <w:shd w:val="clear" w:color="auto" w:fill="auto"/>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lang w:val="en-US" w:eastAsia="zh-CN"/>
              </w:rPr>
              <w:t>17</w:t>
            </w:r>
          </w:p>
        </w:tc>
        <w:tc>
          <w:tcPr>
            <w:tcW w:w="2412" w:type="pct"/>
            <w:gridSpan w:val="2"/>
            <w:tcBorders>
              <w:top w:val="single" w:color="auto" w:sz="4" w:space="0"/>
              <w:left w:val="single" w:color="auto" w:sz="4" w:space="0"/>
              <w:bottom w:val="single" w:color="auto" w:sz="4" w:space="0"/>
              <w:right w:val="single" w:color="auto" w:sz="4" w:space="0"/>
              <w:tl2br w:val="nil"/>
              <w:tr2bl w:val="nil"/>
            </w:tcBorders>
            <w:shd w:val="clear" w:color="auto" w:fill="auto"/>
            <w:noWrap w:val="0"/>
            <w:tcMar>
              <w:left w:w="28" w:type="dxa"/>
              <w:right w:w="28" w:type="dxa"/>
            </w:tcMar>
            <w:vAlign w:val="center"/>
          </w:tcPr>
          <w:p>
            <w:pPr>
              <w:overflowPunct w:val="0"/>
              <w:spacing w:line="480" w:lineRule="exact"/>
              <w:ind w:firstLine="0" w:firstLineChars="0"/>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rPr>
              <w:t>非化石能源消费占能源消费总量比重（%）</w:t>
            </w:r>
          </w:p>
        </w:tc>
        <w:tc>
          <w:tcPr>
            <w:tcW w:w="573" w:type="pct"/>
            <w:tcBorders>
              <w:left w:val="single" w:color="auto" w:sz="4" w:space="0"/>
              <w:right w:val="single" w:color="auto" w:sz="4" w:space="0"/>
              <w:tl2br w:val="nil"/>
              <w:tr2bl w:val="nil"/>
            </w:tcBorders>
            <w:shd w:val="clear" w:color="auto" w:fill="auto"/>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cstheme="minorBidi"/>
                <w:color w:val="auto"/>
                <w:spacing w:val="0"/>
                <w:w w:val="100"/>
                <w:kern w:val="2"/>
                <w:sz w:val="24"/>
                <w:szCs w:val="24"/>
                <w:highlight w:val="none"/>
                <w:u w:val="none" w:color="auto"/>
                <w:lang w:val="en-US" w:eastAsia="zh-CN"/>
              </w:rPr>
              <w:t>—</w:t>
            </w:r>
          </w:p>
        </w:tc>
        <w:tc>
          <w:tcPr>
            <w:tcW w:w="528" w:type="pct"/>
            <w:vMerge w:val="continue"/>
            <w:tcBorders>
              <w:left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lang w:val="en-US" w:eastAsia="zh-CN"/>
              </w:rPr>
            </w:pPr>
          </w:p>
        </w:tc>
        <w:tc>
          <w:tcPr>
            <w:tcW w:w="671"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cstheme="minorBidi"/>
                <w:color w:val="auto"/>
                <w:spacing w:val="0"/>
                <w:w w:val="100"/>
                <w:kern w:val="2"/>
                <w:sz w:val="24"/>
                <w:szCs w:val="24"/>
                <w:highlight w:val="none"/>
                <w:u w:val="none" w:color="auto"/>
                <w:lang w:val="en-US" w:eastAsia="zh-CN"/>
              </w:rPr>
              <w:t>—</w:t>
            </w:r>
          </w:p>
        </w:tc>
        <w:tc>
          <w:tcPr>
            <w:tcW w:w="543" w:type="pct"/>
            <w:tcBorders>
              <w:top w:val="single" w:color="auto" w:sz="4" w:space="0"/>
              <w:left w:val="single" w:color="auto" w:sz="4" w:space="0"/>
              <w:bottom w:val="single" w:color="auto" w:sz="4" w:space="0"/>
              <w:right w:val="nil"/>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lang w:eastAsia="zh-CN"/>
              </w:rPr>
            </w:pPr>
            <w:r>
              <w:rPr>
                <w:rFonts w:hint="eastAsia" w:ascii="楷体_GB2312" w:hAnsi="仿宋_GB2312" w:eastAsia="楷体_GB2312"/>
                <w:b w:val="0"/>
                <w:bCs w:val="0"/>
                <w:color w:val="auto"/>
                <w:sz w:val="24"/>
                <w:szCs w:val="24"/>
                <w:highlight w:val="none"/>
                <w:u w:val="none" w:color="auto"/>
                <w:lang w:eastAsia="zh-CN"/>
              </w:rPr>
              <w:t>约束性</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70" w:type="pct"/>
            <w:tcBorders>
              <w:top w:val="single" w:color="auto" w:sz="4" w:space="0"/>
              <w:left w:val="nil"/>
              <w:bottom w:val="single" w:color="auto" w:sz="4" w:space="0"/>
              <w:right w:val="single" w:color="auto" w:sz="4" w:space="0"/>
              <w:tl2br w:val="nil"/>
              <w:tr2bl w:val="nil"/>
            </w:tcBorders>
            <w:shd w:val="clear" w:color="auto" w:fill="auto"/>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cstheme="minorBidi"/>
                <w:b w:val="0"/>
                <w:bCs w:val="0"/>
                <w:color w:val="auto"/>
                <w:kern w:val="2"/>
                <w:sz w:val="24"/>
                <w:szCs w:val="24"/>
                <w:highlight w:val="none"/>
                <w:u w:val="none" w:color="auto"/>
                <w:lang w:val="en-US" w:eastAsia="zh-CN" w:bidi="ar-SA"/>
              </w:rPr>
              <w:t>18</w:t>
            </w:r>
          </w:p>
        </w:tc>
        <w:tc>
          <w:tcPr>
            <w:tcW w:w="2412" w:type="pct"/>
            <w:gridSpan w:val="2"/>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b w:val="0"/>
                <w:bCs w:val="0"/>
                <w:color w:val="auto"/>
                <w:sz w:val="24"/>
                <w:szCs w:val="24"/>
                <w:highlight w:val="none"/>
                <w:u w:val="none" w:color="auto"/>
                <w:lang w:val="en-US" w:eastAsia="zh-CN"/>
              </w:rPr>
              <w:t>城市</w:t>
            </w:r>
            <w:r>
              <w:rPr>
                <w:rFonts w:hint="eastAsia" w:ascii="楷体_GB2312" w:hAnsi="仿宋_GB2312" w:eastAsia="楷体_GB2312"/>
                <w:b w:val="0"/>
                <w:bCs w:val="0"/>
                <w:color w:val="auto"/>
                <w:sz w:val="24"/>
                <w:szCs w:val="24"/>
                <w:highlight w:val="none"/>
                <w:u w:val="none" w:color="auto"/>
              </w:rPr>
              <w:t>细颗粒物</w:t>
            </w:r>
            <w:r>
              <w:rPr>
                <w:rFonts w:hint="eastAsia" w:ascii="楷体_GB2312" w:hAnsi="仿宋_GB2312" w:eastAsia="楷体_GB2312"/>
                <w:b w:val="0"/>
                <w:bCs w:val="0"/>
                <w:color w:val="auto"/>
                <w:sz w:val="24"/>
                <w:szCs w:val="24"/>
                <w:highlight w:val="none"/>
                <w:u w:val="none" w:color="auto"/>
                <w:lang w:eastAsia="zh-CN"/>
              </w:rPr>
              <w:t>（</w:t>
            </w:r>
            <w:r>
              <w:rPr>
                <w:rFonts w:hint="eastAsia" w:ascii="楷体_GB2312" w:hAnsi="仿宋_GB2312" w:eastAsia="楷体_GB2312"/>
                <w:b w:val="0"/>
                <w:bCs w:val="0"/>
                <w:color w:val="auto"/>
                <w:sz w:val="24"/>
                <w:szCs w:val="24"/>
                <w:highlight w:val="none"/>
                <w:u w:val="none" w:color="auto"/>
                <w:lang w:val="en-US" w:eastAsia="zh-CN"/>
              </w:rPr>
              <w:t>PM</w:t>
            </w:r>
            <w:r>
              <w:rPr>
                <w:rFonts w:hint="eastAsia" w:ascii="楷体_GB2312" w:hAnsi="仿宋_GB2312" w:eastAsia="楷体_GB2312"/>
                <w:b w:val="0"/>
                <w:bCs w:val="0"/>
                <w:color w:val="auto"/>
                <w:sz w:val="24"/>
                <w:szCs w:val="24"/>
                <w:highlight w:val="none"/>
                <w:u w:val="none" w:color="auto"/>
                <w:vertAlign w:val="subscript"/>
                <w:lang w:val="en-US" w:eastAsia="zh-CN"/>
              </w:rPr>
              <w:t>2.5</w:t>
            </w:r>
            <w:r>
              <w:rPr>
                <w:rFonts w:hint="eastAsia" w:ascii="楷体_GB2312" w:hAnsi="仿宋_GB2312" w:eastAsia="楷体_GB2312"/>
                <w:b w:val="0"/>
                <w:bCs w:val="0"/>
                <w:color w:val="auto"/>
                <w:sz w:val="24"/>
                <w:szCs w:val="24"/>
                <w:highlight w:val="none"/>
                <w:u w:val="none" w:color="auto"/>
                <w:lang w:eastAsia="zh-CN"/>
              </w:rPr>
              <w:t>）</w:t>
            </w:r>
            <w:r>
              <w:rPr>
                <w:rFonts w:hint="eastAsia" w:ascii="楷体_GB2312" w:hAnsi="仿宋_GB2312" w:eastAsia="楷体_GB2312"/>
                <w:b w:val="0"/>
                <w:bCs w:val="0"/>
                <w:color w:val="auto"/>
                <w:sz w:val="24"/>
                <w:szCs w:val="24"/>
                <w:highlight w:val="none"/>
                <w:u w:val="none" w:color="auto"/>
              </w:rPr>
              <w:t>浓度（微克/立方米）</w:t>
            </w:r>
          </w:p>
        </w:tc>
        <w:tc>
          <w:tcPr>
            <w:tcW w:w="573" w:type="pct"/>
            <w:tcBorders>
              <w:left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b w:val="0"/>
                <w:bCs w:val="0"/>
                <w:color w:val="auto"/>
                <w:sz w:val="24"/>
                <w:szCs w:val="24"/>
                <w:highlight w:val="none"/>
                <w:u w:val="none" w:color="auto"/>
                <w:lang w:val="en-US" w:eastAsia="zh-CN"/>
              </w:rPr>
              <w:t>30</w:t>
            </w:r>
          </w:p>
        </w:tc>
        <w:tc>
          <w:tcPr>
            <w:tcW w:w="528" w:type="pct"/>
            <w:vMerge w:val="continue"/>
            <w:tcBorders>
              <w:left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rPr>
            </w:pPr>
          </w:p>
        </w:tc>
        <w:tc>
          <w:tcPr>
            <w:tcW w:w="671"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cstheme="minorBidi"/>
                <w:color w:val="auto"/>
                <w:spacing w:val="0"/>
                <w:w w:val="100"/>
                <w:kern w:val="2"/>
                <w:sz w:val="24"/>
                <w:szCs w:val="24"/>
                <w:highlight w:val="none"/>
                <w:u w:val="none" w:color="auto"/>
                <w:lang w:val="en-US" w:eastAsia="zh-CN"/>
              </w:rPr>
              <w:t>—</w:t>
            </w:r>
          </w:p>
        </w:tc>
        <w:tc>
          <w:tcPr>
            <w:tcW w:w="543" w:type="pct"/>
            <w:tcBorders>
              <w:top w:val="single" w:color="auto" w:sz="4" w:space="0"/>
              <w:left w:val="single" w:color="auto" w:sz="4" w:space="0"/>
              <w:bottom w:val="single" w:color="auto" w:sz="4" w:space="0"/>
              <w:right w:val="nil"/>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b w:val="0"/>
                <w:bCs w:val="0"/>
                <w:color w:val="auto"/>
                <w:sz w:val="24"/>
                <w:szCs w:val="24"/>
                <w:highlight w:val="none"/>
                <w:u w:val="none" w:color="auto"/>
              </w:rPr>
              <w:t>约束性</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270" w:type="pct"/>
            <w:tcBorders>
              <w:top w:val="single" w:color="auto" w:sz="4" w:space="0"/>
              <w:left w:val="nil"/>
              <w:bottom w:val="single" w:color="auto" w:sz="4" w:space="0"/>
              <w:right w:val="single" w:color="auto" w:sz="4" w:space="0"/>
              <w:tl2br w:val="nil"/>
              <w:tr2bl w:val="nil"/>
            </w:tcBorders>
            <w:shd w:val="clear" w:color="auto" w:fill="auto"/>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lang w:val="en-US" w:eastAsia="zh-CN"/>
              </w:rPr>
              <w:t>19</w:t>
            </w:r>
          </w:p>
        </w:tc>
        <w:tc>
          <w:tcPr>
            <w:tcW w:w="2412" w:type="pct"/>
            <w:gridSpan w:val="2"/>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b w:val="0"/>
                <w:bCs w:val="0"/>
                <w:color w:val="auto"/>
                <w:sz w:val="24"/>
                <w:szCs w:val="24"/>
                <w:highlight w:val="none"/>
                <w:u w:val="none" w:color="auto"/>
              </w:rPr>
              <w:t>优良水体比例（%）</w:t>
            </w:r>
          </w:p>
        </w:tc>
        <w:tc>
          <w:tcPr>
            <w:tcW w:w="573" w:type="pct"/>
            <w:tcBorders>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lang w:eastAsia="zh-CN"/>
              </w:rPr>
            </w:pPr>
            <w:r>
              <w:rPr>
                <w:rFonts w:hint="eastAsia" w:ascii="楷体_GB2312" w:hAnsi="仿宋_GB2312" w:eastAsia="楷体_GB2312" w:cstheme="minorBidi"/>
                <w:color w:val="auto"/>
                <w:spacing w:val="0"/>
                <w:w w:val="100"/>
                <w:kern w:val="2"/>
                <w:sz w:val="24"/>
                <w:szCs w:val="24"/>
                <w:highlight w:val="none"/>
                <w:u w:val="none" w:color="auto"/>
                <w:lang w:val="en-US" w:eastAsia="zh-CN"/>
              </w:rPr>
              <w:t>—</w:t>
            </w:r>
          </w:p>
        </w:tc>
        <w:tc>
          <w:tcPr>
            <w:tcW w:w="528" w:type="pct"/>
            <w:vMerge w:val="continue"/>
            <w:tcBorders>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rPr>
            </w:pPr>
          </w:p>
        </w:tc>
        <w:tc>
          <w:tcPr>
            <w:tcW w:w="671"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cstheme="minorBidi"/>
                <w:color w:val="auto"/>
                <w:spacing w:val="0"/>
                <w:w w:val="100"/>
                <w:kern w:val="2"/>
                <w:sz w:val="24"/>
                <w:szCs w:val="24"/>
                <w:highlight w:val="none"/>
                <w:u w:val="none" w:color="auto"/>
                <w:lang w:val="en-US" w:eastAsia="zh-CN"/>
              </w:rPr>
              <w:t>—</w:t>
            </w:r>
          </w:p>
        </w:tc>
        <w:tc>
          <w:tcPr>
            <w:tcW w:w="543" w:type="pct"/>
            <w:tcBorders>
              <w:top w:val="single" w:color="auto" w:sz="4" w:space="0"/>
              <w:left w:val="single" w:color="auto" w:sz="4" w:space="0"/>
              <w:bottom w:val="single" w:color="auto" w:sz="4" w:space="0"/>
              <w:right w:val="nil"/>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b w:val="0"/>
                <w:bCs w:val="0"/>
                <w:color w:val="auto"/>
                <w:sz w:val="24"/>
                <w:szCs w:val="24"/>
                <w:highlight w:val="none"/>
                <w:u w:val="none" w:color="auto"/>
              </w:rPr>
              <w:t>约束性</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70" w:type="pct"/>
            <w:tcBorders>
              <w:top w:val="single" w:color="auto" w:sz="4" w:space="0"/>
              <w:left w:val="nil"/>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b w:val="0"/>
                <w:bCs w:val="0"/>
                <w:color w:val="auto"/>
                <w:sz w:val="24"/>
                <w:szCs w:val="24"/>
                <w:highlight w:val="none"/>
                <w:u w:val="none" w:color="auto"/>
                <w:lang w:val="en-US" w:eastAsia="zh-CN"/>
              </w:rPr>
              <w:t>20</w:t>
            </w:r>
          </w:p>
        </w:tc>
        <w:tc>
          <w:tcPr>
            <w:tcW w:w="2412" w:type="pct"/>
            <w:gridSpan w:val="2"/>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b w:val="0"/>
                <w:bCs w:val="0"/>
                <w:color w:val="auto"/>
                <w:sz w:val="24"/>
                <w:szCs w:val="24"/>
                <w:highlight w:val="none"/>
                <w:u w:val="none" w:color="auto"/>
              </w:rPr>
              <w:t>森林覆盖率（%）</w:t>
            </w:r>
          </w:p>
        </w:tc>
        <w:tc>
          <w:tcPr>
            <w:tcW w:w="573"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color w:val="auto"/>
                <w:sz w:val="24"/>
                <w:szCs w:val="24"/>
                <w:highlight w:val="none"/>
                <w:u w:val="none" w:color="auto"/>
                <w:lang w:val="en-US" w:eastAsia="zh-CN"/>
              </w:rPr>
            </w:pPr>
            <w:r>
              <w:rPr>
                <w:rFonts w:hint="eastAsia" w:ascii="楷体_GB2312" w:hAnsi="仿宋_GB2312" w:eastAsia="楷体_GB2312"/>
                <w:color w:val="auto"/>
                <w:sz w:val="24"/>
                <w:szCs w:val="24"/>
                <w:highlight w:val="none"/>
                <w:u w:val="none" w:color="auto"/>
                <w:lang w:val="en-US" w:eastAsia="zh-CN"/>
              </w:rPr>
              <w:t>22.76</w:t>
            </w:r>
          </w:p>
        </w:tc>
        <w:tc>
          <w:tcPr>
            <w:tcW w:w="528"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color w:val="auto"/>
                <w:sz w:val="24"/>
                <w:szCs w:val="24"/>
                <w:highlight w:val="none"/>
                <w:u w:val="none" w:color="auto"/>
                <w:lang w:val="en-US" w:eastAsia="zh-CN"/>
              </w:rPr>
            </w:pPr>
            <w:r>
              <w:rPr>
                <w:rFonts w:hint="eastAsia" w:ascii="楷体_GB2312" w:hAnsi="仿宋_GB2312" w:eastAsia="楷体_GB2312"/>
                <w:color w:val="auto"/>
                <w:sz w:val="24"/>
                <w:szCs w:val="24"/>
                <w:highlight w:val="none"/>
                <w:u w:val="none" w:color="auto"/>
                <w:lang w:val="en-US" w:eastAsia="zh-CN"/>
              </w:rPr>
              <w:t>23.53</w:t>
            </w:r>
          </w:p>
        </w:tc>
        <w:tc>
          <w:tcPr>
            <w:tcW w:w="671"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color w:val="auto"/>
                <w:sz w:val="24"/>
                <w:szCs w:val="24"/>
                <w:highlight w:val="none"/>
                <w:u w:val="none" w:color="auto"/>
                <w:lang w:val="en-US" w:eastAsia="zh-CN"/>
              </w:rPr>
            </w:pPr>
            <w:r>
              <w:rPr>
                <w:rFonts w:hint="eastAsia" w:ascii="楷体_GB2312" w:hAnsi="仿宋_GB2312" w:eastAsia="楷体_GB2312" w:cstheme="minorBidi"/>
                <w:color w:val="auto"/>
                <w:spacing w:val="0"/>
                <w:w w:val="100"/>
                <w:kern w:val="2"/>
                <w:sz w:val="24"/>
                <w:szCs w:val="24"/>
                <w:highlight w:val="none"/>
                <w:u w:val="none" w:color="auto"/>
                <w:lang w:val="en-US" w:eastAsia="zh-CN"/>
              </w:rPr>
              <w:t>—</w:t>
            </w:r>
          </w:p>
        </w:tc>
        <w:tc>
          <w:tcPr>
            <w:tcW w:w="543" w:type="pct"/>
            <w:tcBorders>
              <w:top w:val="single" w:color="auto" w:sz="4" w:space="0"/>
              <w:left w:val="single" w:color="auto" w:sz="4" w:space="0"/>
              <w:bottom w:val="single" w:color="auto" w:sz="4" w:space="0"/>
              <w:right w:val="nil"/>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b w:val="0"/>
                <w:bCs w:val="0"/>
                <w:color w:val="auto"/>
                <w:sz w:val="24"/>
                <w:szCs w:val="24"/>
                <w:highlight w:val="none"/>
                <w:u w:val="none" w:color="auto"/>
              </w:rPr>
              <w:t>约束性</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5000" w:type="pct"/>
            <w:gridSpan w:val="7"/>
            <w:tcBorders>
              <w:top w:val="single" w:color="auto" w:sz="4" w:space="0"/>
              <w:left w:val="nil"/>
              <w:bottom w:val="single" w:color="auto" w:sz="4" w:space="0"/>
              <w:right w:val="nil"/>
              <w:tl2br w:val="nil"/>
              <w:tr2bl w:val="nil"/>
            </w:tcBorders>
            <w:noWrap w:val="0"/>
            <w:tcMar>
              <w:left w:w="28" w:type="dxa"/>
              <w:right w:w="28" w:type="dxa"/>
            </w:tcMar>
            <w:vAlign w:val="center"/>
          </w:tcPr>
          <w:p>
            <w:pPr>
              <w:overflowPunct w:val="0"/>
              <w:spacing w:line="480" w:lineRule="exact"/>
              <w:ind w:firstLine="0" w:firstLineChars="0"/>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b w:val="0"/>
                <w:bCs w:val="0"/>
                <w:color w:val="auto"/>
                <w:sz w:val="24"/>
                <w:szCs w:val="24"/>
                <w:highlight w:val="none"/>
                <w:u w:val="none" w:color="auto"/>
                <w:lang w:eastAsia="zh-CN"/>
              </w:rPr>
              <w:t>（</w:t>
            </w:r>
            <w:r>
              <w:rPr>
                <w:rFonts w:hint="eastAsia" w:ascii="楷体_GB2312" w:hAnsi="仿宋_GB2312" w:eastAsia="楷体_GB2312"/>
                <w:b w:val="0"/>
                <w:bCs w:val="0"/>
                <w:color w:val="auto"/>
                <w:sz w:val="24"/>
                <w:szCs w:val="24"/>
                <w:highlight w:val="none"/>
                <w:u w:val="none" w:color="auto"/>
                <w:lang w:val="en-US" w:eastAsia="zh-CN"/>
              </w:rPr>
              <w:t>五</w:t>
            </w:r>
            <w:r>
              <w:rPr>
                <w:rFonts w:hint="eastAsia" w:ascii="楷体_GB2312" w:hAnsi="仿宋_GB2312" w:eastAsia="楷体_GB2312"/>
                <w:b w:val="0"/>
                <w:bCs w:val="0"/>
                <w:color w:val="auto"/>
                <w:sz w:val="24"/>
                <w:szCs w:val="24"/>
                <w:highlight w:val="none"/>
                <w:u w:val="none" w:color="auto"/>
                <w:lang w:eastAsia="zh-CN"/>
              </w:rPr>
              <w:t xml:space="preserve">）  </w:t>
            </w:r>
            <w:r>
              <w:rPr>
                <w:rFonts w:hint="eastAsia" w:ascii="楷体_GB2312" w:hAnsi="仿宋_GB2312" w:eastAsia="楷体_GB2312"/>
                <w:b w:val="0"/>
                <w:bCs w:val="0"/>
                <w:color w:val="auto"/>
                <w:sz w:val="24"/>
                <w:szCs w:val="24"/>
                <w:highlight w:val="none"/>
                <w:u w:val="none" w:color="auto"/>
              </w:rPr>
              <w:t>安全保障</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70" w:type="pct"/>
            <w:tcBorders>
              <w:top w:val="single" w:color="auto" w:sz="4" w:space="0"/>
              <w:left w:val="nil"/>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b w:val="0"/>
                <w:bCs w:val="0"/>
                <w:color w:val="auto"/>
                <w:sz w:val="24"/>
                <w:szCs w:val="24"/>
                <w:highlight w:val="none"/>
                <w:u w:val="none" w:color="auto"/>
                <w:lang w:val="en-US" w:eastAsia="zh-CN"/>
              </w:rPr>
              <w:t>21</w:t>
            </w:r>
          </w:p>
        </w:tc>
        <w:tc>
          <w:tcPr>
            <w:tcW w:w="2412" w:type="pct"/>
            <w:gridSpan w:val="2"/>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b w:val="0"/>
                <w:bCs w:val="0"/>
                <w:color w:val="auto"/>
                <w:sz w:val="24"/>
                <w:szCs w:val="24"/>
                <w:highlight w:val="none"/>
                <w:u w:val="none" w:color="auto"/>
              </w:rPr>
              <w:t>粮食综合生产能力（万吨）</w:t>
            </w:r>
          </w:p>
        </w:tc>
        <w:tc>
          <w:tcPr>
            <w:tcW w:w="573"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b w:val="0"/>
                <w:bCs w:val="0"/>
                <w:color w:val="auto"/>
                <w:sz w:val="24"/>
                <w:szCs w:val="24"/>
                <w:highlight w:val="none"/>
                <w:u w:val="none" w:color="auto"/>
                <w:lang w:val="en-US"/>
              </w:rPr>
            </w:pPr>
            <w:r>
              <w:rPr>
                <w:rFonts w:hint="eastAsia" w:ascii="楷体_GB2312" w:hAnsi="仿宋_GB2312" w:eastAsia="楷体_GB2312" w:cstheme="minorBidi"/>
                <w:color w:val="auto"/>
                <w:spacing w:val="0"/>
                <w:w w:val="100"/>
                <w:kern w:val="2"/>
                <w:sz w:val="24"/>
                <w:szCs w:val="24"/>
                <w:highlight w:val="none"/>
                <w:u w:val="none" w:color="auto"/>
                <w:lang w:val="en-US" w:eastAsia="zh-CN"/>
              </w:rPr>
              <w:t>64.63</w:t>
            </w:r>
          </w:p>
        </w:tc>
        <w:tc>
          <w:tcPr>
            <w:tcW w:w="528"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b w:val="0"/>
                <w:bCs w:val="0"/>
                <w:color w:val="auto"/>
                <w:sz w:val="24"/>
                <w:szCs w:val="24"/>
                <w:highlight w:val="none"/>
                <w:u w:val="none" w:color="auto"/>
                <w:lang w:val="en-US"/>
              </w:rPr>
            </w:pPr>
            <w:r>
              <w:rPr>
                <w:rFonts w:hint="eastAsia" w:ascii="楷体_GB2312" w:hAnsi="仿宋_GB2312" w:eastAsia="楷体_GB2312" w:cstheme="minorBidi"/>
                <w:color w:val="auto"/>
                <w:spacing w:val="0"/>
                <w:w w:val="100"/>
                <w:kern w:val="2"/>
                <w:sz w:val="24"/>
                <w:szCs w:val="24"/>
                <w:highlight w:val="none"/>
                <w:u w:val="none" w:color="auto"/>
                <w:lang w:val="en-US" w:eastAsia="zh-CN"/>
              </w:rPr>
              <w:t>65</w:t>
            </w:r>
          </w:p>
        </w:tc>
        <w:tc>
          <w:tcPr>
            <w:tcW w:w="671" w:type="pct"/>
            <w:tcBorders>
              <w:top w:val="single" w:color="auto" w:sz="4" w:space="0"/>
              <w:left w:val="single" w:color="auto" w:sz="4" w:space="0"/>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b w:val="0"/>
                <w:bCs w:val="0"/>
                <w:color w:val="auto"/>
                <w:sz w:val="24"/>
                <w:szCs w:val="24"/>
                <w:highlight w:val="none"/>
                <w:u w:val="none" w:color="auto"/>
                <w:lang w:val="en-US"/>
              </w:rPr>
            </w:pPr>
            <w:r>
              <w:rPr>
                <w:rFonts w:hint="eastAsia" w:ascii="楷体_GB2312" w:hAnsi="仿宋_GB2312" w:eastAsia="楷体_GB2312" w:cstheme="minorBidi"/>
                <w:color w:val="auto"/>
                <w:spacing w:val="0"/>
                <w:w w:val="100"/>
                <w:kern w:val="2"/>
                <w:sz w:val="24"/>
                <w:szCs w:val="24"/>
                <w:highlight w:val="none"/>
                <w:u w:val="none" w:color="auto"/>
                <w:lang w:val="en-US" w:eastAsia="zh-CN"/>
              </w:rPr>
              <w:t>—</w:t>
            </w:r>
          </w:p>
        </w:tc>
        <w:tc>
          <w:tcPr>
            <w:tcW w:w="543" w:type="pct"/>
            <w:tcBorders>
              <w:top w:val="single" w:color="auto" w:sz="4" w:space="0"/>
              <w:left w:val="single" w:color="auto" w:sz="4" w:space="0"/>
              <w:bottom w:val="single" w:color="auto" w:sz="4" w:space="0"/>
              <w:right w:val="nil"/>
              <w:tl2br w:val="nil"/>
              <w:tr2bl w:val="nil"/>
            </w:tcBorders>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b w:val="0"/>
                <w:bCs w:val="0"/>
                <w:color w:val="auto"/>
                <w:sz w:val="24"/>
                <w:szCs w:val="24"/>
                <w:highlight w:val="none"/>
                <w:u w:val="none" w:color="auto"/>
              </w:rPr>
            </w:pPr>
            <w:r>
              <w:rPr>
                <w:rFonts w:hint="eastAsia" w:ascii="楷体_GB2312" w:hAnsi="仿宋_GB2312" w:eastAsia="楷体_GB2312"/>
                <w:b w:val="0"/>
                <w:bCs w:val="0"/>
                <w:color w:val="auto"/>
                <w:sz w:val="24"/>
                <w:szCs w:val="24"/>
                <w:highlight w:val="none"/>
                <w:u w:val="none" w:color="auto"/>
              </w:rPr>
              <w:t>约束性</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70" w:type="pct"/>
            <w:tcBorders>
              <w:top w:val="single" w:color="auto" w:sz="4" w:space="0"/>
              <w:left w:val="nil"/>
              <w:bottom w:val="single" w:color="auto" w:sz="4" w:space="0"/>
              <w:right w:val="single" w:color="auto" w:sz="4" w:space="0"/>
              <w:tl2br w:val="nil"/>
              <w:tr2bl w:val="nil"/>
            </w:tcBorders>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b w:val="0"/>
                <w:bCs w:val="0"/>
                <w:color w:val="auto"/>
                <w:sz w:val="24"/>
                <w:szCs w:val="24"/>
                <w:highlight w:val="none"/>
                <w:u w:val="none" w:color="auto"/>
                <w:lang w:val="en-US" w:eastAsia="zh-CN"/>
              </w:rPr>
            </w:pPr>
            <w:r>
              <w:rPr>
                <w:rFonts w:hint="eastAsia" w:ascii="楷体_GB2312" w:hAnsi="仿宋_GB2312" w:eastAsia="楷体_GB2312"/>
                <w:b w:val="0"/>
                <w:bCs w:val="0"/>
                <w:color w:val="auto"/>
                <w:sz w:val="24"/>
                <w:szCs w:val="24"/>
                <w:highlight w:val="none"/>
                <w:u w:val="none" w:color="auto"/>
                <w:lang w:val="en-US" w:eastAsia="zh-CN"/>
              </w:rPr>
              <w:t>22</w:t>
            </w:r>
          </w:p>
        </w:tc>
        <w:tc>
          <w:tcPr>
            <w:tcW w:w="2412" w:type="pct"/>
            <w:gridSpan w:val="2"/>
            <w:tcBorders>
              <w:top w:val="single" w:color="auto" w:sz="4" w:space="0"/>
              <w:left w:val="single" w:color="auto" w:sz="4" w:space="0"/>
              <w:bottom w:val="single" w:color="auto" w:sz="4" w:space="0"/>
              <w:right w:val="single" w:color="auto" w:sz="4" w:space="0"/>
              <w:tl2br w:val="nil"/>
              <w:tr2bl w:val="nil"/>
            </w:tcBorders>
            <w:shd w:val="clear" w:color="auto" w:fill="auto"/>
            <w:noWrap w:val="0"/>
            <w:tcMar>
              <w:left w:w="28" w:type="dxa"/>
              <w:right w:w="28" w:type="dxa"/>
            </w:tcMar>
            <w:vAlign w:val="center"/>
          </w:tcPr>
          <w:p>
            <w:pPr>
              <w:overflowPunct w:val="0"/>
              <w:spacing w:line="480" w:lineRule="exact"/>
              <w:ind w:firstLine="0" w:firstLineChars="0"/>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rPr>
              <w:t>能源综合生产能力（万吨标准煤）</w:t>
            </w:r>
          </w:p>
        </w:tc>
        <w:tc>
          <w:tcPr>
            <w:tcW w:w="573" w:type="pct"/>
            <w:tcBorders>
              <w:top w:val="single" w:color="auto" w:sz="4" w:space="0"/>
              <w:left w:val="single" w:color="auto" w:sz="4" w:space="0"/>
              <w:bottom w:val="single" w:color="auto" w:sz="4" w:space="0"/>
              <w:right w:val="single" w:color="auto" w:sz="4" w:space="0"/>
              <w:tl2br w:val="nil"/>
              <w:tr2bl w:val="nil"/>
            </w:tcBorders>
            <w:shd w:val="clear" w:color="auto" w:fill="auto"/>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lang w:val="en-US" w:eastAsia="zh-CN"/>
              </w:rPr>
              <w:t>32.74</w:t>
            </w:r>
          </w:p>
        </w:tc>
        <w:tc>
          <w:tcPr>
            <w:tcW w:w="528" w:type="pct"/>
            <w:tcBorders>
              <w:top w:val="single" w:color="auto" w:sz="4" w:space="0"/>
              <w:left w:val="single" w:color="auto" w:sz="4" w:space="0"/>
              <w:bottom w:val="single" w:color="auto" w:sz="4" w:space="0"/>
              <w:right w:val="single" w:color="auto" w:sz="4" w:space="0"/>
              <w:tl2br w:val="nil"/>
              <w:tr2bl w:val="nil"/>
            </w:tcBorders>
            <w:shd w:val="clear" w:color="auto" w:fill="auto"/>
            <w:noWrap w:val="0"/>
            <w:tcMar>
              <w:left w:w="28" w:type="dxa"/>
              <w:right w:w="28" w:type="dxa"/>
            </w:tcMar>
            <w:vAlign w:val="center"/>
          </w:tcPr>
          <w:p>
            <w:pPr>
              <w:overflowPunct w:val="0"/>
              <w:spacing w:line="480" w:lineRule="exact"/>
              <w:ind w:firstLine="0" w:firstLineChars="0"/>
              <w:jc w:val="center"/>
              <w:rPr>
                <w:rFonts w:hint="default"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cstheme="minorBidi"/>
                <w:b w:val="0"/>
                <w:bCs w:val="0"/>
                <w:color w:val="auto"/>
                <w:kern w:val="2"/>
                <w:sz w:val="24"/>
                <w:szCs w:val="24"/>
                <w:highlight w:val="none"/>
                <w:u w:val="none" w:color="auto"/>
                <w:lang w:val="en-US" w:eastAsia="zh-CN" w:bidi="ar-SA"/>
              </w:rPr>
              <w:t>40</w:t>
            </w:r>
          </w:p>
        </w:tc>
        <w:tc>
          <w:tcPr>
            <w:tcW w:w="671" w:type="pct"/>
            <w:tcBorders>
              <w:top w:val="single" w:color="auto" w:sz="4" w:space="0"/>
              <w:left w:val="single" w:color="auto" w:sz="4" w:space="0"/>
              <w:bottom w:val="single" w:color="auto" w:sz="4" w:space="0"/>
              <w:right w:val="single" w:color="auto" w:sz="4" w:space="0"/>
              <w:tl2br w:val="nil"/>
              <w:tr2bl w:val="nil"/>
            </w:tcBorders>
            <w:shd w:val="clear" w:color="auto" w:fill="auto"/>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cstheme="minorBidi"/>
                <w:color w:val="auto"/>
                <w:spacing w:val="0"/>
                <w:w w:val="100"/>
                <w:kern w:val="2"/>
                <w:sz w:val="24"/>
                <w:szCs w:val="24"/>
                <w:highlight w:val="none"/>
                <w:u w:val="none" w:color="auto"/>
                <w:lang w:val="en-US" w:eastAsia="zh-CN"/>
              </w:rPr>
              <w:t>—</w:t>
            </w:r>
          </w:p>
        </w:tc>
        <w:tc>
          <w:tcPr>
            <w:tcW w:w="543" w:type="pct"/>
            <w:tcBorders>
              <w:top w:val="single" w:color="auto" w:sz="4" w:space="0"/>
              <w:left w:val="single" w:color="auto" w:sz="4" w:space="0"/>
              <w:bottom w:val="single" w:color="auto" w:sz="4" w:space="0"/>
              <w:right w:val="nil"/>
              <w:tl2br w:val="nil"/>
              <w:tr2bl w:val="nil"/>
            </w:tcBorders>
            <w:shd w:val="clear" w:color="auto" w:fill="auto"/>
            <w:noWrap w:val="0"/>
            <w:tcMar>
              <w:left w:w="28" w:type="dxa"/>
              <w:right w:w="28" w:type="dxa"/>
            </w:tcMar>
            <w:vAlign w:val="center"/>
          </w:tcPr>
          <w:p>
            <w:pPr>
              <w:overflowPunct w:val="0"/>
              <w:spacing w:line="480" w:lineRule="exact"/>
              <w:ind w:firstLine="0" w:firstLineChars="0"/>
              <w:jc w:val="center"/>
              <w:rPr>
                <w:rFonts w:hint="eastAsia" w:ascii="楷体_GB2312" w:hAnsi="仿宋_GB2312" w:eastAsia="楷体_GB2312" w:cstheme="minorBidi"/>
                <w:b w:val="0"/>
                <w:bCs w:val="0"/>
                <w:color w:val="auto"/>
                <w:kern w:val="2"/>
                <w:sz w:val="24"/>
                <w:szCs w:val="24"/>
                <w:highlight w:val="none"/>
                <w:u w:val="none" w:color="auto"/>
                <w:lang w:val="en-US" w:eastAsia="zh-CN" w:bidi="ar-SA"/>
              </w:rPr>
            </w:pPr>
            <w:r>
              <w:rPr>
                <w:rFonts w:hint="eastAsia" w:ascii="楷体_GB2312" w:hAnsi="仿宋_GB2312" w:eastAsia="楷体_GB2312"/>
                <w:b w:val="0"/>
                <w:bCs w:val="0"/>
                <w:color w:val="auto"/>
                <w:sz w:val="24"/>
                <w:szCs w:val="24"/>
                <w:highlight w:val="none"/>
                <w:u w:val="none" w:color="auto"/>
              </w:rPr>
              <w:t>约束性</w:t>
            </w:r>
          </w:p>
        </w:tc>
      </w:tr>
    </w:tbl>
    <w:p>
      <w:pPr>
        <w:keepNext w:val="0"/>
        <w:keepLines w:val="0"/>
        <w:pageBreakBefore w:val="0"/>
        <w:widowControl/>
        <w:kinsoku/>
        <w:wordWrap/>
        <w:topLinePunct w:val="0"/>
        <w:autoSpaceDE/>
        <w:autoSpaceDN/>
        <w:bidi w:val="0"/>
        <w:adjustRightInd/>
        <w:snapToGrid/>
        <w:spacing w:before="0" w:beforeAutospacing="0" w:after="0" w:afterAutospacing="0" w:line="480" w:lineRule="exact"/>
        <w:jc w:val="left"/>
        <w:textAlignment w:val="auto"/>
        <w:outlineLvl w:val="9"/>
        <w:rPr>
          <w:rFonts w:hint="default" w:ascii="楷体_GB2312" w:hAnsi="楷体_GB2312" w:eastAsia="楷体_GB2312" w:cs="楷体_GB2312"/>
          <w:bCs w:val="0"/>
          <w:color w:val="auto"/>
          <w:kern w:val="2"/>
          <w:sz w:val="24"/>
          <w:szCs w:val="24"/>
          <w:highlight w:val="none"/>
          <w:lang w:val="en-US" w:eastAsia="zh-CN" w:bidi="ar"/>
        </w:rPr>
      </w:pPr>
      <w:r>
        <w:rPr>
          <w:rFonts w:hint="eastAsia" w:ascii="楷体_GB2312" w:hAnsi="楷体_GB2312" w:eastAsia="楷体_GB2312" w:cs="楷体_GB2312"/>
          <w:bCs w:val="0"/>
          <w:color w:val="auto"/>
          <w:kern w:val="2"/>
          <w:sz w:val="24"/>
          <w:szCs w:val="24"/>
          <w:highlight w:val="none"/>
          <w:lang w:val="en-US" w:eastAsia="zh-CN" w:bidi="ar"/>
        </w:rPr>
        <w:t>注：①“〔〕”内为5年累计数。②全社会研发经费投入增速按不变价格计算，1.96为2024年数据。</w:t>
      </w:r>
    </w:p>
    <w:p>
      <w:pPr>
        <w:rPr>
          <w:rFonts w:hint="eastAsia" w:ascii="方正小标宋简体" w:hAnsi="方正小标宋简体" w:eastAsia="方正小标宋简体" w:cs="方正小标宋简体"/>
          <w:b w:val="0"/>
          <w:bCs w:val="0"/>
          <w:color w:val="auto"/>
          <w:kern w:val="2"/>
          <w:sz w:val="32"/>
          <w:szCs w:val="40"/>
          <w:highlight w:val="none"/>
          <w:lang w:val="en-US" w:eastAsia="zh-CN" w:bidi="ar-SA"/>
        </w:rPr>
      </w:pPr>
      <w:r>
        <w:rPr>
          <w:rFonts w:hint="eastAsia" w:ascii="方正小标宋简体" w:hAnsi="方正小标宋简体" w:eastAsia="方正小标宋简体" w:cs="方正小标宋简体"/>
          <w:b w:val="0"/>
          <w:bCs w:val="0"/>
          <w:color w:val="auto"/>
          <w:kern w:val="2"/>
          <w:sz w:val="32"/>
          <w:szCs w:val="40"/>
          <w:highlight w:val="none"/>
          <w:lang w:val="en-US" w:eastAsia="zh-CN" w:bidi="ar-SA"/>
        </w:rPr>
        <w:br w:type="page"/>
      </w:r>
    </w:p>
    <w:p>
      <w:pPr>
        <w:pStyle w:val="8"/>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outlineLvl w:val="0"/>
        <w:rPr>
          <w:rFonts w:hint="eastAsia" w:ascii="方正小标宋简体" w:hAnsi="方正小标宋简体" w:eastAsia="方正小标宋简体" w:cs="方正小标宋简体"/>
          <w:b w:val="0"/>
          <w:bCs w:val="0"/>
          <w:color w:val="auto"/>
          <w:kern w:val="2"/>
          <w:sz w:val="44"/>
          <w:szCs w:val="44"/>
          <w:highlight w:val="none"/>
          <w:lang w:val="en-US" w:eastAsia="zh-CN" w:bidi="ar-SA"/>
        </w:rPr>
      </w:pPr>
      <w:bookmarkStart w:id="13" w:name="_Toc19368"/>
      <w:r>
        <w:rPr>
          <w:rFonts w:hint="eastAsia" w:ascii="方正小标宋简体" w:hAnsi="方正小标宋简体" w:eastAsia="方正小标宋简体" w:cs="方正小标宋简体"/>
          <w:b w:val="0"/>
          <w:bCs w:val="0"/>
          <w:color w:val="auto"/>
          <w:kern w:val="2"/>
          <w:sz w:val="44"/>
          <w:szCs w:val="44"/>
          <w:highlight w:val="none"/>
          <w:lang w:val="en-US" w:eastAsia="zh-CN" w:bidi="ar-SA"/>
        </w:rPr>
        <w:t>第三章  因地制宜发展新质生产力，加快</w:t>
      </w:r>
    </w:p>
    <w:p>
      <w:pPr>
        <w:pStyle w:val="8"/>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outlineLvl w:val="0"/>
        <w:rPr>
          <w:rFonts w:hint="default" w:ascii="方正小标宋简体" w:hAnsi="方正小标宋简体" w:eastAsia="方正小标宋简体" w:cs="方正小标宋简体"/>
          <w:b w:val="0"/>
          <w:bCs w:val="0"/>
          <w:color w:val="auto"/>
          <w:kern w:val="2"/>
          <w:sz w:val="44"/>
          <w:szCs w:val="44"/>
          <w:highlight w:val="none"/>
          <w:lang w:val="en-US" w:eastAsia="zh-CN" w:bidi="ar-SA"/>
        </w:rPr>
      </w:pPr>
      <w:r>
        <w:rPr>
          <w:rFonts w:hint="eastAsia" w:ascii="方正小标宋简体" w:hAnsi="方正小标宋简体" w:eastAsia="方正小标宋简体" w:cs="方正小标宋简体"/>
          <w:b w:val="0"/>
          <w:bCs w:val="0"/>
          <w:color w:val="auto"/>
          <w:kern w:val="2"/>
          <w:sz w:val="44"/>
          <w:szCs w:val="44"/>
          <w:highlight w:val="none"/>
          <w:lang w:val="en-US" w:eastAsia="zh-CN" w:bidi="ar-SA"/>
        </w:rPr>
        <w:t>建设以先进制造业为引领的现代化产业体系</w:t>
      </w:r>
      <w:bookmarkEnd w:id="13"/>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pacing w:val="0"/>
          <w:w w:val="100"/>
          <w:kern w:val="21"/>
          <w:sz w:val="32"/>
          <w:szCs w:val="32"/>
          <w:highlight w:val="none"/>
          <w:u w:val="none" w:color="auto"/>
          <w:lang w:val="en-US" w:eastAsia="zh-CN" w:bidi="ar-SA"/>
        </w:rPr>
      </w:pPr>
      <w:bookmarkStart w:id="14" w:name="_Toc21157"/>
      <w:r>
        <w:rPr>
          <w:rFonts w:hint="eastAsia" w:ascii="仿宋_GB2312" w:hAnsi="仿宋_GB2312" w:eastAsia="仿宋_GB2312" w:cs="仿宋_GB2312"/>
          <w:color w:val="auto"/>
          <w:spacing w:val="0"/>
          <w:w w:val="100"/>
          <w:kern w:val="21"/>
          <w:sz w:val="32"/>
          <w:szCs w:val="32"/>
          <w:highlight w:val="none"/>
          <w:u w:val="none"/>
          <w:lang w:val="en-US" w:eastAsia="zh-CN" w:bidi="ar-SA"/>
        </w:rPr>
        <w:t>坚持“工业强区”发展战略不动摇，聚焦发展壮大新质生产力，统筹推进传统产业转型升级、新兴产业发展壮大、未来产业前瞻布局，大力提升服务业对经济增长的支撑作用，持续优化产业空间布局，推动产业集群化、规模化发展，</w:t>
      </w:r>
      <w:r>
        <w:rPr>
          <w:rFonts w:hint="eastAsia" w:ascii="仿宋_GB2312" w:hAnsi="仿宋_GB2312" w:eastAsia="仿宋_GB2312" w:cs="仿宋_GB2312"/>
          <w:color w:val="auto"/>
          <w:spacing w:val="0"/>
          <w:w w:val="100"/>
          <w:kern w:val="21"/>
          <w:sz w:val="32"/>
          <w:szCs w:val="32"/>
          <w:highlight w:val="none"/>
          <w:u w:val="none" w:color="auto"/>
          <w:lang w:val="en-US" w:eastAsia="zh-CN" w:bidi="ar-SA"/>
        </w:rPr>
        <w:t>构建具有章丘特色的现代化产业体系。</w:t>
      </w:r>
    </w:p>
    <w:bookmarkEnd w:id="14"/>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outlineLvl w:val="1"/>
        <w:rPr>
          <w:rFonts w:hint="eastAsia" w:ascii="文星标宋" w:hAnsi="文星标宋" w:eastAsia="文星标宋" w:cs="文星标宋"/>
          <w:bCs/>
          <w:color w:val="auto"/>
          <w:kern w:val="0"/>
          <w:sz w:val="32"/>
          <w:szCs w:val="32"/>
          <w:highlight w:val="none"/>
          <w:u w:val="none"/>
          <w:lang w:val="en-US" w:eastAsia="zh-CN" w:bidi="ar"/>
        </w:rPr>
      </w:pPr>
      <w:bookmarkStart w:id="15" w:name="_Toc18661"/>
      <w:bookmarkStart w:id="16" w:name="_Toc28760"/>
      <w:r>
        <w:rPr>
          <w:rFonts w:hint="eastAsia" w:ascii="文星标宋" w:hAnsi="文星标宋" w:eastAsia="文星标宋" w:cs="文星标宋"/>
          <w:bCs/>
          <w:color w:val="auto"/>
          <w:kern w:val="0"/>
          <w:sz w:val="32"/>
          <w:szCs w:val="32"/>
          <w:highlight w:val="none"/>
          <w:u w:val="none"/>
          <w:lang w:val="en-US" w:eastAsia="zh-CN" w:bidi="ar"/>
        </w:rPr>
        <w:t>第一节  壮大“3＋2＋2”链群发展体系</w:t>
      </w:r>
      <w:bookmarkEnd w:id="15"/>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color w:val="auto"/>
          <w:spacing w:val="0"/>
          <w:w w:val="100"/>
          <w:kern w:val="21"/>
          <w:sz w:val="32"/>
          <w:szCs w:val="32"/>
          <w:highlight w:val="none"/>
          <w:u w:val="none"/>
          <w:lang w:val="en-US" w:eastAsia="zh-CN" w:bidi="ar-SA"/>
        </w:rPr>
        <w:t>坚持以“智能化、绿色化、融合化”为主攻方向，立足发展所需、章丘所能、未来所向，以智能制造为导向，推动主导产业能级提升、特色产业规模壮大、新兴产业加快成势，壮大“3＋2＋2”产业链群，持续推动工业经济高质量发展。力争到2030年，全区规模以上工业企业数量稳定在610家左右。</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560" w:lineRule="exact"/>
        <w:ind w:left="0" w:leftChars="0" w:firstLine="640" w:firstLineChars="200"/>
        <w:jc w:val="both"/>
        <w:textAlignment w:val="auto"/>
        <w:outlineLvl w:val="2"/>
        <w:rPr>
          <w:rFonts w:hint="eastAsia" w:ascii="黑体" w:hAnsi="黑体" w:eastAsia="黑体" w:cs="黑体"/>
          <w:bCs/>
          <w:color w:val="auto"/>
          <w:kern w:val="44"/>
          <w:sz w:val="32"/>
          <w:szCs w:val="48"/>
          <w:highlight w:val="none"/>
          <w:lang w:val="en-US" w:eastAsia="zh-CN" w:bidi="ar"/>
        </w:rPr>
      </w:pPr>
      <w:r>
        <w:rPr>
          <w:rFonts w:hint="eastAsia" w:ascii="黑体" w:hAnsi="黑体" w:eastAsia="黑体" w:cs="黑体"/>
          <w:bCs/>
          <w:color w:val="auto"/>
          <w:kern w:val="44"/>
          <w:sz w:val="32"/>
          <w:szCs w:val="48"/>
          <w:highlight w:val="none"/>
          <w:lang w:val="en-US" w:eastAsia="zh-CN" w:bidi="ar"/>
        </w:rPr>
        <w:t>一、做强“三大主导产业链”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color w:val="auto"/>
          <w:spacing w:val="0"/>
          <w:w w:val="100"/>
          <w:kern w:val="21"/>
          <w:sz w:val="32"/>
          <w:szCs w:val="32"/>
          <w:highlight w:val="none"/>
          <w:u w:val="none"/>
          <w:lang w:val="en-US" w:eastAsia="zh-CN" w:bidi="ar-SA"/>
        </w:rPr>
      </w:pPr>
      <w:r>
        <w:rPr>
          <w:rFonts w:hint="eastAsia" w:ascii="楷体_GB2312" w:hAnsi="楷体_GB2312" w:eastAsia="楷体_GB2312" w:cs="楷体_GB2312"/>
          <w:b w:val="0"/>
          <w:bCs w:val="0"/>
          <w:color w:val="auto"/>
          <w:spacing w:val="0"/>
          <w:w w:val="100"/>
          <w:kern w:val="21"/>
          <w:sz w:val="32"/>
          <w:szCs w:val="32"/>
          <w:highlight w:val="none"/>
          <w:u w:val="none"/>
          <w:lang w:val="en-US" w:eastAsia="zh-CN" w:bidi="ar-SA"/>
        </w:rPr>
        <w:t>（一）汽车产业</w:t>
      </w:r>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color w:val="auto"/>
          <w:spacing w:val="0"/>
          <w:w w:val="100"/>
          <w:kern w:val="21"/>
          <w:sz w:val="32"/>
          <w:szCs w:val="32"/>
          <w:highlight w:val="none"/>
          <w:u w:val="none"/>
          <w:lang w:val="en-US" w:eastAsia="zh-CN" w:bidi="ar-SA"/>
        </w:rPr>
        <w:t>坚持培强龙头、做大配套、多链对接，围绕产业链集群化发展方向，以新能源汽车、汽车关键零部件为发展重点，全力推动新能源汽车产业优质化、集群化发展。到2030年，汽车产业规模产值达到800亿元。</w:t>
      </w:r>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t>提升整车制造的核心竞争力与创新能力。</w:t>
      </w:r>
      <w:r>
        <w:rPr>
          <w:rFonts w:hint="eastAsia" w:ascii="仿宋_GB2312" w:hAnsi="仿宋_GB2312" w:eastAsia="仿宋_GB2312" w:cs="仿宋_GB2312"/>
          <w:color w:val="auto"/>
          <w:spacing w:val="0"/>
          <w:w w:val="100"/>
          <w:kern w:val="21"/>
          <w:sz w:val="32"/>
          <w:szCs w:val="32"/>
          <w:highlight w:val="none"/>
          <w:u w:val="none"/>
          <w:lang w:val="en-US" w:eastAsia="zh-CN" w:bidi="ar-SA"/>
        </w:rPr>
        <w:t>充分发挥龙头企业辐射带动作用，依托济南（明水）汽车制造产业园等载体，巩固商用车领先优势地位，重点布局皮卡、轻卡、重卡、重型商用车等整车制造，围绕整车企业招引零部件企业，提高本土配套占比水平，支持企业搭建汽车产业关键工艺平台，着力打造国家重点汽车制造集聚区。加快电动、氢燃料动力新型商用车布局，增强动力电池与管理系统、驱动电机与电力电子、智能网联技术等关键系统基础能力，加快车载环境感知控制器、车辆智能控制与集成技术、无人驾驶系统、数据安全及平台软件的开发生产，建设柔性化、智能化底盘生产线，引进和培育一批新能源汽车制造领军企业，培育在国内具有一定影响力的生态主导型智能网联及新能源商用车、专用车企业。</w:t>
      </w:r>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color w:val="auto"/>
          <w:spacing w:val="0"/>
          <w:w w:val="100"/>
          <w:kern w:val="21"/>
          <w:sz w:val="32"/>
          <w:szCs w:val="32"/>
          <w:highlight w:val="none"/>
          <w:u w:val="none"/>
          <w:lang w:val="en-US" w:eastAsia="zh-CN" w:bidi="ar-SA"/>
        </w:rPr>
      </w:pPr>
      <w:r>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t>提升改装车个性化设计与定制化能力。</w:t>
      </w:r>
      <w:r>
        <w:rPr>
          <w:rFonts w:hint="eastAsia" w:ascii="仿宋_GB2312" w:hAnsi="仿宋_GB2312" w:eastAsia="仿宋_GB2312" w:cs="仿宋_GB2312"/>
          <w:color w:val="auto"/>
          <w:spacing w:val="0"/>
          <w:w w:val="100"/>
          <w:kern w:val="21"/>
          <w:sz w:val="32"/>
          <w:szCs w:val="32"/>
          <w:highlight w:val="none"/>
          <w:u w:val="none"/>
          <w:lang w:val="en-US" w:eastAsia="zh-CN" w:bidi="ar-SA"/>
        </w:rPr>
        <w:t>聚焦救援车、邮政车、冷藏车、危化品车、洒水车、高压清洗车、绿化喷洒车、罐式车、自卸车、半挂车、混凝土搅拌车等专用车、拓宽改装车品种系列，持续优化产品结构，增加高技术含量和附加值品类比重，打造章丘改装汽车品牌。</w:t>
      </w:r>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t>增强汽车关键零部件配套能力。</w:t>
      </w:r>
      <w:r>
        <w:rPr>
          <w:rFonts w:hint="eastAsia" w:ascii="仿宋_GB2312" w:hAnsi="仿宋_GB2312" w:eastAsia="仿宋_GB2312" w:cs="仿宋_GB2312"/>
          <w:color w:val="auto"/>
          <w:spacing w:val="0"/>
          <w:w w:val="100"/>
          <w:kern w:val="21"/>
          <w:sz w:val="32"/>
          <w:szCs w:val="32"/>
          <w:highlight w:val="none"/>
          <w:u w:val="none"/>
          <w:lang w:val="en-US" w:eastAsia="zh-CN" w:bidi="ar-SA"/>
        </w:rPr>
        <w:t>重点围绕中高端节能汽车零部件、新能源智能网联汽车零部件产品，提升发动机系统、变速箱系统、车身车桥、传动轴、环境感知系统、ADAS驾驶辅助系统等关键零部件研究与应用开发水平，开发拳头型、空缺型产品，提高核心产品竞争力。提升发动机和变速箱配套能力，引导零部件企业转型升级，重点招引动力、底盘、车身、电气等领域核心零部件项目，积极引进新能源电池、电机、电控等三电系统项目，支持企业在汽车零部件领域创建国家、省级技术中心、重点实验室、工程实验室等创新平台。</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852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suppressLineNumbers w:val="0"/>
              <w:kinsoku/>
              <w:wordWrap/>
              <w:overflowPunct w:val="0"/>
              <w:topLinePunct w:val="0"/>
              <w:autoSpaceDE w:val="0"/>
              <w:autoSpaceDN w:val="0"/>
              <w:bidi w:val="0"/>
              <w:adjustRightInd/>
              <w:snapToGrid w:val="0"/>
              <w:spacing w:before="0" w:beforeAutospacing="0" w:after="0" w:afterLines="0" w:afterAutospacing="0" w:line="480" w:lineRule="exact"/>
              <w:ind w:left="0" w:leftChars="0" w:right="0" w:firstLine="0" w:firstLineChars="0"/>
              <w:jc w:val="center"/>
              <w:textAlignment w:val="auto"/>
              <w:rPr>
                <w:rFonts w:hint="eastAsia" w:ascii="楷体_GB2312" w:hAnsi="楷体_GB2312" w:eastAsia="楷体_GB2312" w:cs="楷体_GB2312"/>
                <w:b w:val="0"/>
                <w:bCs w:val="0"/>
                <w:color w:val="auto"/>
                <w:kern w:val="2"/>
                <w:sz w:val="28"/>
                <w:szCs w:val="28"/>
                <w:highlight w:val="none"/>
                <w:u w:val="none"/>
                <w:lang w:val="en-US" w:eastAsia="zh-CN" w:bidi="ar-SA"/>
              </w:rPr>
            </w:pPr>
            <w:bookmarkStart w:id="17" w:name="_Toc14627"/>
            <w:bookmarkStart w:id="18" w:name="_Toc32516"/>
            <w:bookmarkStart w:id="19" w:name="_Toc10615"/>
            <w:bookmarkStart w:id="20" w:name="_Toc9658"/>
            <w:bookmarkStart w:id="21" w:name="_Toc25655"/>
            <w:bookmarkStart w:id="22" w:name="_Toc24414"/>
            <w:r>
              <w:rPr>
                <w:rFonts w:hint="eastAsia" w:ascii="楷体_GB2312" w:hAnsi="楷体_GB2312" w:eastAsia="楷体_GB2312" w:cs="楷体_GB2312"/>
                <w:b w:val="0"/>
                <w:bCs w:val="0"/>
                <w:color w:val="auto"/>
                <w:kern w:val="2"/>
                <w:sz w:val="28"/>
                <w:szCs w:val="28"/>
                <w:highlight w:val="none"/>
                <w:u w:val="none"/>
                <w:lang w:val="en-US" w:eastAsia="zh-CN" w:bidi="ar-SA"/>
              </w:rPr>
              <w:t xml:space="preserve">专栏2 </w:t>
            </w:r>
            <w:bookmarkStart w:id="23" w:name="_Toc5718"/>
            <w:bookmarkStart w:id="24" w:name="_Toc8676"/>
            <w:r>
              <w:rPr>
                <w:rFonts w:hint="eastAsia" w:ascii="楷体_GB2312" w:hAnsi="楷体_GB2312" w:eastAsia="楷体_GB2312" w:cs="楷体_GB2312"/>
                <w:b w:val="0"/>
                <w:bCs w:val="0"/>
                <w:color w:val="auto"/>
                <w:kern w:val="2"/>
                <w:sz w:val="28"/>
                <w:szCs w:val="28"/>
                <w:highlight w:val="none"/>
                <w:u w:val="none"/>
                <w:lang w:val="en-US" w:eastAsia="zh-CN" w:bidi="ar-SA"/>
              </w:rPr>
              <w:t xml:space="preserve"> </w:t>
            </w:r>
            <w:bookmarkEnd w:id="23"/>
            <w:bookmarkEnd w:id="24"/>
            <w:r>
              <w:rPr>
                <w:rFonts w:hint="eastAsia" w:ascii="楷体_GB2312" w:hAnsi="楷体_GB2312" w:eastAsia="楷体_GB2312" w:cs="楷体_GB2312"/>
                <w:b w:val="0"/>
                <w:bCs w:val="0"/>
                <w:color w:val="auto"/>
                <w:kern w:val="2"/>
                <w:sz w:val="28"/>
                <w:szCs w:val="28"/>
                <w:highlight w:val="none"/>
                <w:u w:val="none"/>
                <w:lang w:val="en-US" w:eastAsia="zh-CN" w:bidi="ar-SA"/>
              </w:rPr>
              <w:t>汽车产业重要载体</w:t>
            </w:r>
          </w:p>
          <w:bookmarkEnd w:id="17"/>
          <w:bookmarkEnd w:id="18"/>
          <w:bookmarkEnd w:id="19"/>
          <w:bookmarkEnd w:id="20"/>
          <w:bookmarkEnd w:id="21"/>
          <w:bookmarkEnd w:id="22"/>
          <w:p>
            <w:pPr>
              <w:keepNext w:val="0"/>
              <w:keepLines w:val="0"/>
              <w:pageBreakBefore w:val="0"/>
              <w:widowControl w:val="0"/>
              <w:numPr>
                <w:ilvl w:val="0"/>
                <w:numId w:val="0"/>
              </w:numPr>
              <w:suppressLineNumbers w:val="0"/>
              <w:kinsoku/>
              <w:wordWrap/>
              <w:overflowPunct w:val="0"/>
              <w:topLinePunct w:val="0"/>
              <w:autoSpaceDE w:val="0"/>
              <w:autoSpaceDN w:val="0"/>
              <w:bidi w:val="0"/>
              <w:adjustRightInd/>
              <w:snapToGrid w:val="0"/>
              <w:spacing w:before="0" w:beforeAutospacing="0" w:after="0" w:afterLines="0" w:afterAutospacing="0" w:line="480" w:lineRule="exact"/>
              <w:ind w:left="0" w:right="0" w:firstLine="560" w:firstLineChars="200"/>
              <w:jc w:val="left"/>
              <w:textAlignment w:val="auto"/>
              <w:rPr>
                <w:rFonts w:hint="default" w:ascii="Calibri" w:hAnsi="Calibri" w:eastAsia="宋体" w:cs="Times New Roman"/>
                <w:color w:val="auto"/>
                <w:kern w:val="2"/>
                <w:sz w:val="21"/>
                <w:szCs w:val="22"/>
                <w:highlight w:val="none"/>
                <w:u w:val="none"/>
                <w:lang w:val="en-US" w:eastAsia="zh-CN" w:bidi="ar-SA"/>
              </w:rPr>
            </w:pPr>
            <w:r>
              <w:rPr>
                <w:rFonts w:hint="eastAsia" w:ascii="楷体_GB2312" w:hAnsi="楷体_GB2312" w:eastAsia="楷体_GB2312" w:cs="楷体_GB2312"/>
                <w:b w:val="0"/>
                <w:bCs w:val="0"/>
                <w:color w:val="auto"/>
                <w:kern w:val="2"/>
                <w:sz w:val="28"/>
                <w:szCs w:val="28"/>
                <w:highlight w:val="none"/>
                <w:u w:val="none"/>
                <w:lang w:val="en-US" w:eastAsia="zh-CN" w:bidi="ar"/>
              </w:rPr>
              <w:t>济南（明水）汽车制造产业园、济东智造新城、凤凰山工业园、中国晶谷产业园、济南产发先进装备智造港、济南青开创新科技产业园、枣园汽车产业地块、龙山汽车产业地块、圣井高端装备产业企业存量地块、龙山智能制造产业企业存量地块。</w:t>
            </w:r>
          </w:p>
        </w:tc>
      </w:tr>
    </w:tbl>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afterLines="0" w:line="560" w:lineRule="exact"/>
        <w:ind w:left="0" w:leftChars="0" w:firstLine="640" w:firstLineChars="200"/>
        <w:textAlignment w:val="auto"/>
        <w:rPr>
          <w:rFonts w:hint="eastAsia" w:ascii="楷体_GB2312" w:hAnsi="楷体_GB2312" w:eastAsia="楷体_GB2312" w:cs="楷体_GB2312"/>
          <w:b w:val="0"/>
          <w:bCs w:val="0"/>
          <w:color w:val="auto"/>
          <w:spacing w:val="0"/>
          <w:w w:val="100"/>
          <w:kern w:val="21"/>
          <w:sz w:val="32"/>
          <w:szCs w:val="32"/>
          <w:highlight w:val="none"/>
          <w:u w:val="none"/>
          <w:lang w:val="en-US" w:eastAsia="zh-CN" w:bidi="ar-SA"/>
        </w:rPr>
      </w:pPr>
      <w:r>
        <w:rPr>
          <w:rFonts w:hint="eastAsia" w:ascii="楷体_GB2312" w:hAnsi="楷体_GB2312" w:eastAsia="楷体_GB2312" w:cs="楷体_GB2312"/>
          <w:b w:val="0"/>
          <w:bCs w:val="0"/>
          <w:color w:val="auto"/>
          <w:spacing w:val="0"/>
          <w:w w:val="100"/>
          <w:kern w:val="21"/>
          <w:sz w:val="32"/>
          <w:szCs w:val="32"/>
          <w:highlight w:val="none"/>
          <w:u w:val="none"/>
          <w:lang w:val="en-US" w:eastAsia="zh-CN" w:bidi="ar-SA"/>
        </w:rPr>
        <w:t>（二）先进材料产业</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40" w:lineRule="exact"/>
        <w:ind w:left="0" w:leftChars="0" w:firstLine="640" w:firstLineChars="200"/>
        <w:textAlignment w:val="auto"/>
        <w:rPr>
          <w:rFonts w:hint="default"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color w:val="auto"/>
          <w:spacing w:val="0"/>
          <w:w w:val="100"/>
          <w:kern w:val="21"/>
          <w:sz w:val="32"/>
          <w:szCs w:val="32"/>
          <w:highlight w:val="none"/>
          <w:u w:val="none"/>
          <w:lang w:val="en-US" w:eastAsia="zh-CN" w:bidi="ar-SA"/>
        </w:rPr>
        <w:t>强化链式思维，围绕“紧盯前沿、龙头牵引、创新培育、打造生态、沿链谋划、集群发展”总体推进路径，精准锚定化工与新材料两大战略性主攻方向，深度集成各方优势资源与政策合力，强力推动先进材料与新一代信息技术、新能源、高端装备等产业耦合联动与集群发展，持续优化产业生态体系，着力构建创新能力突出、集群效应显著、内生动力强劲的产业发展新高地，全力做大做强先进材料产业。到2030年，先进材料产业产值规模达到350亿元。</w:t>
      </w:r>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t>推动化工新材料高端化、绿色化、精细化发展。</w:t>
      </w:r>
      <w:r>
        <w:rPr>
          <w:rFonts w:hint="eastAsia" w:ascii="仿宋_GB2312" w:hAnsi="仿宋_GB2312" w:eastAsia="仿宋_GB2312" w:cs="仿宋_GB2312"/>
          <w:color w:val="auto"/>
          <w:spacing w:val="0"/>
          <w:w w:val="100"/>
          <w:kern w:val="21"/>
          <w:sz w:val="32"/>
          <w:szCs w:val="32"/>
          <w:highlight w:val="none"/>
          <w:u w:val="none"/>
          <w:lang w:val="en-US" w:eastAsia="zh-CN" w:bidi="ar-SA"/>
        </w:rPr>
        <w:t>依托济南刁镇化工产业园等载体，重点发展酚醛树脂及其高端复合材料、聚苯硫醚（PPS）、高性能光敏聚酰亚胺（PSPI）、高性能含氟材料等精细领域，着力提升产品附加值和产业竞争力，打造国内领先的先进材料特色产业地标。依托行业链主企业的强大带动能力，纵向延伸产业链条，加快产业链中高端环节布局，推动向精细化、功能化、高值化应用发展。</w:t>
      </w:r>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t>打造高性能复合材料研发与应用高地</w:t>
      </w:r>
      <w:r>
        <w:rPr>
          <w:rFonts w:hint="eastAsia" w:ascii="仿宋_GB2312" w:hAnsi="仿宋_GB2312" w:eastAsia="仿宋_GB2312" w:cs="仿宋_GB2312"/>
          <w:color w:val="auto"/>
          <w:spacing w:val="0"/>
          <w:w w:val="100"/>
          <w:kern w:val="21"/>
          <w:sz w:val="32"/>
          <w:szCs w:val="32"/>
          <w:highlight w:val="none"/>
          <w:u w:val="none"/>
          <w:lang w:val="en-US" w:eastAsia="zh-CN" w:bidi="ar-SA"/>
        </w:rPr>
        <w:t>。加快胶粘剂、防护材料、复合材料、工程塑料等高性能复合材料产业的结构升级。聚焦特种尼龙等优势领域，重点突破长碳链尼龙、透明尼龙、尼龙弹性体、高温尼龙等关键材料的规模化、稳定化生产，积极拓展低空经济、航空航天、轨道交通、新能源汽车、3D打印等高端应用场景。</w:t>
      </w:r>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t>构筑新能源电池材料全产业链竞争优势。</w:t>
      </w:r>
      <w:r>
        <w:rPr>
          <w:rFonts w:hint="eastAsia" w:ascii="仿宋_GB2312" w:hAnsi="仿宋_GB2312" w:eastAsia="仿宋_GB2312" w:cs="仿宋_GB2312"/>
          <w:color w:val="auto"/>
          <w:spacing w:val="0"/>
          <w:w w:val="100"/>
          <w:kern w:val="21"/>
          <w:sz w:val="32"/>
          <w:szCs w:val="32"/>
          <w:highlight w:val="none"/>
          <w:u w:val="none"/>
          <w:lang w:val="en-US" w:eastAsia="zh-CN" w:bidi="ar-SA"/>
        </w:rPr>
        <w:t>充分发挥生物质精炼和先进树脂制备等领域技术优势，前瞻布局新能源电池材料发展方向，全力打通“球形酚醛树脂＋生物基材料—硅碳用多孔碳（碳骨架）—硅碳负极材料”全产业链，加快推动硅碳用多孔碳、低介电树脂等优质项目实施与产业化，加速推进先进材料创新基地、中试基地等重大载体建设，抢占电池材料发展制高点，力争将章丘打造成为国内技术领先、供应链自主可控的新能源电池材料供应区。</w:t>
      </w:r>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40" w:lineRule="exact"/>
        <w:ind w:left="0" w:leftChars="0" w:firstLine="640" w:firstLineChars="200"/>
        <w:textAlignment w:val="auto"/>
        <w:rPr>
          <w:rFonts w:hint="eastAsia"/>
          <w:color w:val="auto"/>
          <w:highlight w:val="none"/>
          <w:lang w:val="en-US" w:eastAsia="zh-CN"/>
        </w:rPr>
      </w:pPr>
      <w:r>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t>提升人工晶体材料创新策源与产业转化能级。</w:t>
      </w:r>
      <w:r>
        <w:rPr>
          <w:rFonts w:hint="eastAsia" w:ascii="仿宋_GB2312" w:hAnsi="仿宋_GB2312" w:eastAsia="仿宋_GB2312" w:cs="仿宋_GB2312"/>
          <w:color w:val="auto"/>
          <w:spacing w:val="0"/>
          <w:w w:val="100"/>
          <w:kern w:val="21"/>
          <w:sz w:val="32"/>
          <w:szCs w:val="32"/>
          <w:highlight w:val="none"/>
          <w:u w:val="none"/>
          <w:lang w:val="en-US" w:eastAsia="zh-CN" w:bidi="ar-SA"/>
        </w:rPr>
        <w:t>探索突破晶体材料“沉积→加工→镀膜→装备”全产业链，做强做大红外光学材料、金刚石功能材料、云母材料、闪烁晶体材料等优势产品。全力保障中材人工晶体迁建项目加速落地，推动创新成果就地转化和产业化，构建产学研用深度融合的产业生态。</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4" w:hRule="atLeast"/>
          <w:jc w:val="center"/>
        </w:trPr>
        <w:tc>
          <w:tcPr>
            <w:tcW w:w="8522"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480" w:lineRule="exact"/>
              <w:ind w:left="0" w:leftChars="0" w:right="0" w:firstLine="0" w:firstLineChars="0"/>
              <w:jc w:val="center"/>
              <w:textAlignment w:val="auto"/>
              <w:rPr>
                <w:rFonts w:hint="eastAsia" w:ascii="楷体_GB2312" w:hAnsi="楷体_GB2312" w:eastAsia="楷体_GB2312" w:cs="楷体_GB2312"/>
                <w:b w:val="0"/>
                <w:bCs w:val="0"/>
                <w:color w:val="auto"/>
                <w:kern w:val="2"/>
                <w:sz w:val="28"/>
                <w:szCs w:val="28"/>
                <w:highlight w:val="none"/>
                <w:u w:val="none"/>
                <w:lang w:val="en-US" w:eastAsia="zh-CN" w:bidi="ar-SA"/>
              </w:rPr>
            </w:pPr>
            <w:r>
              <w:rPr>
                <w:rFonts w:hint="eastAsia" w:ascii="楷体_GB2312" w:hAnsi="楷体_GB2312" w:eastAsia="楷体_GB2312" w:cs="楷体_GB2312"/>
                <w:b w:val="0"/>
                <w:bCs w:val="0"/>
                <w:color w:val="auto"/>
                <w:kern w:val="2"/>
                <w:sz w:val="28"/>
                <w:szCs w:val="28"/>
                <w:highlight w:val="none"/>
                <w:u w:val="none"/>
                <w:lang w:val="en-US" w:eastAsia="zh-CN" w:bidi="ar-SA"/>
              </w:rPr>
              <w:t>专栏3  先进材料产业主攻方向</w:t>
            </w:r>
          </w:p>
          <w:p>
            <w:pPr>
              <w:keepNext w:val="0"/>
              <w:keepLines w:val="0"/>
              <w:pageBreakBefore w:val="0"/>
              <w:widowControl w:val="0"/>
              <w:numPr>
                <w:ilvl w:val="0"/>
                <w:numId w:val="0"/>
              </w:numPr>
              <w:kinsoku/>
              <w:wordWrap/>
              <w:topLinePunct w:val="0"/>
              <w:autoSpaceDE w:val="0"/>
              <w:autoSpaceDN w:val="0"/>
              <w:bidi w:val="0"/>
              <w:adjustRightInd/>
              <w:snapToGrid/>
              <w:spacing w:line="480" w:lineRule="exact"/>
              <w:ind w:firstLine="560" w:firstLineChars="200"/>
              <w:textAlignment w:val="auto"/>
              <w:rPr>
                <w:rFonts w:hint="default" w:ascii="Calibri" w:hAnsi="Calibri" w:eastAsia="宋体" w:cs="Times New Roman"/>
                <w:color w:val="auto"/>
                <w:kern w:val="2"/>
                <w:sz w:val="21"/>
                <w:szCs w:val="22"/>
                <w:highlight w:val="none"/>
                <w:u w:val="none"/>
                <w:lang w:val="en-US" w:eastAsia="zh-CN" w:bidi="ar-SA"/>
              </w:rPr>
            </w:pPr>
            <w:r>
              <w:rPr>
                <w:rFonts w:hint="eastAsia" w:ascii="楷体_GB2312" w:hAnsi="楷体_GB2312" w:eastAsia="楷体_GB2312" w:cs="楷体_GB2312"/>
                <w:b w:val="0"/>
                <w:bCs w:val="0"/>
                <w:color w:val="auto"/>
                <w:kern w:val="2"/>
                <w:sz w:val="28"/>
                <w:szCs w:val="28"/>
                <w:highlight w:val="none"/>
                <w:u w:val="none"/>
                <w:lang w:val="en-US" w:eastAsia="zh-CN" w:bidi="ar"/>
              </w:rPr>
              <w:t>煤基精细化工品、高端功能化学品、新能源电池材料、生物基材料、酚醛树脂材料、呋喃树脂材料、铸造辅助材料、人工晶体材料、氟材料、高吸收性树脂材料、阻燃剂材料、尼龙材料、非织造材料、特种陶瓷材料、电力电缆材料、硬质合金材料、防渗材料。</w:t>
            </w:r>
          </w:p>
        </w:tc>
      </w:tr>
    </w:tbl>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afterLines="0" w:line="560" w:lineRule="exact"/>
        <w:ind w:left="0" w:leftChars="0" w:firstLine="640" w:firstLineChars="200"/>
        <w:textAlignment w:val="auto"/>
        <w:rPr>
          <w:rFonts w:hint="eastAsia" w:ascii="楷体_GB2312" w:hAnsi="楷体_GB2312" w:eastAsia="楷体_GB2312" w:cs="楷体_GB2312"/>
          <w:b w:val="0"/>
          <w:bCs w:val="0"/>
          <w:color w:val="auto"/>
          <w:spacing w:val="0"/>
          <w:w w:val="100"/>
          <w:kern w:val="21"/>
          <w:sz w:val="32"/>
          <w:szCs w:val="32"/>
          <w:highlight w:val="none"/>
          <w:u w:val="none"/>
          <w:lang w:val="en-US" w:eastAsia="zh-CN" w:bidi="ar-SA"/>
        </w:rPr>
      </w:pPr>
      <w:r>
        <w:rPr>
          <w:rFonts w:hint="eastAsia" w:ascii="楷体_GB2312" w:hAnsi="楷体_GB2312" w:eastAsia="楷体_GB2312" w:cs="楷体_GB2312"/>
          <w:b w:val="0"/>
          <w:bCs w:val="0"/>
          <w:color w:val="auto"/>
          <w:spacing w:val="0"/>
          <w:w w:val="100"/>
          <w:kern w:val="21"/>
          <w:sz w:val="32"/>
          <w:szCs w:val="32"/>
          <w:highlight w:val="none"/>
          <w:u w:val="none"/>
          <w:lang w:val="en-US" w:eastAsia="zh-CN" w:bidi="ar-SA"/>
        </w:rPr>
        <w:t>（三）专用装备产业</w:t>
      </w:r>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color w:val="auto"/>
          <w:spacing w:val="0"/>
          <w:w w:val="100"/>
          <w:kern w:val="21"/>
          <w:sz w:val="32"/>
          <w:szCs w:val="32"/>
          <w:highlight w:val="none"/>
          <w:u w:val="none"/>
          <w:lang w:val="en-US" w:eastAsia="zh-CN" w:bidi="ar-SA"/>
        </w:rPr>
      </w:pPr>
      <w:r>
        <w:rPr>
          <w:rFonts w:hint="eastAsia" w:ascii="仿宋_GB2312" w:hAnsi="仿宋_GB2312" w:eastAsia="仿宋_GB2312" w:cs="仿宋_GB2312"/>
          <w:color w:val="auto"/>
          <w:spacing w:val="0"/>
          <w:w w:val="100"/>
          <w:kern w:val="21"/>
          <w:sz w:val="32"/>
          <w:szCs w:val="32"/>
          <w:highlight w:val="none"/>
          <w:u w:val="none"/>
          <w:lang w:val="en-US" w:eastAsia="zh-CN" w:bidi="ar-SA"/>
        </w:rPr>
        <w:t>做大做强机械装备、新能源装备等优势产业，培育发展模具产业，形成产业优势突出、结构优化、集群化发展、具备较强竞争力的专用</w:t>
      </w:r>
      <w:r>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t>装备产业集群。依托中国设备管理协会，聚力发展石化装备行业，打造石化装备产业基地。到2030年，专用装备产业产值规模达到400亿元。</w:t>
      </w:r>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pPr>
      <w:r>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t>推动机械装备技术革新。做强工程机械、环保装备、新能源装备等细分领域，引导专用装备产业链企业向军民装备、精密加工等方向转型升级，推动产业链从“中低端配套”向“中高端跃升”，鼓励企业加大科技创新投入，建设中试基地及平台，攻关一批关键技术，提升关键零部件本地化配套水平。利用全区铸锻产业优势，通过社会化分工协作模式，探索能源利用集约化、专业化、绿色化创新发展模式。全面提升塔机、风机产业集群行业影响力，强化企业技术革新和新产品研发，全面提高产品品质，持续扩展国际、国内销售市场，巩固提升产业综合竞争力。</w:t>
      </w:r>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t>培育壮大新能源装备规模。培育一批“专精特新”企业，加大新技术攻关、新产品替代、新工艺革新力度，加快推进一批智能制造项目实施，重点发展风电核电能源装备、智能测控装备、环保装备、工程机械等产业领域，聚焦高效、精密、可靠</w:t>
      </w:r>
      <w:r>
        <w:rPr>
          <w:rFonts w:hint="eastAsia" w:ascii="仿宋_GB2312" w:hAnsi="仿宋_GB2312" w:eastAsia="仿宋_GB2312" w:cs="仿宋_GB2312"/>
          <w:color w:val="auto"/>
          <w:spacing w:val="0"/>
          <w:w w:val="100"/>
          <w:kern w:val="21"/>
          <w:sz w:val="32"/>
          <w:szCs w:val="32"/>
          <w:highlight w:val="none"/>
          <w:u w:val="none"/>
          <w:lang w:val="en-US" w:eastAsia="zh-CN" w:bidi="ar-SA"/>
        </w:rPr>
        <w:t>性和精度保持等性能，加强关键材料、基础零部件和技术装备研发，提升基础智能装备和仪器设备自主化水平，畅通战略产品研制、示范应用推广、产业提质升级链条。</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852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480" w:lineRule="exact"/>
              <w:ind w:left="0" w:leftChars="0" w:right="0" w:firstLine="0" w:firstLineChars="0"/>
              <w:jc w:val="center"/>
              <w:textAlignment w:val="auto"/>
              <w:rPr>
                <w:rFonts w:hint="eastAsia" w:ascii="楷体_GB2312" w:hAnsi="楷体_GB2312" w:eastAsia="楷体_GB2312" w:cs="楷体_GB2312"/>
                <w:b w:val="0"/>
                <w:bCs w:val="0"/>
                <w:color w:val="auto"/>
                <w:kern w:val="2"/>
                <w:sz w:val="28"/>
                <w:szCs w:val="28"/>
                <w:highlight w:val="none"/>
                <w:u w:val="none"/>
                <w:lang w:val="en-US" w:eastAsia="zh-CN" w:bidi="ar-SA"/>
              </w:rPr>
            </w:pPr>
            <w:r>
              <w:rPr>
                <w:rFonts w:hint="eastAsia" w:ascii="楷体_GB2312" w:hAnsi="楷体_GB2312" w:eastAsia="楷体_GB2312" w:cs="楷体_GB2312"/>
                <w:b w:val="0"/>
                <w:bCs w:val="0"/>
                <w:color w:val="auto"/>
                <w:kern w:val="2"/>
                <w:sz w:val="28"/>
                <w:szCs w:val="28"/>
                <w:highlight w:val="none"/>
                <w:u w:val="none"/>
                <w:lang w:val="en-US" w:eastAsia="zh-CN" w:bidi="ar-SA"/>
              </w:rPr>
              <w:t>专栏4  专用装备产业主攻方向和载体</w:t>
            </w:r>
          </w:p>
          <w:p>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480" w:lineRule="exact"/>
              <w:ind w:left="0" w:right="0" w:firstLine="560" w:firstLineChars="200"/>
              <w:jc w:val="both"/>
              <w:textAlignment w:val="auto"/>
              <w:rPr>
                <w:rFonts w:hint="eastAsia" w:ascii="楷体_GB2312" w:hAnsi="楷体_GB2312" w:eastAsia="楷体_GB2312" w:cs="楷体_GB2312"/>
                <w:b w:val="0"/>
                <w:bCs w:val="0"/>
                <w:color w:val="auto"/>
                <w:kern w:val="2"/>
                <w:sz w:val="28"/>
                <w:szCs w:val="28"/>
                <w:highlight w:val="none"/>
                <w:u w:val="none"/>
                <w:lang w:val="en-US" w:eastAsia="zh-CN" w:bidi="ar"/>
              </w:rPr>
            </w:pPr>
            <w:r>
              <w:rPr>
                <w:rFonts w:hint="eastAsia" w:ascii="楷体_GB2312" w:hAnsi="楷体_GB2312" w:eastAsia="楷体_GB2312" w:cs="楷体_GB2312"/>
                <w:b w:val="0"/>
                <w:bCs w:val="0"/>
                <w:color w:val="auto"/>
                <w:kern w:val="2"/>
                <w:sz w:val="28"/>
                <w:szCs w:val="28"/>
                <w:highlight w:val="none"/>
                <w:u w:val="none"/>
                <w:lang w:val="en-US" w:eastAsia="zh-CN" w:bidi="ar"/>
              </w:rPr>
              <w:t>1.主攻方向：工程机械、环保装备、新能源装备。</w:t>
            </w:r>
          </w:p>
          <w:p>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480" w:lineRule="exact"/>
              <w:ind w:left="0" w:right="0" w:firstLine="560" w:firstLineChars="200"/>
              <w:jc w:val="both"/>
              <w:textAlignment w:val="auto"/>
              <w:rPr>
                <w:rFonts w:hint="eastAsia" w:eastAsia="仿宋"/>
                <w:color w:val="auto"/>
                <w:highlight w:val="none"/>
                <w:lang w:val="en-US" w:eastAsia="zh-CN"/>
              </w:rPr>
            </w:pPr>
            <w:r>
              <w:rPr>
                <w:rFonts w:hint="eastAsia" w:ascii="楷体_GB2312" w:hAnsi="楷体_GB2312" w:eastAsia="楷体_GB2312" w:cs="楷体_GB2312"/>
                <w:b w:val="0"/>
                <w:bCs w:val="0"/>
                <w:color w:val="auto"/>
                <w:kern w:val="2"/>
                <w:sz w:val="28"/>
                <w:szCs w:val="28"/>
                <w:highlight w:val="none"/>
                <w:u w:val="none"/>
                <w:lang w:val="en-US" w:eastAsia="zh-CN" w:bidi="ar"/>
              </w:rPr>
              <w:t>2.重要载体：明水经济技术开发区、先进装备智造港、凤凰山模具（精密铸锻）产业园。</w:t>
            </w:r>
          </w:p>
        </w:tc>
      </w:tr>
    </w:tbl>
    <w:p>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560" w:lineRule="exact"/>
        <w:ind w:left="0" w:leftChars="0" w:firstLine="640" w:firstLineChars="200"/>
        <w:jc w:val="both"/>
        <w:textAlignment w:val="auto"/>
        <w:outlineLvl w:val="2"/>
        <w:rPr>
          <w:rFonts w:hint="default" w:ascii="黑体" w:hAnsi="黑体" w:eastAsia="黑体" w:cs="黑体"/>
          <w:bCs/>
          <w:color w:val="auto"/>
          <w:kern w:val="44"/>
          <w:sz w:val="32"/>
          <w:szCs w:val="48"/>
          <w:highlight w:val="none"/>
          <w:lang w:val="en-US" w:eastAsia="zh-CN" w:bidi="ar"/>
        </w:rPr>
      </w:pPr>
      <w:r>
        <w:rPr>
          <w:rFonts w:hint="eastAsia" w:ascii="黑体" w:hAnsi="黑体" w:eastAsia="黑体" w:cs="黑体"/>
          <w:bCs/>
          <w:color w:val="auto"/>
          <w:kern w:val="44"/>
          <w:sz w:val="32"/>
          <w:szCs w:val="48"/>
          <w:highlight w:val="none"/>
          <w:lang w:val="en-US" w:eastAsia="zh-CN" w:bidi="ar"/>
        </w:rPr>
        <w:t>二、培育“两大新兴产业链”</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afterLines="0" w:line="560" w:lineRule="exact"/>
        <w:ind w:left="0" w:leftChars="0" w:firstLine="640" w:firstLineChars="200"/>
        <w:textAlignment w:val="auto"/>
        <w:rPr>
          <w:rFonts w:hint="default" w:ascii="楷体_GB2312" w:hAnsi="楷体_GB2312" w:eastAsia="楷体_GB2312" w:cs="楷体_GB2312"/>
          <w:b w:val="0"/>
          <w:bCs w:val="0"/>
          <w:color w:val="auto"/>
          <w:spacing w:val="0"/>
          <w:w w:val="100"/>
          <w:kern w:val="21"/>
          <w:sz w:val="32"/>
          <w:szCs w:val="32"/>
          <w:highlight w:val="none"/>
          <w:u w:val="none"/>
          <w:lang w:val="en-US" w:eastAsia="zh-CN" w:bidi="ar-SA"/>
        </w:rPr>
      </w:pPr>
      <w:r>
        <w:rPr>
          <w:rFonts w:hint="eastAsia" w:ascii="楷体_GB2312" w:hAnsi="楷体_GB2312" w:eastAsia="楷体_GB2312" w:cs="楷体_GB2312"/>
          <w:b w:val="0"/>
          <w:bCs w:val="0"/>
          <w:color w:val="auto"/>
          <w:spacing w:val="0"/>
          <w:w w:val="100"/>
          <w:kern w:val="21"/>
          <w:sz w:val="32"/>
          <w:szCs w:val="32"/>
          <w:highlight w:val="none"/>
          <w:u w:val="none"/>
          <w:lang w:val="en-US" w:eastAsia="zh-CN" w:bidi="ar-SA"/>
        </w:rPr>
        <w:t>（一）航空航天暨低空经济产业</w:t>
      </w:r>
    </w:p>
    <w:p>
      <w:pPr>
        <w:keepNext w:val="0"/>
        <w:keepLines w:val="0"/>
        <w:pageBreakBefore w:val="0"/>
        <w:widowControl/>
        <w:numPr>
          <w:ilvl w:val="0"/>
          <w:numId w:val="0"/>
        </w:numPr>
        <w:suppressLineNumbers w:val="0"/>
        <w:tabs>
          <w:tab w:val="right" w:leader="dot" w:pos="8640"/>
        </w:tabs>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val="0"/>
          <w:color w:val="auto"/>
          <w:kern w:val="21"/>
          <w:sz w:val="32"/>
          <w:szCs w:val="32"/>
          <w:highlight w:val="none"/>
          <w:u w:val="none"/>
          <w:lang w:val="en-US" w:eastAsia="zh-CN"/>
        </w:rPr>
      </w:pPr>
      <w:r>
        <w:rPr>
          <w:rFonts w:hint="eastAsia" w:ascii="仿宋_GB2312" w:hAnsi="仿宋_GB2312" w:eastAsia="仿宋_GB2312" w:cs="仿宋_GB2312"/>
          <w:b w:val="0"/>
          <w:bCs w:val="0"/>
          <w:color w:val="auto"/>
          <w:kern w:val="21"/>
          <w:sz w:val="32"/>
          <w:szCs w:val="32"/>
          <w:highlight w:val="none"/>
          <w:u w:val="none"/>
          <w:lang w:val="en-US" w:eastAsia="zh-CN"/>
        </w:rPr>
        <w:t>锚定航空航天与低空经济双主线，强化创新平台支撑与产业链协同，力争到2030年，</w:t>
      </w:r>
      <w:bookmarkStart w:id="25" w:name="_Hlk206747439"/>
      <w:r>
        <w:rPr>
          <w:rFonts w:hint="eastAsia" w:ascii="仿宋_GB2312" w:hAnsi="仿宋_GB2312" w:eastAsia="仿宋_GB2312" w:cs="仿宋_GB2312"/>
          <w:b w:val="0"/>
          <w:bCs w:val="0"/>
          <w:color w:val="auto"/>
          <w:kern w:val="21"/>
          <w:sz w:val="32"/>
          <w:szCs w:val="32"/>
          <w:highlight w:val="none"/>
          <w:u w:val="none"/>
          <w:lang w:val="en-US" w:eastAsia="zh-CN"/>
        </w:rPr>
        <w:t>航空航天、低空经济产业规模突破15亿元，培育20家以上具有核心竞争力的重点企业，打造省内知名的航空航天、低空经济产教融合高地。</w:t>
      </w:r>
      <w:bookmarkEnd w:id="25"/>
    </w:p>
    <w:p>
      <w:pPr>
        <w:keepNext w:val="0"/>
        <w:keepLines w:val="0"/>
        <w:pageBreakBefore w:val="0"/>
        <w:widowControl w:val="0"/>
        <w:numPr>
          <w:ilvl w:val="0"/>
          <w:numId w:val="0"/>
        </w:numPr>
        <w:suppressLineNumbers w:val="0"/>
        <w:kinsoku/>
        <w:wordWrap/>
        <w:overflowPunct/>
        <w:topLinePunct/>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系统打造航空航天生态体系。</w:t>
      </w:r>
      <w:r>
        <w:rPr>
          <w:rFonts w:hint="eastAsia" w:ascii="仿宋_GB2312" w:hAnsi="仿宋_GB2312" w:eastAsia="仿宋_GB2312" w:cs="仿宋_GB2312"/>
          <w:color w:val="auto"/>
          <w:sz w:val="32"/>
          <w:szCs w:val="32"/>
          <w:highlight w:val="none"/>
          <w:lang w:val="en-US" w:eastAsia="zh-CN"/>
        </w:rPr>
        <w:t>依托空天信息大学创新主体作用，以“错位布局、创新驱动、差异突破”为发展思路，重点布局航空装备制造、航空航天新材料研发应用、火箭配套零部件加工等细分领域，探索空天信息应用芯片、空天地一体化探测、空天AI、空间光学等前沿领域，构建起特色商业航天产业集群，推动产业向高端化、自主可控方向发展，打造全市航空航天产业重要集聚区。</w:t>
      </w:r>
    </w:p>
    <w:p>
      <w:pPr>
        <w:keepNext w:val="0"/>
        <w:keepLines w:val="0"/>
        <w:pageBreakBefore w:val="0"/>
        <w:widowControl w:val="0"/>
        <w:numPr>
          <w:ilvl w:val="0"/>
          <w:numId w:val="0"/>
        </w:numPr>
        <w:suppressLineNumbers w:val="0"/>
        <w:kinsoku/>
        <w:wordWrap/>
        <w:overflowPunct/>
        <w:topLinePunct/>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推动低空经济全产业链发展。以创建全市低空经济创新应用先行区为契机，</w:t>
      </w:r>
      <w:r>
        <w:rPr>
          <w:rFonts w:hint="eastAsia" w:ascii="仿宋_GB2312" w:hAnsi="仿宋_GB2312" w:eastAsia="仿宋_GB2312" w:cs="仿宋_GB2312"/>
          <w:color w:val="auto"/>
          <w:sz w:val="32"/>
          <w:szCs w:val="32"/>
          <w:highlight w:val="none"/>
          <w:lang w:val="en-US" w:eastAsia="zh-CN"/>
        </w:rPr>
        <w:t>聚焦研发制造、生产运营、软件开发、飞行服务、维修保障、教育培训等低空经济全产业链，重点引进飞行器整机制造企业关键零部件、分系统研制企业。依托全市数字低空飞行管理服务平台，实施数字低空智能服务项目，持续完善低空基础设施网络建设，形成涵盖农林植保、应急救援、城市巡查、低空物流、低空文旅、载人飞行等多层次低空场景体系，拓展“低空经济＋”场景应用的多样化落地。</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afterLines="0" w:line="560" w:lineRule="exact"/>
        <w:ind w:left="0" w:leftChars="0" w:firstLine="640" w:firstLineChars="200"/>
        <w:textAlignment w:val="auto"/>
        <w:rPr>
          <w:rFonts w:hint="default" w:ascii="楷体_GB2312" w:hAnsi="楷体_GB2312" w:eastAsia="楷体_GB2312" w:cs="楷体_GB2312"/>
          <w:b w:val="0"/>
          <w:bCs w:val="0"/>
          <w:color w:val="auto"/>
          <w:spacing w:val="0"/>
          <w:w w:val="100"/>
          <w:kern w:val="21"/>
          <w:sz w:val="32"/>
          <w:szCs w:val="32"/>
          <w:highlight w:val="none"/>
          <w:u w:val="none"/>
          <w:lang w:val="en-US" w:eastAsia="zh-CN" w:bidi="ar-SA"/>
        </w:rPr>
      </w:pPr>
      <w:r>
        <w:rPr>
          <w:rFonts w:hint="eastAsia" w:ascii="楷体_GB2312" w:hAnsi="楷体_GB2312" w:eastAsia="楷体_GB2312" w:cs="楷体_GB2312"/>
          <w:b w:val="0"/>
          <w:bCs w:val="0"/>
          <w:color w:val="auto"/>
          <w:spacing w:val="0"/>
          <w:w w:val="100"/>
          <w:kern w:val="21"/>
          <w:sz w:val="32"/>
          <w:szCs w:val="32"/>
          <w:highlight w:val="none"/>
          <w:u w:val="none"/>
          <w:lang w:val="en-US" w:eastAsia="zh-CN" w:bidi="ar-SA"/>
        </w:rPr>
        <w:t>（二）新一代信息技术产业</w:t>
      </w:r>
    </w:p>
    <w:p>
      <w:pPr>
        <w:keepNext w:val="0"/>
        <w:keepLines w:val="0"/>
        <w:pageBreakBefore w:val="0"/>
        <w:widowControl w:val="0"/>
        <w:numPr>
          <w:ilvl w:val="0"/>
          <w:numId w:val="0"/>
        </w:numPr>
        <w:suppressLineNumbers w:val="0"/>
        <w:kinsoku/>
        <w:wordWrap/>
        <w:overflowPunct/>
        <w:topLinePunct/>
        <w:autoSpaceDE/>
        <w:autoSpaceDN/>
        <w:bidi w:val="0"/>
        <w:adjustRightInd/>
        <w:snapToGrid/>
        <w:spacing w:line="560" w:lineRule="exact"/>
        <w:ind w:firstLine="640" w:firstLineChars="200"/>
        <w:jc w:val="both"/>
        <w:textAlignment w:val="auto"/>
        <w:outlineLvl w:val="9"/>
        <w:rPr>
          <w:rFonts w:hint="default" w:ascii="仿宋_GB2312" w:hAnsi="仿宋_GB2312" w:eastAsia="仿宋_GB2312" w:cs="仿宋_GB2312"/>
          <w:b/>
          <w:bCs/>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依托</w:t>
      </w:r>
      <w:r>
        <w:rPr>
          <w:rFonts w:hint="eastAsia" w:ascii="仿宋_GB2312" w:hAnsi="仿宋_GB2312" w:eastAsia="仿宋_GB2312" w:cs="仿宋_GB2312"/>
          <w:color w:val="auto"/>
          <w:sz w:val="32"/>
          <w:szCs w:val="32"/>
          <w:highlight w:val="none"/>
          <w:lang w:val="en-US" w:eastAsia="zh-CN"/>
        </w:rPr>
        <w:t>经十东路科创走廊</w:t>
      </w:r>
      <w:r>
        <w:rPr>
          <w:rFonts w:hint="default" w:ascii="仿宋_GB2312" w:hAnsi="仿宋_GB2312" w:eastAsia="仿宋_GB2312" w:cs="仿宋_GB2312"/>
          <w:color w:val="auto"/>
          <w:sz w:val="32"/>
          <w:szCs w:val="32"/>
          <w:highlight w:val="none"/>
          <w:lang w:val="en-US" w:eastAsia="zh-CN"/>
        </w:rPr>
        <w:t>数字经济产业带等载体空间，瞄准下一代信息网络、集成电路、新型电子元器件、新兴软件、人工智能等产业发展方向，坚持项目带动，促进成果转化，加强人才培养和重点企业引进培育。到2030年，新一代信息技术产业营业收入规模达到</w:t>
      </w:r>
      <w:r>
        <w:rPr>
          <w:rFonts w:hint="eastAsia" w:ascii="仿宋_GB2312" w:hAnsi="仿宋_GB2312" w:eastAsia="仿宋_GB2312" w:cs="仿宋_GB2312"/>
          <w:color w:val="auto"/>
          <w:sz w:val="32"/>
          <w:szCs w:val="32"/>
          <w:highlight w:val="none"/>
          <w:lang w:val="en-US" w:eastAsia="zh-CN"/>
        </w:rPr>
        <w:t>40</w:t>
      </w:r>
      <w:r>
        <w:rPr>
          <w:rFonts w:hint="default" w:ascii="仿宋_GB2312" w:hAnsi="仿宋_GB2312" w:eastAsia="仿宋_GB2312" w:cs="仿宋_GB2312"/>
          <w:color w:val="auto"/>
          <w:sz w:val="32"/>
          <w:szCs w:val="32"/>
          <w:highlight w:val="none"/>
          <w:lang w:val="en-US" w:eastAsia="zh-CN"/>
        </w:rPr>
        <w:t>亿元</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val="0"/>
        <w:numPr>
          <w:ilvl w:val="0"/>
          <w:numId w:val="0"/>
        </w:numPr>
        <w:suppressLineNumbers w:val="0"/>
        <w:kinsoku/>
        <w:wordWrap/>
        <w:overflowPunct/>
        <w:topLinePunct/>
        <w:autoSpaceDE/>
        <w:autoSpaceDN/>
        <w:bidi w:val="0"/>
        <w:adjustRightInd/>
        <w:snapToGrid/>
        <w:spacing w:line="560" w:lineRule="exact"/>
        <w:ind w:firstLine="640" w:firstLineChars="200"/>
        <w:jc w:val="both"/>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大力发展</w:t>
      </w:r>
      <w:r>
        <w:rPr>
          <w:rFonts w:hint="default" w:ascii="仿宋_GB2312" w:hAnsi="仿宋_GB2312" w:eastAsia="仿宋_GB2312" w:cs="仿宋_GB2312"/>
          <w:b w:val="0"/>
          <w:bCs w:val="0"/>
          <w:color w:val="auto"/>
          <w:sz w:val="32"/>
          <w:szCs w:val="32"/>
          <w:highlight w:val="none"/>
          <w:lang w:val="en-US" w:eastAsia="zh-CN"/>
        </w:rPr>
        <w:t>人工智能</w:t>
      </w:r>
      <w:r>
        <w:rPr>
          <w:rFonts w:hint="eastAsia" w:ascii="仿宋_GB2312" w:hAnsi="仿宋_GB2312" w:eastAsia="仿宋_GB2312" w:cs="仿宋_GB2312"/>
          <w:b w:val="0"/>
          <w:bCs w:val="0"/>
          <w:color w:val="auto"/>
          <w:sz w:val="32"/>
          <w:szCs w:val="32"/>
          <w:highlight w:val="none"/>
          <w:lang w:val="en-US" w:eastAsia="zh-CN"/>
        </w:rPr>
        <w:t>产业</w:t>
      </w:r>
      <w:r>
        <w:rPr>
          <w:rFonts w:hint="default" w:ascii="仿宋_GB2312" w:hAnsi="仿宋_GB2312" w:eastAsia="仿宋_GB2312" w:cs="仿宋_GB2312"/>
          <w:b w:val="0"/>
          <w:bCs w:val="0"/>
          <w:color w:val="auto"/>
          <w:sz w:val="32"/>
          <w:szCs w:val="32"/>
          <w:highlight w:val="none"/>
          <w:lang w:val="en-US" w:eastAsia="zh-CN"/>
        </w:rPr>
        <w:t>。</w:t>
      </w:r>
      <w:r>
        <w:rPr>
          <w:rFonts w:hint="eastAsia" w:ascii="仿宋_GB2312" w:hAnsi="仿宋_GB2312" w:eastAsia="仿宋_GB2312" w:cs="仿宋_GB2312"/>
          <w:b w:val="0"/>
          <w:bCs w:val="0"/>
          <w:color w:val="auto"/>
          <w:sz w:val="32"/>
          <w:szCs w:val="32"/>
          <w:highlight w:val="none"/>
          <w:lang w:val="en-US" w:eastAsia="zh-CN"/>
        </w:rPr>
        <w:t>深入实施“人工智能+”行动，</w:t>
      </w:r>
      <w:r>
        <w:rPr>
          <w:rFonts w:hint="default" w:ascii="仿宋_GB2312" w:hAnsi="仿宋_GB2312" w:eastAsia="仿宋_GB2312" w:cs="仿宋_GB2312"/>
          <w:color w:val="auto"/>
          <w:spacing w:val="0"/>
          <w:w w:val="100"/>
          <w:kern w:val="21"/>
          <w:sz w:val="32"/>
          <w:szCs w:val="32"/>
          <w:highlight w:val="none"/>
          <w:u w:val="none"/>
          <w:lang w:val="en-US" w:eastAsia="zh-CN" w:bidi="ar-SA"/>
        </w:rPr>
        <w:t>突出场景牵引</w:t>
      </w:r>
      <w:r>
        <w:rPr>
          <w:rFonts w:hint="eastAsia" w:ascii="仿宋_GB2312" w:hAnsi="仿宋_GB2312" w:eastAsia="仿宋_GB2312" w:cs="仿宋_GB2312"/>
          <w:color w:val="auto"/>
          <w:spacing w:val="0"/>
          <w:w w:val="100"/>
          <w:kern w:val="21"/>
          <w:sz w:val="32"/>
          <w:szCs w:val="32"/>
          <w:highlight w:val="none"/>
          <w:u w:val="none"/>
          <w:lang w:val="en-US" w:eastAsia="zh-CN" w:bidi="ar-SA"/>
        </w:rPr>
        <w:t>、</w:t>
      </w:r>
      <w:r>
        <w:rPr>
          <w:rFonts w:hint="default" w:ascii="仿宋_GB2312" w:hAnsi="仿宋_GB2312" w:eastAsia="仿宋_GB2312" w:cs="仿宋_GB2312"/>
          <w:color w:val="auto"/>
          <w:spacing w:val="0"/>
          <w:w w:val="100"/>
          <w:kern w:val="21"/>
          <w:sz w:val="32"/>
          <w:szCs w:val="32"/>
          <w:highlight w:val="none"/>
          <w:u w:val="none"/>
          <w:lang w:val="en-US" w:eastAsia="zh-CN" w:bidi="ar-SA"/>
        </w:rPr>
        <w:t>创新驱动，推动人工智能大模型示范应用，构建人工智能赋能高质量发展新格局。</w:t>
      </w:r>
      <w:r>
        <w:rPr>
          <w:rFonts w:hint="eastAsia" w:ascii="仿宋_GB2312" w:hAnsi="仿宋_GB2312" w:eastAsia="仿宋_GB2312" w:cs="仿宋_GB2312"/>
          <w:color w:val="auto"/>
          <w:spacing w:val="0"/>
          <w:w w:val="100"/>
          <w:kern w:val="21"/>
          <w:sz w:val="32"/>
          <w:szCs w:val="32"/>
          <w:highlight w:val="none"/>
          <w:u w:val="none"/>
          <w:lang w:val="en-US" w:eastAsia="zh-CN" w:bidi="ar-SA"/>
        </w:rPr>
        <w:t>加快</w:t>
      </w:r>
      <w:r>
        <w:rPr>
          <w:rFonts w:hint="default" w:ascii="仿宋_GB2312" w:hAnsi="仿宋_GB2312" w:eastAsia="仿宋_GB2312" w:cs="仿宋_GB2312"/>
          <w:color w:val="auto"/>
          <w:spacing w:val="0"/>
          <w:w w:val="100"/>
          <w:kern w:val="21"/>
          <w:sz w:val="32"/>
          <w:szCs w:val="32"/>
          <w:highlight w:val="none"/>
          <w:u w:val="none"/>
          <w:lang w:val="en-US" w:eastAsia="zh-CN" w:bidi="ar-SA"/>
        </w:rPr>
        <w:t>构建数据存、算、用一体的全产业链发展格局，引进培育一批大数据、物联网等数字项目，推进大数据在</w:t>
      </w:r>
      <w:r>
        <w:rPr>
          <w:rFonts w:hint="eastAsia" w:ascii="仿宋_GB2312" w:hAnsi="仿宋_GB2312" w:eastAsia="仿宋_GB2312" w:cs="仿宋_GB2312"/>
          <w:color w:val="auto"/>
          <w:spacing w:val="0"/>
          <w:w w:val="100"/>
          <w:kern w:val="21"/>
          <w:sz w:val="32"/>
          <w:szCs w:val="32"/>
          <w:highlight w:val="none"/>
          <w:u w:val="none"/>
          <w:lang w:val="en-US" w:eastAsia="zh-CN" w:bidi="ar-SA"/>
        </w:rPr>
        <w:t>智慧</w:t>
      </w:r>
      <w:r>
        <w:rPr>
          <w:rFonts w:hint="default" w:ascii="仿宋_GB2312" w:hAnsi="仿宋_GB2312" w:eastAsia="仿宋_GB2312" w:cs="仿宋_GB2312"/>
          <w:color w:val="auto"/>
          <w:spacing w:val="0"/>
          <w:w w:val="100"/>
          <w:kern w:val="21"/>
          <w:sz w:val="32"/>
          <w:szCs w:val="32"/>
          <w:highlight w:val="none"/>
          <w:u w:val="none"/>
          <w:lang w:val="en-US" w:eastAsia="zh-CN" w:bidi="ar-SA"/>
        </w:rPr>
        <w:t>工业、</w:t>
      </w:r>
      <w:r>
        <w:rPr>
          <w:rFonts w:hint="eastAsia" w:ascii="仿宋_GB2312" w:hAnsi="仿宋_GB2312" w:eastAsia="仿宋_GB2312" w:cs="仿宋_GB2312"/>
          <w:color w:val="auto"/>
          <w:spacing w:val="0"/>
          <w:w w:val="100"/>
          <w:kern w:val="21"/>
          <w:sz w:val="32"/>
          <w:szCs w:val="32"/>
          <w:highlight w:val="none"/>
          <w:u w:val="none"/>
          <w:lang w:val="en-US" w:eastAsia="zh-CN" w:bidi="ar-SA"/>
        </w:rPr>
        <w:t>智慧农业、智慧</w:t>
      </w:r>
      <w:r>
        <w:rPr>
          <w:rFonts w:hint="default" w:ascii="仿宋_GB2312" w:hAnsi="仿宋_GB2312" w:eastAsia="仿宋_GB2312" w:cs="仿宋_GB2312"/>
          <w:color w:val="auto"/>
          <w:spacing w:val="0"/>
          <w:w w:val="100"/>
          <w:kern w:val="21"/>
          <w:sz w:val="32"/>
          <w:szCs w:val="32"/>
          <w:highlight w:val="none"/>
          <w:u w:val="none"/>
          <w:lang w:val="en-US" w:eastAsia="zh-CN" w:bidi="ar-SA"/>
        </w:rPr>
        <w:t>教育、</w:t>
      </w:r>
      <w:r>
        <w:rPr>
          <w:rFonts w:hint="eastAsia" w:ascii="仿宋_GB2312" w:hAnsi="仿宋_GB2312" w:eastAsia="仿宋_GB2312" w:cs="仿宋_GB2312"/>
          <w:color w:val="auto"/>
          <w:spacing w:val="0"/>
          <w:w w:val="100"/>
          <w:kern w:val="21"/>
          <w:sz w:val="32"/>
          <w:szCs w:val="32"/>
          <w:highlight w:val="none"/>
          <w:u w:val="none"/>
          <w:lang w:val="en-US" w:eastAsia="zh-CN" w:bidi="ar-SA"/>
        </w:rPr>
        <w:t>智慧</w:t>
      </w:r>
      <w:r>
        <w:rPr>
          <w:rFonts w:hint="default" w:ascii="仿宋_GB2312" w:hAnsi="仿宋_GB2312" w:eastAsia="仿宋_GB2312" w:cs="仿宋_GB2312"/>
          <w:color w:val="auto"/>
          <w:spacing w:val="0"/>
          <w:w w:val="100"/>
          <w:kern w:val="21"/>
          <w:sz w:val="32"/>
          <w:szCs w:val="32"/>
          <w:highlight w:val="none"/>
          <w:u w:val="none"/>
          <w:lang w:val="en-US" w:eastAsia="zh-CN" w:bidi="ar-SA"/>
        </w:rPr>
        <w:t>养老、</w:t>
      </w:r>
      <w:r>
        <w:rPr>
          <w:rFonts w:hint="eastAsia" w:ascii="仿宋_GB2312" w:hAnsi="仿宋_GB2312" w:eastAsia="仿宋_GB2312" w:cs="仿宋_GB2312"/>
          <w:color w:val="auto"/>
          <w:spacing w:val="0"/>
          <w:w w:val="100"/>
          <w:kern w:val="21"/>
          <w:sz w:val="32"/>
          <w:szCs w:val="32"/>
          <w:highlight w:val="none"/>
          <w:u w:val="none"/>
          <w:lang w:val="en-US" w:eastAsia="zh-CN" w:bidi="ar-SA"/>
        </w:rPr>
        <w:t>智慧</w:t>
      </w:r>
      <w:r>
        <w:rPr>
          <w:rFonts w:hint="default" w:ascii="仿宋_GB2312" w:hAnsi="仿宋_GB2312" w:eastAsia="仿宋_GB2312" w:cs="仿宋_GB2312"/>
          <w:color w:val="auto"/>
          <w:spacing w:val="0"/>
          <w:w w:val="100"/>
          <w:kern w:val="21"/>
          <w:sz w:val="32"/>
          <w:szCs w:val="32"/>
          <w:highlight w:val="none"/>
          <w:u w:val="none"/>
          <w:lang w:val="en-US" w:eastAsia="zh-CN" w:bidi="ar-SA"/>
        </w:rPr>
        <w:t>交通等领域的</w:t>
      </w:r>
      <w:r>
        <w:rPr>
          <w:rFonts w:hint="eastAsia" w:ascii="仿宋_GB2312" w:hAnsi="仿宋_GB2312" w:eastAsia="仿宋_GB2312" w:cs="仿宋_GB2312"/>
          <w:color w:val="auto"/>
          <w:spacing w:val="0"/>
          <w:w w:val="100"/>
          <w:kern w:val="21"/>
          <w:sz w:val="32"/>
          <w:szCs w:val="32"/>
          <w:highlight w:val="none"/>
          <w:u w:val="none"/>
          <w:lang w:val="en-US" w:eastAsia="zh-CN" w:bidi="ar-SA"/>
        </w:rPr>
        <w:t>融合应</w:t>
      </w:r>
      <w:r>
        <w:rPr>
          <w:rFonts w:hint="default" w:ascii="仿宋_GB2312" w:hAnsi="仿宋_GB2312" w:eastAsia="仿宋_GB2312" w:cs="仿宋_GB2312"/>
          <w:color w:val="auto"/>
          <w:spacing w:val="0"/>
          <w:w w:val="100"/>
          <w:kern w:val="21"/>
          <w:sz w:val="32"/>
          <w:szCs w:val="32"/>
          <w:highlight w:val="none"/>
          <w:u w:val="none"/>
          <w:lang w:val="en-US" w:eastAsia="zh-CN" w:bidi="ar-SA"/>
        </w:rPr>
        <w:t>用。拓展存算技术产业化应用，持续推进高性能云计算与工业智能计算的融合创新</w:t>
      </w:r>
      <w:r>
        <w:rPr>
          <w:rFonts w:hint="eastAsia" w:ascii="仿宋_GB2312" w:hAnsi="仿宋_GB2312" w:eastAsia="仿宋_GB2312" w:cs="仿宋_GB2312"/>
          <w:color w:val="auto"/>
          <w:spacing w:val="0"/>
          <w:w w:val="100"/>
          <w:kern w:val="21"/>
          <w:sz w:val="32"/>
          <w:szCs w:val="32"/>
          <w:highlight w:val="none"/>
          <w:u w:val="none"/>
          <w:lang w:val="en-US" w:eastAsia="zh-CN" w:bidi="ar-SA"/>
        </w:rPr>
        <w:t>，完善</w:t>
      </w:r>
      <w:r>
        <w:rPr>
          <w:rFonts w:hint="default" w:ascii="仿宋_GB2312" w:hAnsi="仿宋_GB2312" w:eastAsia="仿宋_GB2312" w:cs="仿宋_GB2312"/>
          <w:color w:val="auto"/>
          <w:spacing w:val="0"/>
          <w:w w:val="100"/>
          <w:kern w:val="21"/>
          <w:sz w:val="32"/>
          <w:szCs w:val="32"/>
          <w:highlight w:val="none"/>
          <w:u w:val="none"/>
          <w:lang w:val="en-US" w:eastAsia="zh-CN" w:bidi="ar-SA"/>
        </w:rPr>
        <w:t>从芯片适配、算法优化</w:t>
      </w:r>
      <w:r>
        <w:rPr>
          <w:rFonts w:hint="eastAsia" w:ascii="仿宋_GB2312" w:hAnsi="仿宋_GB2312" w:eastAsia="仿宋_GB2312" w:cs="仿宋_GB2312"/>
          <w:color w:val="auto"/>
          <w:spacing w:val="0"/>
          <w:w w:val="100"/>
          <w:kern w:val="21"/>
          <w:sz w:val="32"/>
          <w:szCs w:val="32"/>
          <w:highlight w:val="none"/>
          <w:u w:val="none"/>
          <w:lang w:val="en-US" w:eastAsia="zh-CN" w:bidi="ar-SA"/>
        </w:rPr>
        <w:t>、方案策划</w:t>
      </w:r>
      <w:r>
        <w:rPr>
          <w:rFonts w:hint="default" w:ascii="仿宋_GB2312" w:hAnsi="仿宋_GB2312" w:eastAsia="仿宋_GB2312" w:cs="仿宋_GB2312"/>
          <w:color w:val="auto"/>
          <w:spacing w:val="0"/>
          <w:w w:val="100"/>
          <w:kern w:val="21"/>
          <w:sz w:val="32"/>
          <w:szCs w:val="32"/>
          <w:highlight w:val="none"/>
          <w:u w:val="none"/>
          <w:lang w:val="en-US" w:eastAsia="zh-CN" w:bidi="ar-SA"/>
        </w:rPr>
        <w:t>到场景落地</w:t>
      </w:r>
      <w:r>
        <w:rPr>
          <w:rFonts w:hint="eastAsia" w:ascii="仿宋_GB2312" w:hAnsi="仿宋_GB2312" w:eastAsia="仿宋_GB2312" w:cs="仿宋_GB2312"/>
          <w:color w:val="auto"/>
          <w:spacing w:val="0"/>
          <w:w w:val="100"/>
          <w:kern w:val="21"/>
          <w:sz w:val="32"/>
          <w:szCs w:val="32"/>
          <w:highlight w:val="none"/>
          <w:u w:val="none"/>
          <w:lang w:val="en-US" w:eastAsia="zh-CN" w:bidi="ar-SA"/>
        </w:rPr>
        <w:t>的</w:t>
      </w:r>
      <w:r>
        <w:rPr>
          <w:rFonts w:hint="default" w:ascii="仿宋_GB2312" w:hAnsi="仿宋_GB2312" w:eastAsia="仿宋_GB2312" w:cs="仿宋_GB2312"/>
          <w:color w:val="auto"/>
          <w:spacing w:val="0"/>
          <w:w w:val="100"/>
          <w:kern w:val="21"/>
          <w:sz w:val="32"/>
          <w:szCs w:val="32"/>
          <w:highlight w:val="none"/>
          <w:u w:val="none"/>
          <w:lang w:val="en-US" w:eastAsia="zh-CN" w:bidi="ar-SA"/>
        </w:rPr>
        <w:t>全链条产业生态</w:t>
      </w:r>
      <w:r>
        <w:rPr>
          <w:rFonts w:hint="default" w:ascii="仿宋_GB2312" w:hAnsi="仿宋_GB2312" w:eastAsia="仿宋_GB2312" w:cs="仿宋_GB2312"/>
          <w:color w:val="auto"/>
          <w:sz w:val="32"/>
          <w:szCs w:val="32"/>
          <w:highlight w:val="none"/>
          <w:lang w:val="en-US" w:eastAsia="zh-CN"/>
        </w:rPr>
        <w:t>。</w:t>
      </w:r>
    </w:p>
    <w:p>
      <w:pPr>
        <w:keepNext w:val="0"/>
        <w:keepLines w:val="0"/>
        <w:pageBreakBefore w:val="0"/>
        <w:widowControl w:val="0"/>
        <w:numPr>
          <w:ilvl w:val="0"/>
          <w:numId w:val="0"/>
        </w:numPr>
        <w:suppressLineNumbers w:val="0"/>
        <w:kinsoku/>
        <w:wordWrap/>
        <w:overflowPunct/>
        <w:topLinePunct/>
        <w:autoSpaceDE/>
        <w:autoSpaceDN/>
        <w:bidi w:val="0"/>
        <w:adjustRightInd/>
        <w:snapToGrid/>
        <w:spacing w:line="560" w:lineRule="exact"/>
        <w:ind w:firstLine="640" w:firstLineChars="200"/>
        <w:jc w:val="both"/>
        <w:textAlignment w:val="auto"/>
        <w:outlineLvl w:val="9"/>
        <w:rPr>
          <w:rFonts w:hint="eastAsia" w:ascii="楷体_GB2312" w:hAnsi="楷体_GB2312" w:eastAsia="楷体_GB2312" w:cs="楷体_GB2312"/>
          <w:b w:val="0"/>
          <w:bCs w:val="0"/>
          <w:color w:val="auto"/>
          <w:spacing w:val="0"/>
          <w:w w:val="100"/>
          <w:kern w:val="21"/>
          <w:sz w:val="32"/>
          <w:szCs w:val="24"/>
          <w:highlight w:val="none"/>
          <w:u w:val="none"/>
          <w:shd w:val="clear" w:fill="FFFFFF"/>
          <w:lang w:val="en-US" w:eastAsia="zh-CN" w:bidi="ar-SA"/>
        </w:rPr>
      </w:pPr>
      <w:r>
        <w:rPr>
          <w:rFonts w:hint="eastAsia" w:ascii="仿宋_GB2312" w:hAnsi="仿宋_GB2312" w:eastAsia="仿宋_GB2312" w:cs="仿宋_GB2312"/>
          <w:b w:val="0"/>
          <w:bCs w:val="0"/>
          <w:color w:val="auto"/>
          <w:sz w:val="32"/>
          <w:szCs w:val="32"/>
          <w:highlight w:val="none"/>
          <w:lang w:val="en-US" w:eastAsia="zh-CN"/>
        </w:rPr>
        <w:t>培育壮大</w:t>
      </w:r>
      <w:r>
        <w:rPr>
          <w:rFonts w:hint="default" w:ascii="仿宋_GB2312" w:hAnsi="仿宋_GB2312" w:eastAsia="仿宋_GB2312" w:cs="仿宋_GB2312"/>
          <w:b w:val="0"/>
          <w:bCs w:val="0"/>
          <w:color w:val="auto"/>
          <w:sz w:val="32"/>
          <w:szCs w:val="32"/>
          <w:highlight w:val="none"/>
          <w:lang w:val="en-US" w:eastAsia="zh-CN"/>
        </w:rPr>
        <w:t>集成电路</w:t>
      </w:r>
      <w:r>
        <w:rPr>
          <w:rFonts w:hint="eastAsia" w:ascii="仿宋_GB2312" w:hAnsi="仿宋_GB2312" w:eastAsia="仿宋_GB2312" w:cs="仿宋_GB2312"/>
          <w:b w:val="0"/>
          <w:bCs w:val="0"/>
          <w:color w:val="auto"/>
          <w:sz w:val="32"/>
          <w:szCs w:val="32"/>
          <w:highlight w:val="none"/>
          <w:lang w:val="en-US" w:eastAsia="zh-CN"/>
        </w:rPr>
        <w:t>产业</w:t>
      </w:r>
      <w:r>
        <w:rPr>
          <w:rFonts w:hint="default" w:ascii="仿宋_GB2312" w:hAnsi="仿宋_GB2312" w:eastAsia="仿宋_GB2312" w:cs="仿宋_GB2312"/>
          <w:b w:val="0"/>
          <w:bCs w:val="0"/>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重点培育</w:t>
      </w:r>
      <w:r>
        <w:rPr>
          <w:rFonts w:hint="eastAsia" w:ascii="仿宋_GB2312" w:hAnsi="仿宋_GB2312" w:eastAsia="仿宋_GB2312" w:cs="仿宋_GB2312"/>
          <w:color w:val="auto"/>
          <w:sz w:val="32"/>
          <w:szCs w:val="32"/>
          <w:highlight w:val="none"/>
          <w:lang w:val="en-US" w:eastAsia="zh-CN"/>
        </w:rPr>
        <w:t>一批</w:t>
      </w:r>
      <w:r>
        <w:rPr>
          <w:rFonts w:hint="default" w:ascii="仿宋_GB2312" w:hAnsi="仿宋_GB2312" w:eastAsia="仿宋_GB2312" w:cs="仿宋_GB2312"/>
          <w:color w:val="auto"/>
          <w:sz w:val="32"/>
          <w:szCs w:val="32"/>
          <w:highlight w:val="none"/>
          <w:lang w:val="en-US" w:eastAsia="zh-CN"/>
        </w:rPr>
        <w:t>具有核心竞争力的集成电路企业，着力提升视频显示、机器视觉、编解码等领域的芯片研发与设计能力。进一步强化产业链协同创新，重点支持半导体封装测试用高性能电子树脂材料的自主研发与产业化，以及面向工业物联网场景的高端智能传感器系统研发，包括多物理量（压力、温度、振动等）融合传感芯片设计、智能集成制造及行业解决方案应用，完善</w:t>
      </w:r>
      <w:r>
        <w:rPr>
          <w:rFonts w:hint="eastAsia" w:ascii="仿宋_GB2312" w:hAnsi="仿宋_GB2312" w:eastAsia="仿宋_GB2312" w:cs="仿宋_GB2312"/>
          <w:color w:val="auto"/>
          <w:sz w:val="32"/>
          <w:szCs w:val="32"/>
          <w:highlight w:val="none"/>
          <w:lang w:val="en-US" w:eastAsia="zh-CN"/>
        </w:rPr>
        <w:t>集成电路</w:t>
      </w:r>
      <w:r>
        <w:rPr>
          <w:rFonts w:hint="default" w:ascii="仿宋_GB2312" w:hAnsi="仿宋_GB2312" w:eastAsia="仿宋_GB2312" w:cs="仿宋_GB2312"/>
          <w:color w:val="auto"/>
          <w:sz w:val="32"/>
          <w:szCs w:val="32"/>
          <w:highlight w:val="none"/>
          <w:lang w:val="en-US" w:eastAsia="zh-CN"/>
        </w:rPr>
        <w:t>产业链</w:t>
      </w:r>
      <w:r>
        <w:rPr>
          <w:rFonts w:hint="eastAsia" w:ascii="仿宋_GB2312" w:hAnsi="仿宋_GB2312" w:eastAsia="仿宋_GB2312" w:cs="仿宋_GB2312"/>
          <w:color w:val="auto"/>
          <w:sz w:val="32"/>
          <w:szCs w:val="32"/>
          <w:highlight w:val="none"/>
          <w:lang w:val="en-US" w:eastAsia="zh-CN"/>
        </w:rPr>
        <w:t>“上游研发设计、中游封装制造、下游传感器生产”</w:t>
      </w:r>
      <w:r>
        <w:rPr>
          <w:rFonts w:hint="default" w:ascii="仿宋_GB2312" w:hAnsi="仿宋_GB2312" w:eastAsia="仿宋_GB2312" w:cs="仿宋_GB2312"/>
          <w:color w:val="auto"/>
          <w:sz w:val="32"/>
          <w:szCs w:val="32"/>
          <w:highlight w:val="none"/>
          <w:lang w:val="en-US" w:eastAsia="zh-CN"/>
        </w:rPr>
        <w:t>配套。</w:t>
      </w:r>
    </w:p>
    <w:p>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推动高端软件赋能实体经济发展质效。</w:t>
      </w:r>
      <w:r>
        <w:rPr>
          <w:rFonts w:hint="eastAsia" w:ascii="仿宋_GB2312" w:hAnsi="仿宋_GB2312" w:eastAsia="仿宋_GB2312" w:cs="仿宋_GB2312"/>
          <w:color w:val="auto"/>
          <w:kern w:val="2"/>
          <w:sz w:val="32"/>
          <w:szCs w:val="32"/>
          <w:highlight w:val="none"/>
          <w:lang w:val="en-US" w:eastAsia="zh-CN" w:bidi="ar-SA"/>
        </w:rPr>
        <w:t>依托软件行业企业和创新平台，</w:t>
      </w:r>
      <w:r>
        <w:rPr>
          <w:rFonts w:hint="eastAsia" w:ascii="仿宋_GB2312" w:hAnsi="仿宋_GB2312" w:eastAsia="仿宋_GB2312" w:cs="仿宋_GB2312"/>
          <w:color w:val="auto"/>
          <w:spacing w:val="0"/>
          <w:w w:val="100"/>
          <w:kern w:val="21"/>
          <w:sz w:val="32"/>
          <w:szCs w:val="32"/>
          <w:highlight w:val="none"/>
          <w:u w:val="none"/>
          <w:lang w:val="en-US" w:eastAsia="zh-CN" w:bidi="ar-SA"/>
        </w:rPr>
        <w:t>培育和推广一批工业软件典型产品和解决方案，推动制造执行系统（</w:t>
      </w:r>
      <w:r>
        <w:rPr>
          <w:rFonts w:hint="eastAsia" w:ascii="仿宋_GB2312" w:hAnsi="仿宋_GB2312" w:eastAsia="仿宋_GB2312" w:cs="仿宋_GB2312"/>
          <w:color w:val="auto"/>
          <w:spacing w:val="0"/>
          <w:w w:val="100"/>
          <w:kern w:val="21"/>
          <w:sz w:val="32"/>
          <w:szCs w:val="32"/>
          <w:highlight w:val="none"/>
          <w:u w:val="none"/>
          <w:lang w:val="en-US" w:eastAsia="zh-CN" w:bidi="ar-SA"/>
        </w:rPr>
        <w:fldChar w:fldCharType="begin"/>
      </w:r>
      <w:r>
        <w:rPr>
          <w:rFonts w:hint="eastAsia" w:ascii="仿宋_GB2312" w:hAnsi="仿宋_GB2312" w:eastAsia="仿宋_GB2312" w:cs="仿宋_GB2312"/>
          <w:color w:val="auto"/>
          <w:spacing w:val="0"/>
          <w:w w:val="100"/>
          <w:kern w:val="21"/>
          <w:sz w:val="32"/>
          <w:szCs w:val="32"/>
          <w:highlight w:val="none"/>
          <w:u w:val="none"/>
          <w:lang w:val="en-US" w:eastAsia="zh-CN" w:bidi="ar-SA"/>
        </w:rPr>
        <w:instrText xml:space="preserve"> HYPERLINK "https://zhida.zhihu.com/search?content_id=240654493&amp;content_type=Article&amp;match_order=1&amp;q=MES&amp;zd_token=eyJhbGciOiJIUzI1NiIsInR5cCI6IkpXVCJ9.eyJpc3MiOiJ6aGlkYV9zZXJ2ZXIiLCJleHAiOjE3NjM3OTI3MzAsInEiOiJNRVMiLCJ6aGlkYV9zb3VyY2UiOiJlbnRpdHkiLCJjb250ZW50X2lkIjoyNDA2NTQ0OTMsImNvbnRlbnRfdHlwZSI6IkFydGljbGUiLCJtYXRjaF9vcmRlciI6MSwiemRfdG9rZW4iOm51bGx9.BGGt97ajQepUtEfMhe9F6A3WvZNt0m7B6JEnqi4zCDM&amp;zhida_source=entity" \t "https://zhuanlan.zhihu.com/p/_blank" </w:instrText>
      </w:r>
      <w:r>
        <w:rPr>
          <w:rFonts w:hint="eastAsia" w:ascii="仿宋_GB2312" w:hAnsi="仿宋_GB2312" w:eastAsia="仿宋_GB2312" w:cs="仿宋_GB2312"/>
          <w:color w:val="auto"/>
          <w:spacing w:val="0"/>
          <w:w w:val="100"/>
          <w:kern w:val="21"/>
          <w:sz w:val="32"/>
          <w:szCs w:val="32"/>
          <w:highlight w:val="none"/>
          <w:u w:val="none"/>
          <w:lang w:val="en-US" w:eastAsia="zh-CN" w:bidi="ar-SA"/>
        </w:rPr>
        <w:fldChar w:fldCharType="separate"/>
      </w:r>
      <w:r>
        <w:rPr>
          <w:rFonts w:hint="eastAsia" w:ascii="仿宋_GB2312" w:hAnsi="仿宋_GB2312" w:eastAsia="仿宋_GB2312" w:cs="仿宋_GB2312"/>
          <w:color w:val="auto"/>
          <w:spacing w:val="0"/>
          <w:w w:val="100"/>
          <w:kern w:val="21"/>
          <w:sz w:val="32"/>
          <w:szCs w:val="32"/>
          <w:highlight w:val="none"/>
          <w:u w:val="none"/>
          <w:lang w:val="en-US" w:eastAsia="zh-CN" w:bidi="ar-SA"/>
        </w:rPr>
        <w:t>MES</w:t>
      </w:r>
      <w:r>
        <w:rPr>
          <w:rFonts w:hint="eastAsia" w:ascii="仿宋_GB2312" w:hAnsi="仿宋_GB2312" w:eastAsia="仿宋_GB2312" w:cs="仿宋_GB2312"/>
          <w:color w:val="auto"/>
          <w:spacing w:val="0"/>
          <w:w w:val="100"/>
          <w:kern w:val="21"/>
          <w:sz w:val="32"/>
          <w:szCs w:val="32"/>
          <w:highlight w:val="none"/>
          <w:u w:val="none"/>
          <w:lang w:val="en-US" w:eastAsia="zh-CN" w:bidi="ar-SA"/>
        </w:rPr>
        <w:fldChar w:fldCharType="end"/>
      </w:r>
      <w:r>
        <w:rPr>
          <w:rFonts w:hint="eastAsia" w:ascii="仿宋_GB2312" w:hAnsi="仿宋_GB2312" w:eastAsia="仿宋_GB2312" w:cs="仿宋_GB2312"/>
          <w:color w:val="auto"/>
          <w:spacing w:val="0"/>
          <w:w w:val="100"/>
          <w:kern w:val="21"/>
          <w:sz w:val="32"/>
          <w:szCs w:val="32"/>
          <w:highlight w:val="none"/>
          <w:u w:val="none"/>
          <w:lang w:val="en-US" w:eastAsia="zh-CN" w:bidi="ar-SA"/>
        </w:rPr>
        <w:t>）、供应链管理（</w:t>
      </w:r>
      <w:r>
        <w:rPr>
          <w:rFonts w:hint="eastAsia" w:ascii="仿宋_GB2312" w:hAnsi="仿宋_GB2312" w:eastAsia="仿宋_GB2312" w:cs="仿宋_GB2312"/>
          <w:color w:val="auto"/>
          <w:spacing w:val="0"/>
          <w:w w:val="100"/>
          <w:kern w:val="21"/>
          <w:sz w:val="32"/>
          <w:szCs w:val="32"/>
          <w:highlight w:val="none"/>
          <w:u w:val="none"/>
          <w:lang w:val="en-US" w:eastAsia="zh-CN" w:bidi="ar-SA"/>
        </w:rPr>
        <w:fldChar w:fldCharType="begin"/>
      </w:r>
      <w:r>
        <w:rPr>
          <w:rFonts w:hint="eastAsia" w:ascii="仿宋_GB2312" w:hAnsi="仿宋_GB2312" w:eastAsia="仿宋_GB2312" w:cs="仿宋_GB2312"/>
          <w:color w:val="auto"/>
          <w:spacing w:val="0"/>
          <w:w w:val="100"/>
          <w:kern w:val="21"/>
          <w:sz w:val="32"/>
          <w:szCs w:val="32"/>
          <w:highlight w:val="none"/>
          <w:u w:val="none"/>
          <w:lang w:val="en-US" w:eastAsia="zh-CN" w:bidi="ar-SA"/>
        </w:rPr>
        <w:instrText xml:space="preserve"> HYPERLINK "https://zhida.zhihu.com/search?content_id=240654493&amp;content_type=Article&amp;match_order=1&amp;q=SCM&amp;zd_token=eyJhbGciOiJIUzI1NiIsInR5cCI6IkpXVCJ9.eyJpc3MiOiJ6aGlkYV9zZXJ2ZXIiLCJleHAiOjE3NjM3OTI3MzAsInEiOiJTQ00iLCJ6aGlkYV9zb3VyY2UiOiJlbnRpdHkiLCJjb250ZW50X2lkIjoyNDA2NTQ0OTMsImNvbnRlbnRfdHlwZSI6IkFydGljbGUiLCJtYXRjaF9vcmRlciI6MSwiemRfdG9rZW4iOm51bGx9.mIMWyncnSFMPzbs9e8MiAKY7gI6nZJR4prD9Mu7v60k&amp;zhida_source=entity" \t "https://zhuanlan.zhihu.com/p/_blank" </w:instrText>
      </w:r>
      <w:r>
        <w:rPr>
          <w:rFonts w:hint="eastAsia" w:ascii="仿宋_GB2312" w:hAnsi="仿宋_GB2312" w:eastAsia="仿宋_GB2312" w:cs="仿宋_GB2312"/>
          <w:color w:val="auto"/>
          <w:spacing w:val="0"/>
          <w:w w:val="100"/>
          <w:kern w:val="21"/>
          <w:sz w:val="32"/>
          <w:szCs w:val="32"/>
          <w:highlight w:val="none"/>
          <w:u w:val="none"/>
          <w:lang w:val="en-US" w:eastAsia="zh-CN" w:bidi="ar-SA"/>
        </w:rPr>
        <w:fldChar w:fldCharType="separate"/>
      </w:r>
      <w:r>
        <w:rPr>
          <w:rFonts w:hint="eastAsia" w:ascii="仿宋_GB2312" w:hAnsi="仿宋_GB2312" w:eastAsia="仿宋_GB2312" w:cs="仿宋_GB2312"/>
          <w:color w:val="auto"/>
          <w:spacing w:val="0"/>
          <w:w w:val="100"/>
          <w:kern w:val="21"/>
          <w:sz w:val="32"/>
          <w:szCs w:val="32"/>
          <w:highlight w:val="none"/>
          <w:u w:val="none"/>
          <w:lang w:val="en-US" w:eastAsia="zh-CN" w:bidi="ar-SA"/>
        </w:rPr>
        <w:t>SCM</w:t>
      </w:r>
      <w:r>
        <w:rPr>
          <w:rFonts w:hint="eastAsia" w:ascii="仿宋_GB2312" w:hAnsi="仿宋_GB2312" w:eastAsia="仿宋_GB2312" w:cs="仿宋_GB2312"/>
          <w:color w:val="auto"/>
          <w:spacing w:val="0"/>
          <w:w w:val="100"/>
          <w:kern w:val="21"/>
          <w:sz w:val="32"/>
          <w:szCs w:val="32"/>
          <w:highlight w:val="none"/>
          <w:u w:val="none"/>
          <w:lang w:val="en-US" w:eastAsia="zh-CN" w:bidi="ar-SA"/>
        </w:rPr>
        <w:fldChar w:fldCharType="end"/>
      </w:r>
      <w:r>
        <w:rPr>
          <w:rFonts w:hint="eastAsia" w:ascii="仿宋_GB2312" w:hAnsi="仿宋_GB2312" w:eastAsia="仿宋_GB2312" w:cs="仿宋_GB2312"/>
          <w:color w:val="auto"/>
          <w:spacing w:val="0"/>
          <w:w w:val="100"/>
          <w:kern w:val="21"/>
          <w:sz w:val="32"/>
          <w:szCs w:val="32"/>
          <w:highlight w:val="none"/>
          <w:u w:val="none"/>
          <w:lang w:val="en-US" w:eastAsia="zh-CN" w:bidi="ar-SA"/>
        </w:rPr>
        <w:t>）、监控控制与数据获取（</w:t>
      </w:r>
      <w:r>
        <w:rPr>
          <w:rFonts w:hint="eastAsia" w:ascii="仿宋_GB2312" w:hAnsi="仿宋_GB2312" w:eastAsia="仿宋_GB2312" w:cs="仿宋_GB2312"/>
          <w:color w:val="auto"/>
          <w:spacing w:val="0"/>
          <w:w w:val="100"/>
          <w:kern w:val="21"/>
          <w:sz w:val="32"/>
          <w:szCs w:val="32"/>
          <w:highlight w:val="none"/>
          <w:u w:val="none"/>
          <w:lang w:val="en-US" w:eastAsia="zh-CN" w:bidi="ar-SA"/>
        </w:rPr>
        <w:fldChar w:fldCharType="begin"/>
      </w:r>
      <w:r>
        <w:rPr>
          <w:rFonts w:hint="eastAsia" w:ascii="仿宋_GB2312" w:hAnsi="仿宋_GB2312" w:eastAsia="仿宋_GB2312" w:cs="仿宋_GB2312"/>
          <w:color w:val="auto"/>
          <w:spacing w:val="0"/>
          <w:w w:val="100"/>
          <w:kern w:val="21"/>
          <w:sz w:val="32"/>
          <w:szCs w:val="32"/>
          <w:highlight w:val="none"/>
          <w:u w:val="none"/>
          <w:lang w:val="en-US" w:eastAsia="zh-CN" w:bidi="ar-SA"/>
        </w:rPr>
        <w:instrText xml:space="preserve"> HYPERLINK "https://zhida.zhihu.com/search?content_id=240654493&amp;content_type=Article&amp;match_order=1&amp;q=SCADA&amp;zd_token=eyJhbGciOiJIUzI1NiIsInR5cCI6IkpXVCJ9.eyJpc3MiOiJ6aGlkYV9zZXJ2ZXIiLCJleHAiOjE3NjM3OTI3MzAsInEiOiJTQ0FEQSIsInpoaWRhX3NvdXJjZSI6ImVudGl0eSIsImNvbnRlbnRfaWQiOjI0MDY1NDQ5MywiY29udGVudF90eXBlIjoiQXJ0aWNsZSIsIm1hdGNoX29yZGVyIjoxLCJ6ZF90b2tlbiI6bnVsbH0.ABGWk1z4Bic1JXeJo9aCRzszy0AWGoCTiwo-eEyygvI&amp;zhida_source=entity" \t "https://zhuanlan.zhihu.com/p/_blank" </w:instrText>
      </w:r>
      <w:r>
        <w:rPr>
          <w:rFonts w:hint="eastAsia" w:ascii="仿宋_GB2312" w:hAnsi="仿宋_GB2312" w:eastAsia="仿宋_GB2312" w:cs="仿宋_GB2312"/>
          <w:color w:val="auto"/>
          <w:spacing w:val="0"/>
          <w:w w:val="100"/>
          <w:kern w:val="21"/>
          <w:sz w:val="32"/>
          <w:szCs w:val="32"/>
          <w:highlight w:val="none"/>
          <w:u w:val="none"/>
          <w:lang w:val="en-US" w:eastAsia="zh-CN" w:bidi="ar-SA"/>
        </w:rPr>
        <w:fldChar w:fldCharType="separate"/>
      </w:r>
      <w:r>
        <w:rPr>
          <w:rFonts w:hint="eastAsia" w:ascii="仿宋_GB2312" w:hAnsi="仿宋_GB2312" w:eastAsia="仿宋_GB2312" w:cs="仿宋_GB2312"/>
          <w:color w:val="auto"/>
          <w:spacing w:val="0"/>
          <w:w w:val="100"/>
          <w:kern w:val="21"/>
          <w:sz w:val="32"/>
          <w:szCs w:val="32"/>
          <w:highlight w:val="none"/>
          <w:u w:val="none"/>
          <w:lang w:val="en-US" w:eastAsia="zh-CN" w:bidi="ar-SA"/>
        </w:rPr>
        <w:t>SCADA</w:t>
      </w:r>
      <w:r>
        <w:rPr>
          <w:rFonts w:hint="eastAsia" w:ascii="仿宋_GB2312" w:hAnsi="仿宋_GB2312" w:eastAsia="仿宋_GB2312" w:cs="仿宋_GB2312"/>
          <w:color w:val="auto"/>
          <w:spacing w:val="0"/>
          <w:w w:val="100"/>
          <w:kern w:val="21"/>
          <w:sz w:val="32"/>
          <w:szCs w:val="32"/>
          <w:highlight w:val="none"/>
          <w:u w:val="none"/>
          <w:lang w:val="en-US" w:eastAsia="zh-CN" w:bidi="ar-SA"/>
        </w:rPr>
        <w:fldChar w:fldCharType="end"/>
      </w:r>
      <w:r>
        <w:rPr>
          <w:rFonts w:hint="eastAsia" w:ascii="仿宋_GB2312" w:hAnsi="仿宋_GB2312" w:eastAsia="仿宋_GB2312" w:cs="仿宋_GB2312"/>
          <w:color w:val="auto"/>
          <w:spacing w:val="0"/>
          <w:w w:val="100"/>
          <w:kern w:val="21"/>
          <w:sz w:val="32"/>
          <w:szCs w:val="32"/>
          <w:highlight w:val="none"/>
          <w:u w:val="none"/>
          <w:lang w:val="en-US" w:eastAsia="zh-CN" w:bidi="ar-SA"/>
        </w:rPr>
        <w:t>）、产品生命周期管理（</w:t>
      </w:r>
      <w:r>
        <w:rPr>
          <w:rFonts w:hint="eastAsia" w:ascii="仿宋_GB2312" w:hAnsi="仿宋_GB2312" w:eastAsia="仿宋_GB2312" w:cs="仿宋_GB2312"/>
          <w:color w:val="auto"/>
          <w:spacing w:val="0"/>
          <w:w w:val="100"/>
          <w:kern w:val="21"/>
          <w:sz w:val="32"/>
          <w:szCs w:val="32"/>
          <w:highlight w:val="none"/>
          <w:u w:val="none"/>
          <w:lang w:val="en-US" w:eastAsia="zh-CN" w:bidi="ar-SA"/>
        </w:rPr>
        <w:fldChar w:fldCharType="begin"/>
      </w:r>
      <w:r>
        <w:rPr>
          <w:rFonts w:hint="eastAsia" w:ascii="仿宋_GB2312" w:hAnsi="仿宋_GB2312" w:eastAsia="仿宋_GB2312" w:cs="仿宋_GB2312"/>
          <w:color w:val="auto"/>
          <w:spacing w:val="0"/>
          <w:w w:val="100"/>
          <w:kern w:val="21"/>
          <w:sz w:val="32"/>
          <w:szCs w:val="32"/>
          <w:highlight w:val="none"/>
          <w:u w:val="none"/>
          <w:lang w:val="en-US" w:eastAsia="zh-CN" w:bidi="ar-SA"/>
        </w:rPr>
        <w:instrText xml:space="preserve"> HYPERLINK "https://zhida.zhihu.com/search?content_id=240654493&amp;content_type=Article&amp;match_order=1&amp;q=PLM&amp;zd_token=eyJhbGciOiJIUzI1NiIsInR5cCI6IkpXVCJ9.eyJpc3MiOiJ6aGlkYV9zZXJ2ZXIiLCJleHAiOjE3NjM3OTI3MzAsInEiOiJQTE0iLCJ6aGlkYV9zb3VyY2UiOiJlbnRpdHkiLCJjb250ZW50X2lkIjoyNDA2NTQ0OTMsImNvbnRlbnRfdHlwZSI6IkFydGljbGUiLCJtYXRjaF9vcmRlciI6MSwiemRfdG9rZW4iOm51bGx9.Lec-n6huawUuALeOEzYcfK-K3ajkBRAoFpcvAQYkYn0&amp;zhida_source=entity" \t "https://zhuanlan.zhihu.com/p/_blank" </w:instrText>
      </w:r>
      <w:r>
        <w:rPr>
          <w:rFonts w:hint="eastAsia" w:ascii="仿宋_GB2312" w:hAnsi="仿宋_GB2312" w:eastAsia="仿宋_GB2312" w:cs="仿宋_GB2312"/>
          <w:color w:val="auto"/>
          <w:spacing w:val="0"/>
          <w:w w:val="100"/>
          <w:kern w:val="21"/>
          <w:sz w:val="32"/>
          <w:szCs w:val="32"/>
          <w:highlight w:val="none"/>
          <w:u w:val="none"/>
          <w:lang w:val="en-US" w:eastAsia="zh-CN" w:bidi="ar-SA"/>
        </w:rPr>
        <w:fldChar w:fldCharType="separate"/>
      </w:r>
      <w:r>
        <w:rPr>
          <w:rFonts w:hint="eastAsia" w:ascii="仿宋_GB2312" w:hAnsi="仿宋_GB2312" w:eastAsia="仿宋_GB2312" w:cs="仿宋_GB2312"/>
          <w:color w:val="auto"/>
          <w:spacing w:val="0"/>
          <w:w w:val="100"/>
          <w:kern w:val="21"/>
          <w:sz w:val="32"/>
          <w:szCs w:val="32"/>
          <w:highlight w:val="none"/>
          <w:u w:val="none"/>
          <w:lang w:val="en-US" w:eastAsia="zh-CN" w:bidi="ar-SA"/>
        </w:rPr>
        <w:t>PLM</w:t>
      </w:r>
      <w:r>
        <w:rPr>
          <w:rFonts w:hint="eastAsia" w:ascii="仿宋_GB2312" w:hAnsi="仿宋_GB2312" w:eastAsia="仿宋_GB2312" w:cs="仿宋_GB2312"/>
          <w:color w:val="auto"/>
          <w:spacing w:val="0"/>
          <w:w w:val="100"/>
          <w:kern w:val="21"/>
          <w:sz w:val="32"/>
          <w:szCs w:val="32"/>
          <w:highlight w:val="none"/>
          <w:u w:val="none"/>
          <w:lang w:val="en-US" w:eastAsia="zh-CN" w:bidi="ar-SA"/>
        </w:rPr>
        <w:fldChar w:fldCharType="end"/>
      </w:r>
      <w:r>
        <w:rPr>
          <w:rFonts w:hint="eastAsia" w:ascii="仿宋_GB2312" w:hAnsi="仿宋_GB2312" w:eastAsia="仿宋_GB2312" w:cs="仿宋_GB2312"/>
          <w:color w:val="auto"/>
          <w:spacing w:val="0"/>
          <w:w w:val="100"/>
          <w:kern w:val="21"/>
          <w:sz w:val="32"/>
          <w:szCs w:val="32"/>
          <w:highlight w:val="none"/>
          <w:u w:val="none"/>
          <w:lang w:val="en-US" w:eastAsia="zh-CN" w:bidi="ar-SA"/>
        </w:rPr>
        <w:t>）、质量管理系统（</w:t>
      </w:r>
      <w:r>
        <w:rPr>
          <w:rFonts w:hint="eastAsia" w:ascii="仿宋_GB2312" w:hAnsi="仿宋_GB2312" w:eastAsia="仿宋_GB2312" w:cs="仿宋_GB2312"/>
          <w:color w:val="auto"/>
          <w:spacing w:val="0"/>
          <w:w w:val="100"/>
          <w:kern w:val="21"/>
          <w:sz w:val="32"/>
          <w:szCs w:val="32"/>
          <w:highlight w:val="none"/>
          <w:u w:val="none"/>
          <w:lang w:val="en-US" w:eastAsia="zh-CN" w:bidi="ar-SA"/>
        </w:rPr>
        <w:fldChar w:fldCharType="begin"/>
      </w:r>
      <w:r>
        <w:rPr>
          <w:rFonts w:hint="eastAsia" w:ascii="仿宋_GB2312" w:hAnsi="仿宋_GB2312" w:eastAsia="仿宋_GB2312" w:cs="仿宋_GB2312"/>
          <w:color w:val="auto"/>
          <w:spacing w:val="0"/>
          <w:w w:val="100"/>
          <w:kern w:val="21"/>
          <w:sz w:val="32"/>
          <w:szCs w:val="32"/>
          <w:highlight w:val="none"/>
          <w:u w:val="none"/>
          <w:lang w:val="en-US" w:eastAsia="zh-CN" w:bidi="ar-SA"/>
        </w:rPr>
        <w:instrText xml:space="preserve"> HYPERLINK "https://zhida.zhihu.com/search?content_id=240654493&amp;content_type=Article&amp;match_order=1&amp;q=QMS&amp;zd_token=eyJhbGciOiJIUzI1NiIsInR5cCI6IkpXVCJ9.eyJpc3MiOiJ6aGlkYV9zZXJ2ZXIiLCJleHAiOjE3NjM3OTI3MzAsInEiOiJRTVMiLCJ6aGlkYV9zb3VyY2UiOiJlbnRpdHkiLCJjb250ZW50X2lkIjoyNDA2NTQ0OTMsImNvbnRlbnRfdHlwZSI6IkFydGljbGUiLCJtYXRjaF9vcmRlciI6MSwiemRfdG9rZW4iOm51bGx9.Nr_EgCpQ6Vqx1S46ziKx9nCWbqW5FRrc_uZbyDFERbA&amp;zhida_source=entity" \t "https://zhuanlan.zhihu.com/p/_blank" </w:instrText>
      </w:r>
      <w:r>
        <w:rPr>
          <w:rFonts w:hint="eastAsia" w:ascii="仿宋_GB2312" w:hAnsi="仿宋_GB2312" w:eastAsia="仿宋_GB2312" w:cs="仿宋_GB2312"/>
          <w:color w:val="auto"/>
          <w:spacing w:val="0"/>
          <w:w w:val="100"/>
          <w:kern w:val="21"/>
          <w:sz w:val="32"/>
          <w:szCs w:val="32"/>
          <w:highlight w:val="none"/>
          <w:u w:val="none"/>
          <w:lang w:val="en-US" w:eastAsia="zh-CN" w:bidi="ar-SA"/>
        </w:rPr>
        <w:fldChar w:fldCharType="separate"/>
      </w:r>
      <w:r>
        <w:rPr>
          <w:rFonts w:hint="eastAsia" w:ascii="仿宋_GB2312" w:hAnsi="仿宋_GB2312" w:eastAsia="仿宋_GB2312" w:cs="仿宋_GB2312"/>
          <w:color w:val="auto"/>
          <w:spacing w:val="0"/>
          <w:w w:val="100"/>
          <w:kern w:val="21"/>
          <w:sz w:val="32"/>
          <w:szCs w:val="32"/>
          <w:highlight w:val="none"/>
          <w:u w:val="none"/>
          <w:lang w:val="en-US" w:eastAsia="zh-CN" w:bidi="ar-SA"/>
        </w:rPr>
        <w:t>QMS</w:t>
      </w:r>
      <w:r>
        <w:rPr>
          <w:rFonts w:hint="eastAsia" w:ascii="仿宋_GB2312" w:hAnsi="仿宋_GB2312" w:eastAsia="仿宋_GB2312" w:cs="仿宋_GB2312"/>
          <w:color w:val="auto"/>
          <w:spacing w:val="0"/>
          <w:w w:val="100"/>
          <w:kern w:val="21"/>
          <w:sz w:val="32"/>
          <w:szCs w:val="32"/>
          <w:highlight w:val="none"/>
          <w:u w:val="none"/>
          <w:lang w:val="en-US" w:eastAsia="zh-CN" w:bidi="ar-SA"/>
        </w:rPr>
        <w:fldChar w:fldCharType="end"/>
      </w:r>
      <w:r>
        <w:rPr>
          <w:rFonts w:hint="eastAsia" w:ascii="仿宋_GB2312" w:hAnsi="仿宋_GB2312" w:eastAsia="仿宋_GB2312" w:cs="仿宋_GB2312"/>
          <w:color w:val="auto"/>
          <w:spacing w:val="0"/>
          <w:w w:val="100"/>
          <w:kern w:val="21"/>
          <w:sz w:val="32"/>
          <w:szCs w:val="32"/>
          <w:highlight w:val="none"/>
          <w:u w:val="none"/>
          <w:lang w:val="en-US" w:eastAsia="zh-CN" w:bidi="ar-SA"/>
        </w:rPr>
        <w:t>）、客户关系管理（</w:t>
      </w:r>
      <w:r>
        <w:rPr>
          <w:rFonts w:hint="eastAsia" w:ascii="仿宋_GB2312" w:hAnsi="仿宋_GB2312" w:eastAsia="仿宋_GB2312" w:cs="仿宋_GB2312"/>
          <w:color w:val="auto"/>
          <w:spacing w:val="0"/>
          <w:w w:val="100"/>
          <w:kern w:val="21"/>
          <w:sz w:val="32"/>
          <w:szCs w:val="32"/>
          <w:highlight w:val="none"/>
          <w:u w:val="none"/>
          <w:lang w:val="en-US" w:eastAsia="zh-CN" w:bidi="ar-SA"/>
        </w:rPr>
        <w:fldChar w:fldCharType="begin"/>
      </w:r>
      <w:r>
        <w:rPr>
          <w:rFonts w:hint="eastAsia" w:ascii="仿宋_GB2312" w:hAnsi="仿宋_GB2312" w:eastAsia="仿宋_GB2312" w:cs="仿宋_GB2312"/>
          <w:color w:val="auto"/>
          <w:spacing w:val="0"/>
          <w:w w:val="100"/>
          <w:kern w:val="21"/>
          <w:sz w:val="32"/>
          <w:szCs w:val="32"/>
          <w:highlight w:val="none"/>
          <w:u w:val="none"/>
          <w:lang w:val="en-US" w:eastAsia="zh-CN" w:bidi="ar-SA"/>
        </w:rPr>
        <w:instrText xml:space="preserve"> HYPERLINK "https://zhida.zhihu.com/search?content_id=240654493&amp;content_type=Article&amp;match_order=1&amp;q=CRM&amp;zd_token=eyJhbGciOiJIUzI1NiIsInR5cCI6IkpXVCJ9.eyJpc3MiOiJ6aGlkYV9zZXJ2ZXIiLCJleHAiOjE3NjM3OTI3MzAsInEiOiJDUk0iLCJ6aGlkYV9zb3VyY2UiOiJlbnRpdHkiLCJjb250ZW50X2lkIjoyNDA2NTQ0OTMsImNvbnRlbnRfdHlwZSI6IkFydGljbGUiLCJtYXRjaF9vcmRlciI6MSwiemRfdG9rZW4iOm51bGx9.IpI8OhdCxZhvE5KaUBS_UONtaHXinc9PAt_xZzlS2p4&amp;zhida_source=entity" \t "https://zhuanlan.zhihu.com/p/_blank" </w:instrText>
      </w:r>
      <w:r>
        <w:rPr>
          <w:rFonts w:hint="eastAsia" w:ascii="仿宋_GB2312" w:hAnsi="仿宋_GB2312" w:eastAsia="仿宋_GB2312" w:cs="仿宋_GB2312"/>
          <w:color w:val="auto"/>
          <w:spacing w:val="0"/>
          <w:w w:val="100"/>
          <w:kern w:val="21"/>
          <w:sz w:val="32"/>
          <w:szCs w:val="32"/>
          <w:highlight w:val="none"/>
          <w:u w:val="none"/>
          <w:lang w:val="en-US" w:eastAsia="zh-CN" w:bidi="ar-SA"/>
        </w:rPr>
        <w:fldChar w:fldCharType="separate"/>
      </w:r>
      <w:r>
        <w:rPr>
          <w:rFonts w:hint="eastAsia" w:ascii="仿宋_GB2312" w:hAnsi="仿宋_GB2312" w:eastAsia="仿宋_GB2312" w:cs="仿宋_GB2312"/>
          <w:color w:val="auto"/>
          <w:spacing w:val="0"/>
          <w:w w:val="100"/>
          <w:kern w:val="21"/>
          <w:sz w:val="32"/>
          <w:szCs w:val="32"/>
          <w:highlight w:val="none"/>
          <w:u w:val="none"/>
          <w:lang w:val="en-US" w:eastAsia="zh-CN" w:bidi="ar-SA"/>
        </w:rPr>
        <w:t>CRM</w:t>
      </w:r>
      <w:r>
        <w:rPr>
          <w:rFonts w:hint="eastAsia" w:ascii="仿宋_GB2312" w:hAnsi="仿宋_GB2312" w:eastAsia="仿宋_GB2312" w:cs="仿宋_GB2312"/>
          <w:color w:val="auto"/>
          <w:spacing w:val="0"/>
          <w:w w:val="100"/>
          <w:kern w:val="21"/>
          <w:sz w:val="32"/>
          <w:szCs w:val="32"/>
          <w:highlight w:val="none"/>
          <w:u w:val="none"/>
          <w:lang w:val="en-US" w:eastAsia="zh-CN" w:bidi="ar-SA"/>
        </w:rPr>
        <w:fldChar w:fldCharType="end"/>
      </w:r>
      <w:r>
        <w:rPr>
          <w:rFonts w:hint="eastAsia" w:ascii="仿宋_GB2312" w:hAnsi="仿宋_GB2312" w:eastAsia="仿宋_GB2312" w:cs="仿宋_GB2312"/>
          <w:color w:val="auto"/>
          <w:spacing w:val="0"/>
          <w:w w:val="100"/>
          <w:kern w:val="21"/>
          <w:sz w:val="32"/>
          <w:szCs w:val="32"/>
          <w:highlight w:val="none"/>
          <w:u w:val="none"/>
          <w:lang w:val="en-US" w:eastAsia="zh-CN" w:bidi="ar-SA"/>
        </w:rPr>
        <w:t>）等生产控制类软件和嵌入式软件在制造业广泛应用，推进软件产业特色化、品牌化、高端化发展，持续优化产业载体建设、骨干企业培育、关键技术创新、产业生态融合等，加快培育建设一批特色软件产业园区</w:t>
      </w:r>
      <w:r>
        <w:rPr>
          <w:rFonts w:hint="eastAsia" w:ascii="仿宋_GB2312" w:hAnsi="仿宋_GB2312" w:eastAsia="仿宋_GB2312" w:cs="仿宋_GB2312"/>
          <w:color w:val="auto"/>
          <w:kern w:val="2"/>
          <w:sz w:val="32"/>
          <w:szCs w:val="32"/>
          <w:highlight w:val="none"/>
          <w:lang w:val="en-US" w:eastAsia="zh-CN" w:bidi="ar-SA"/>
        </w:rPr>
        <w:t>。</w:t>
      </w:r>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default" w:ascii="楷体_GB2312" w:hAnsi="楷体_GB2312" w:eastAsia="仿宋_GB2312" w:cs="楷体_GB2312"/>
          <w:bCs/>
          <w:color w:val="auto"/>
          <w:kern w:val="44"/>
          <w:sz w:val="32"/>
          <w:szCs w:val="48"/>
          <w:highlight w:val="none"/>
          <w:lang w:val="en-US" w:eastAsia="zh-CN" w:bidi="ar"/>
        </w:rPr>
      </w:pPr>
      <w:r>
        <w:rPr>
          <w:rFonts w:hint="eastAsia" w:ascii="仿宋_GB2312" w:hAnsi="仿宋_GB2312" w:eastAsia="仿宋_GB2312" w:cs="仿宋_GB2312"/>
          <w:color w:val="auto"/>
          <w:spacing w:val="0"/>
          <w:w w:val="100"/>
          <w:kern w:val="21"/>
          <w:sz w:val="32"/>
          <w:szCs w:val="32"/>
          <w:highlight w:val="none"/>
          <w:u w:val="none"/>
          <w:lang w:val="en-US" w:eastAsia="zh-CN" w:bidi="ar-SA"/>
        </w:rPr>
        <w:t>前瞻布局未来产业。围绕全市未来产业发展布局，立足章丘发展实际，培育尚在商业化初期，但远期潜力巨大的产业业态，</w:t>
      </w:r>
      <w:bookmarkStart w:id="26" w:name="OLE_LINK6"/>
      <w:r>
        <w:rPr>
          <w:rFonts w:hint="eastAsia" w:ascii="仿宋_GB2312" w:hAnsi="仿宋_GB2312" w:eastAsia="仿宋_GB2312" w:cs="仿宋_GB2312"/>
          <w:color w:val="auto"/>
          <w:spacing w:val="0"/>
          <w:w w:val="100"/>
          <w:kern w:val="21"/>
          <w:sz w:val="32"/>
          <w:szCs w:val="32"/>
          <w:highlight w:val="none"/>
          <w:u w:val="none"/>
          <w:lang w:val="en-US" w:eastAsia="zh-CN" w:bidi="ar-SA"/>
        </w:rPr>
        <w:t>聚焦量子科技、生物制造、氢能和核聚变能、脑机接口、具身智能等前沿领域加速布局，抢占未来产业发展先机。</w:t>
      </w:r>
      <w:bookmarkEnd w:id="26"/>
      <w:r>
        <w:rPr>
          <w:rFonts w:hint="eastAsia" w:ascii="仿宋_GB2312" w:hAnsi="仿宋_GB2312" w:eastAsia="仿宋_GB2312" w:cs="仿宋_GB2312"/>
          <w:color w:val="auto"/>
          <w:spacing w:val="0"/>
          <w:w w:val="100"/>
          <w:kern w:val="21"/>
          <w:sz w:val="32"/>
          <w:szCs w:val="32"/>
          <w:highlight w:val="none"/>
          <w:u w:val="none"/>
          <w:lang w:val="en-US" w:eastAsia="zh-CN" w:bidi="ar-SA"/>
        </w:rPr>
        <w:t>量子科技重点聚焦生态环保、高端制造、低空经济等优势领域，</w:t>
      </w:r>
      <w:r>
        <w:rPr>
          <w:rFonts w:hint="eastAsia" w:ascii="仿宋_GB2312" w:hAnsi="等线" w:eastAsia="仿宋_GB2312" w:cs="Times New Roman"/>
          <w:kern w:val="2"/>
          <w:sz w:val="32"/>
          <w:highlight w:val="none"/>
        </w:rPr>
        <w:t>引进</w:t>
      </w:r>
      <w:r>
        <w:rPr>
          <w:rFonts w:hint="eastAsia" w:ascii="仿宋_GB2312" w:hAnsi="等线" w:eastAsia="仿宋_GB2312" w:cs="Times New Roman"/>
          <w:kern w:val="2"/>
          <w:sz w:val="32"/>
          <w:highlight w:val="none"/>
          <w:lang w:val="en-US" w:eastAsia="zh-CN"/>
        </w:rPr>
        <w:t>和</w:t>
      </w:r>
      <w:r>
        <w:rPr>
          <w:rFonts w:hint="eastAsia" w:ascii="仿宋_GB2312" w:hAnsi="等线" w:eastAsia="仿宋_GB2312" w:cs="Times New Roman"/>
          <w:kern w:val="2"/>
          <w:sz w:val="32"/>
          <w:highlight w:val="none"/>
        </w:rPr>
        <w:t>打造一批量子科技示范应用场景，</w:t>
      </w:r>
      <w:r>
        <w:rPr>
          <w:rFonts w:hint="eastAsia" w:ascii="仿宋_GB2312" w:hAnsi="仿宋_GB2312" w:eastAsia="仿宋_GB2312" w:cs="仿宋_GB2312"/>
          <w:color w:val="auto"/>
          <w:spacing w:val="0"/>
          <w:w w:val="100"/>
          <w:kern w:val="21"/>
          <w:sz w:val="32"/>
          <w:szCs w:val="32"/>
          <w:highlight w:val="none"/>
          <w:u w:val="none"/>
          <w:lang w:val="en-US" w:eastAsia="zh-CN" w:bidi="ar-SA"/>
        </w:rPr>
        <w:t>培育</w:t>
      </w:r>
      <w:r>
        <w:rPr>
          <w:rFonts w:hint="eastAsia" w:ascii="仿宋_GB2312" w:hAnsi="等线" w:eastAsia="仿宋_GB2312" w:cs="Times New Roman"/>
          <w:kern w:val="2"/>
          <w:sz w:val="32"/>
          <w:highlight w:val="none"/>
        </w:rPr>
        <w:t>“量子</w:t>
      </w:r>
      <w:r>
        <w:rPr>
          <w:rFonts w:hint="eastAsia" w:ascii="仿宋_GB2312" w:hAnsi="等线" w:eastAsia="仿宋_GB2312" w:cs="Times New Roman"/>
          <w:kern w:val="2"/>
          <w:sz w:val="32"/>
          <w:highlight w:val="none"/>
          <w:lang w:val="en-US" w:eastAsia="zh-CN"/>
        </w:rPr>
        <w:t>＋</w:t>
      </w:r>
      <w:r>
        <w:rPr>
          <w:rFonts w:hint="eastAsia" w:ascii="仿宋_GB2312" w:hAnsi="等线" w:eastAsia="仿宋_GB2312" w:cs="Times New Roman"/>
          <w:kern w:val="2"/>
          <w:sz w:val="32"/>
          <w:highlight w:val="none"/>
        </w:rPr>
        <w:t>高端制造”“量子</w:t>
      </w:r>
      <w:r>
        <w:rPr>
          <w:rFonts w:hint="eastAsia" w:ascii="仿宋_GB2312" w:hAnsi="等线" w:eastAsia="仿宋_GB2312" w:cs="Times New Roman"/>
          <w:kern w:val="2"/>
          <w:sz w:val="32"/>
          <w:highlight w:val="none"/>
          <w:lang w:val="en-US" w:eastAsia="zh-CN"/>
        </w:rPr>
        <w:t>＋</w:t>
      </w:r>
      <w:r>
        <w:rPr>
          <w:rFonts w:hint="eastAsia" w:ascii="仿宋_GB2312" w:hAnsi="等线" w:eastAsia="仿宋_GB2312" w:cs="Times New Roman"/>
          <w:kern w:val="2"/>
          <w:sz w:val="32"/>
          <w:highlight w:val="none"/>
        </w:rPr>
        <w:t>生物医药”“量子</w:t>
      </w:r>
      <w:r>
        <w:rPr>
          <w:rFonts w:hint="eastAsia" w:ascii="仿宋_GB2312" w:hAnsi="等线" w:eastAsia="仿宋_GB2312" w:cs="Times New Roman"/>
          <w:kern w:val="2"/>
          <w:sz w:val="32"/>
          <w:highlight w:val="none"/>
          <w:lang w:val="en-US" w:eastAsia="zh-CN"/>
        </w:rPr>
        <w:t>＋</w:t>
      </w:r>
      <w:r>
        <w:rPr>
          <w:rFonts w:hint="eastAsia" w:ascii="仿宋_GB2312" w:hAnsi="等线" w:eastAsia="仿宋_GB2312" w:cs="Times New Roman"/>
          <w:kern w:val="2"/>
          <w:sz w:val="32"/>
          <w:highlight w:val="none"/>
        </w:rPr>
        <w:t>现代农业”等新业态、新模式</w:t>
      </w:r>
      <w:r>
        <w:rPr>
          <w:rFonts w:hint="eastAsia" w:ascii="仿宋_GB2312" w:hAnsi="等线" w:eastAsia="仿宋_GB2312" w:cs="Times New Roman"/>
          <w:kern w:val="2"/>
          <w:sz w:val="32"/>
          <w:highlight w:val="none"/>
          <w:lang w:eastAsia="zh-CN"/>
        </w:rPr>
        <w:t>，</w:t>
      </w:r>
      <w:r>
        <w:rPr>
          <w:rFonts w:hint="eastAsia" w:ascii="仿宋_GB2312" w:hAnsi="等线" w:eastAsia="仿宋_GB2312" w:cs="Times New Roman"/>
          <w:kern w:val="2"/>
          <w:sz w:val="32"/>
          <w:highlight w:val="none"/>
          <w:lang w:val="en-US" w:eastAsia="zh-CN"/>
        </w:rPr>
        <w:t>开展定向招商与精准引智，促进相关企业与配套资源集中布局。生物制造重点聚焦合成生物、酶工程、生物基材料等领域，发挥生物医药行业链主企业优势，积极对接招引上下游关联企业，构建“研发—中试—产业化”全链条生物医药创新生态圈。氢能和核聚变能产业重点强化氢源供给能力和核聚变能耐高温材料等配套，加强本地企业与研发机构、终端制造业对接，建立协同研发、联合生产的合作模式。脑机接口重点聚焦</w:t>
      </w:r>
      <w:r>
        <w:rPr>
          <w:rFonts w:hint="eastAsia" w:ascii="仿宋_GB2312" w:hAnsi="仿宋_GB2312" w:eastAsia="仿宋_GB2312" w:cs="仿宋_GB2312"/>
          <w:kern w:val="2"/>
          <w:sz w:val="32"/>
          <w:szCs w:val="32"/>
          <w:highlight w:val="none"/>
        </w:rPr>
        <w:t>“技术转化</w:t>
      </w:r>
      <w:r>
        <w:rPr>
          <w:rFonts w:hint="eastAsia" w:ascii="仿宋_GB2312" w:hAnsi="仿宋_GB2312" w:eastAsia="仿宋_GB2312" w:cs="仿宋_GB2312"/>
          <w:kern w:val="2"/>
          <w:sz w:val="32"/>
          <w:szCs w:val="32"/>
          <w:highlight w:val="none"/>
          <w:lang w:val="en-US" w:eastAsia="zh-CN"/>
        </w:rPr>
        <w:t>＋</w:t>
      </w:r>
      <w:r>
        <w:rPr>
          <w:rFonts w:hint="eastAsia" w:ascii="仿宋_GB2312" w:hAnsi="仿宋_GB2312" w:eastAsia="仿宋_GB2312" w:cs="仿宋_GB2312"/>
          <w:kern w:val="2"/>
          <w:sz w:val="32"/>
          <w:szCs w:val="32"/>
          <w:highlight w:val="none"/>
        </w:rPr>
        <w:t>场景应用</w:t>
      </w:r>
      <w:r>
        <w:rPr>
          <w:rFonts w:hint="eastAsia" w:ascii="仿宋_GB2312" w:hAnsi="仿宋_GB2312" w:eastAsia="仿宋_GB2312" w:cs="仿宋_GB2312"/>
          <w:kern w:val="2"/>
          <w:sz w:val="32"/>
          <w:szCs w:val="32"/>
          <w:highlight w:val="none"/>
          <w:lang w:val="en-US" w:eastAsia="zh-CN"/>
        </w:rPr>
        <w:t>＋</w:t>
      </w:r>
      <w:r>
        <w:rPr>
          <w:rFonts w:hint="eastAsia" w:ascii="仿宋_GB2312" w:hAnsi="仿宋_GB2312" w:eastAsia="仿宋_GB2312" w:cs="仿宋_GB2312"/>
          <w:kern w:val="2"/>
          <w:sz w:val="32"/>
          <w:szCs w:val="32"/>
          <w:highlight w:val="none"/>
        </w:rPr>
        <w:t>生态培育”三大方向，</w:t>
      </w:r>
      <w:r>
        <w:rPr>
          <w:rFonts w:hint="eastAsia" w:ascii="仿宋_GB2312" w:hAnsi="仿宋_GB2312" w:eastAsia="仿宋_GB2312" w:cs="仿宋_GB2312"/>
          <w:kern w:val="2"/>
          <w:sz w:val="32"/>
          <w:szCs w:val="32"/>
          <w:highlight w:val="none"/>
          <w:lang w:val="en-US" w:eastAsia="zh-CN"/>
        </w:rPr>
        <w:t>推动与高校科研院所共建脑机接口创新平台，重点攻关适配区域产业需求的核心技术，开放应用场景，培育一批“专精特新”企业。具身智能重点围绕生产制造、医疗康复、商贸物流、能源利用、家庭陪护、农业植保等场景，引进和培育一批行业解决方案服务商，丰富产业应用生态，完善产业链条，引进研发中心、生产制造项目等，提高本地配套能力。</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560" w:lineRule="exact"/>
        <w:ind w:left="0" w:leftChars="0" w:firstLine="640" w:firstLineChars="200"/>
        <w:jc w:val="both"/>
        <w:textAlignment w:val="auto"/>
        <w:outlineLvl w:val="2"/>
        <w:rPr>
          <w:rFonts w:hint="eastAsia" w:ascii="黑体" w:hAnsi="黑体" w:eastAsia="黑体" w:cs="黑体"/>
          <w:bCs/>
          <w:color w:val="auto"/>
          <w:kern w:val="44"/>
          <w:sz w:val="32"/>
          <w:szCs w:val="48"/>
          <w:highlight w:val="none"/>
          <w:lang w:val="en-US" w:eastAsia="zh-CN" w:bidi="ar"/>
        </w:rPr>
      </w:pPr>
      <w:r>
        <w:rPr>
          <w:rFonts w:hint="eastAsia" w:ascii="黑体" w:hAnsi="黑体" w:eastAsia="黑体" w:cs="黑体"/>
          <w:bCs/>
          <w:color w:val="auto"/>
          <w:kern w:val="44"/>
          <w:sz w:val="32"/>
          <w:szCs w:val="48"/>
          <w:highlight w:val="none"/>
          <w:lang w:val="en-US" w:eastAsia="zh-CN" w:bidi="ar"/>
        </w:rPr>
        <w:t>三、做优“两大特色产业链”</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afterLines="0" w:line="560" w:lineRule="exact"/>
        <w:ind w:left="0" w:leftChars="0" w:firstLine="640" w:firstLineChars="200"/>
        <w:textAlignment w:val="auto"/>
        <w:rPr>
          <w:rFonts w:hint="default" w:ascii="楷体_GB2312" w:hAnsi="楷体_GB2312" w:eastAsia="楷体_GB2312" w:cs="楷体_GB2312"/>
          <w:b w:val="0"/>
          <w:bCs w:val="0"/>
          <w:color w:val="auto"/>
          <w:spacing w:val="0"/>
          <w:w w:val="100"/>
          <w:kern w:val="21"/>
          <w:sz w:val="32"/>
          <w:szCs w:val="32"/>
          <w:highlight w:val="none"/>
          <w:u w:val="none"/>
          <w:lang w:val="en-US" w:eastAsia="zh-CN" w:bidi="ar-SA"/>
        </w:rPr>
      </w:pPr>
      <w:r>
        <w:rPr>
          <w:rFonts w:hint="eastAsia" w:ascii="楷体_GB2312" w:hAnsi="楷体_GB2312" w:eastAsia="楷体_GB2312" w:cs="楷体_GB2312"/>
          <w:b w:val="0"/>
          <w:bCs w:val="0"/>
          <w:color w:val="auto"/>
          <w:spacing w:val="0"/>
          <w:w w:val="100"/>
          <w:kern w:val="21"/>
          <w:sz w:val="32"/>
          <w:szCs w:val="32"/>
          <w:highlight w:val="none"/>
          <w:u w:val="none"/>
          <w:lang w:val="en-US" w:eastAsia="zh-CN" w:bidi="ar-SA"/>
        </w:rPr>
        <w:t>（一）医药食品及包装</w:t>
      </w:r>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color w:val="auto"/>
          <w:spacing w:val="0"/>
          <w:w w:val="100"/>
          <w:kern w:val="21"/>
          <w:sz w:val="32"/>
          <w:szCs w:val="32"/>
          <w:highlight w:val="none"/>
          <w:u w:val="none"/>
          <w:lang w:val="en-US" w:eastAsia="zh-CN" w:bidi="ar-SA"/>
        </w:rPr>
        <w:t>聚焦生物医药产业链群、医疗器械产业链群两大重点领域，推动食品饮料产业规模化发展，引领包装产业向绿向智转型，推动产业链向高端化、智能化、绿色化跃升。到2030年，医药食品及包装产业产值规模达到180亿元。</w:t>
      </w:r>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t>提高生物制药科研创新能力。</w:t>
      </w:r>
      <w:r>
        <w:rPr>
          <w:rFonts w:hint="eastAsia" w:ascii="仿宋_GB2312" w:hAnsi="仿宋_GB2312" w:eastAsia="仿宋_GB2312" w:cs="仿宋_GB2312"/>
          <w:color w:val="auto"/>
          <w:spacing w:val="0"/>
          <w:w w:val="100"/>
          <w:kern w:val="21"/>
          <w:sz w:val="32"/>
          <w:szCs w:val="32"/>
          <w:highlight w:val="none"/>
          <w:u w:val="none"/>
          <w:lang w:val="en-US" w:eastAsia="zh-CN" w:bidi="ar-SA"/>
        </w:rPr>
        <w:t>布局发展生物技术药物、小分子药物、生物疫苗、体外诊断试剂等领域，重点发展基因工程药、抗体药物、重组蛋白药物、细胞治疗、核酸药物和疫苗等创新药物，提高原研药、首仿药、新型制剂等创新能力和产业化发展水平，探索布局干细胞领域。加强化学制药产业链条“强链补链延链”，重点开发治疗恶性肿瘤、心脑血管、耐药性病原体感染、病毒感染等新药、重大仿制药以及大品种化学合成创新药物等，重点招引产业链上游中间体、生化耗材等药物研发企业。加强现代制剂技术工程化，扩展化学制剂生产规模，突破高附加值化学药物剂型改造技术，加快高端药物产业化进程。</w:t>
      </w:r>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t>推动医疗器械高价值化发展。依托医疗器械产品生产优势，大力发展植入物、手术机器人、体外诊断</w:t>
      </w:r>
      <w:r>
        <w:rPr>
          <w:rFonts w:hint="eastAsia" w:ascii="仿宋_GB2312" w:hAnsi="仿宋_GB2312" w:eastAsia="仿宋_GB2312" w:cs="仿宋_GB2312"/>
          <w:color w:val="auto"/>
          <w:spacing w:val="0"/>
          <w:w w:val="100"/>
          <w:kern w:val="21"/>
          <w:sz w:val="32"/>
          <w:szCs w:val="32"/>
          <w:highlight w:val="none"/>
          <w:u w:val="none"/>
          <w:lang w:val="en-US" w:eastAsia="zh-CN" w:bidi="ar-SA"/>
        </w:rPr>
        <w:t>产品、多功能康养、高值医用耗材、植入介入产品和家用医疗设备等产业，推动医疗器械产品向高附加值方向转型。培植壮大介入器械和高价值生物医用材料产品，重点发展人工关节与骨科植入物、种植牙与口腔植入设备、血管及造影导管等方向，推动高值医疗器械的国产替代。大力发展医疗器械特色产业，积极培育医美、医疗检测等新业态。</w:t>
      </w:r>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t>加快食品饮料产业健康化发展。</w:t>
      </w:r>
      <w:r>
        <w:rPr>
          <w:rFonts w:hint="eastAsia" w:ascii="仿宋_GB2312" w:hAnsi="仿宋_GB2312" w:eastAsia="仿宋_GB2312" w:cs="仿宋_GB2312"/>
          <w:color w:val="auto"/>
          <w:spacing w:val="0"/>
          <w:w w:val="100"/>
          <w:kern w:val="21"/>
          <w:sz w:val="32"/>
          <w:szCs w:val="32"/>
          <w:highlight w:val="none"/>
          <w:u w:val="none"/>
          <w:lang w:val="en-US" w:eastAsia="zh-CN" w:bidi="ar-SA"/>
        </w:rPr>
        <w:t>大力发展高附加值深加工食品、复合型营养食品、方便休闲保健食品、功能性饮料、白酒、啤酒等产品，逐步建立健康、安全、绿色、低碳的现代食品工业体系，提升章丘食品饮料产业品牌知名度。加大企业在章增资扩产力度，扩大产出规模，拓宽市场销售渠道。积极推广种植养殖、加工生产、配送零售经营方式，探索全链条式“中央厨房”新兴业态。探索布局特医食品和功能性食品领域，支持发展特膳食品、保健食品、功能性饮料、高端乳品等，扩大大健康产品高质量供给。</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afterLines="0" w:line="560" w:lineRule="exact"/>
        <w:ind w:left="0" w:leftChars="0" w:firstLine="640" w:firstLineChars="200"/>
        <w:textAlignment w:val="auto"/>
        <w:rPr>
          <w:rFonts w:hint="default" w:ascii="楷体_GB2312" w:hAnsi="楷体_GB2312" w:eastAsia="楷体_GB2312" w:cs="楷体_GB2312"/>
          <w:b w:val="0"/>
          <w:bCs w:val="0"/>
          <w:color w:val="auto"/>
          <w:spacing w:val="0"/>
          <w:w w:val="100"/>
          <w:kern w:val="21"/>
          <w:sz w:val="32"/>
          <w:szCs w:val="32"/>
          <w:highlight w:val="none"/>
          <w:u w:val="none"/>
          <w:lang w:val="en-US" w:eastAsia="zh-CN" w:bidi="ar-SA"/>
        </w:rPr>
      </w:pPr>
      <w:r>
        <w:rPr>
          <w:rFonts w:hint="eastAsia" w:ascii="楷体_GB2312" w:hAnsi="楷体_GB2312" w:eastAsia="楷体_GB2312" w:cs="楷体_GB2312"/>
          <w:b w:val="0"/>
          <w:bCs w:val="0"/>
          <w:color w:val="auto"/>
          <w:spacing w:val="0"/>
          <w:w w:val="100"/>
          <w:kern w:val="21"/>
          <w:sz w:val="32"/>
          <w:szCs w:val="32"/>
          <w:highlight w:val="none"/>
          <w:u w:val="none"/>
          <w:lang w:val="en-US" w:eastAsia="zh-CN" w:bidi="ar-SA"/>
        </w:rPr>
        <w:t>（二）绿色建材与装配式建筑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坚持以绿色、低碳、环保为核心，推动建工、建材与装配式产业协同发展，建设集研发、生产、施工、应用于一体的产业集聚区。到2030年，绿色建材与装配式建筑产业产值规模达到110亿元。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黑体" w:cs="仿宋_GB2312"/>
          <w:bCs/>
          <w:color w:val="auto"/>
          <w:kern w:val="44"/>
          <w:sz w:val="32"/>
          <w:szCs w:val="48"/>
          <w:highlight w:val="none"/>
          <w:lang w:val="en-US" w:eastAsia="zh-CN" w:bidi="ar"/>
        </w:rPr>
      </w:pPr>
      <w:r>
        <w:rPr>
          <w:rFonts w:hint="eastAsia" w:ascii="仿宋_GB2312" w:hAnsi="仿宋_GB2312" w:eastAsia="仿宋_GB2312" w:cs="仿宋_GB2312"/>
          <w:color w:val="auto"/>
          <w:spacing w:val="0"/>
          <w:w w:val="100"/>
          <w:kern w:val="21"/>
          <w:sz w:val="32"/>
          <w:szCs w:val="32"/>
          <w:highlight w:val="none"/>
          <w:u w:val="none"/>
          <w:lang w:val="en-US" w:eastAsia="zh-CN" w:bidi="ar-SA"/>
        </w:rPr>
        <w:t>健全完善科研、设计、施工、生产、建造、运维装配式建筑全产业链体系，重点发展预制混凝土构件（PC）、装配式钢结构（PS），加大产品应用推广力度，打造装配式建筑产品集群，争创省级新型建筑工业化产业基地。支持建工机械重点企业向高精尖升级，深耕细分市场，打造建工机械产业集群。聚焦基础结构材料、建筑幕墙、节能环保墙体材料、新型保温材料等领域，加快新产品开发，发挥平台载体功能，引导建筑材料生产企业发展优质品牌，打造绿色建材产业集群。推动传统高耗能企业严格执行产能置换政策，加快发展特种水泥，延伸产业链条，促进企业转型升级。整合建材资源，探索国有资本参与矿产资源开发利用新模式，建立有序开采、加工利用、增值转化、山体治理生态产业链。</w:t>
      </w:r>
    </w:p>
    <w:bookmarkEnd w:id="16"/>
    <w:p>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beforeAutospacing="0" w:after="157" w:afterLines="50" w:afterAutospacing="0" w:line="560" w:lineRule="exact"/>
        <w:ind w:left="0" w:leftChars="0" w:firstLine="0" w:firstLineChars="0"/>
        <w:jc w:val="center"/>
        <w:textAlignment w:val="auto"/>
        <w:outlineLvl w:val="1"/>
        <w:rPr>
          <w:rFonts w:hint="eastAsia" w:ascii="仿宋_GB2312" w:hAnsi="仿宋_GB2312" w:eastAsia="黑体" w:cs="仿宋_GB2312"/>
          <w:bCs/>
          <w:color w:val="auto"/>
          <w:kern w:val="44"/>
          <w:sz w:val="32"/>
          <w:szCs w:val="48"/>
          <w:highlight w:val="none"/>
          <w:lang w:val="en-US" w:eastAsia="zh-CN" w:bidi="ar"/>
        </w:rPr>
      </w:pPr>
      <w:bookmarkStart w:id="27" w:name="_Toc3700"/>
      <w:bookmarkStart w:id="28" w:name="_Toc23501"/>
      <w:r>
        <w:rPr>
          <w:rFonts w:hint="eastAsia" w:ascii="仿宋_GB2312" w:hAnsi="仿宋_GB2312" w:eastAsia="黑体" w:cs="仿宋_GB2312"/>
          <w:bCs/>
          <w:color w:val="auto"/>
          <w:kern w:val="44"/>
          <w:sz w:val="32"/>
          <w:szCs w:val="48"/>
          <w:highlight w:val="none"/>
          <w:lang w:val="en-US" w:eastAsia="zh-CN" w:bidi="ar"/>
        </w:rPr>
        <w:t>第二节  促进服务业优质高效发展</w:t>
      </w:r>
      <w:bookmarkEnd w:id="27"/>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color w:val="auto"/>
          <w:spacing w:val="0"/>
          <w:w w:val="100"/>
          <w:kern w:val="21"/>
          <w:sz w:val="32"/>
          <w:szCs w:val="32"/>
          <w:highlight w:val="none"/>
          <w:u w:val="none"/>
          <w:lang w:val="en-US" w:eastAsia="zh-CN" w:bidi="ar-SA"/>
        </w:rPr>
        <w:t>积极引导生产性服务业向专业化和价值链高端延伸，不断提高生产性服务业服务实体经济能力，推动生活性服务业发展提速、水平提升，提升生活性服务业，满足人民生活所需。</w:t>
      </w:r>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2"/>
        <w:rPr>
          <w:rFonts w:hint="default" w:ascii="黑体" w:hAnsi="黑体" w:eastAsia="黑体" w:cs="黑体"/>
          <w:color w:val="auto"/>
          <w:spacing w:val="0"/>
          <w:w w:val="100"/>
          <w:kern w:val="21"/>
          <w:sz w:val="32"/>
          <w:szCs w:val="32"/>
          <w:highlight w:val="none"/>
          <w:lang w:val="en-US" w:eastAsia="zh-CN" w:bidi="ar-SA"/>
        </w:rPr>
      </w:pPr>
      <w:r>
        <w:rPr>
          <w:rFonts w:hint="eastAsia" w:ascii="黑体" w:hAnsi="黑体" w:eastAsia="黑体" w:cs="黑体"/>
          <w:color w:val="auto"/>
          <w:spacing w:val="0"/>
          <w:w w:val="100"/>
          <w:kern w:val="21"/>
          <w:sz w:val="32"/>
          <w:szCs w:val="32"/>
          <w:highlight w:val="none"/>
          <w:lang w:val="en-US" w:eastAsia="zh-CN" w:bidi="ar-SA"/>
        </w:rPr>
        <w:t>一、推动生产性服务业能级提升</w:t>
      </w:r>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color w:val="auto"/>
          <w:spacing w:val="0"/>
          <w:w w:val="100"/>
          <w:kern w:val="21"/>
          <w:sz w:val="32"/>
          <w:szCs w:val="32"/>
          <w:highlight w:val="none"/>
          <w:u w:val="none"/>
          <w:lang w:val="en-US" w:eastAsia="zh-CN" w:bidi="ar-SA"/>
        </w:rPr>
        <w:t>重点围绕现代物流、现代金融、软件信息服务、商务服务和科技服务等重点行业，加快培育生产性服务业集群。</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afterLines="0" w:line="560" w:lineRule="exact"/>
        <w:ind w:left="0" w:leftChars="0" w:firstLine="640" w:firstLineChars="200"/>
        <w:textAlignment w:val="auto"/>
        <w:rPr>
          <w:rFonts w:hint="eastAsia" w:ascii="楷体_GB2312" w:hAnsi="楷体_GB2312" w:eastAsia="楷体_GB2312" w:cs="楷体_GB2312"/>
          <w:b w:val="0"/>
          <w:bCs w:val="0"/>
          <w:color w:val="auto"/>
          <w:spacing w:val="0"/>
          <w:w w:val="100"/>
          <w:kern w:val="21"/>
          <w:sz w:val="32"/>
          <w:szCs w:val="32"/>
          <w:highlight w:val="none"/>
          <w:u w:val="none"/>
          <w:lang w:val="en-US" w:eastAsia="zh-CN" w:bidi="ar-SA"/>
        </w:rPr>
      </w:pPr>
      <w:r>
        <w:rPr>
          <w:rFonts w:hint="eastAsia" w:ascii="楷体_GB2312" w:hAnsi="楷体_GB2312" w:eastAsia="楷体_GB2312" w:cs="楷体_GB2312"/>
          <w:b w:val="0"/>
          <w:bCs w:val="0"/>
          <w:color w:val="auto"/>
          <w:spacing w:val="0"/>
          <w:w w:val="100"/>
          <w:kern w:val="21"/>
          <w:sz w:val="32"/>
          <w:szCs w:val="32"/>
          <w:highlight w:val="none"/>
          <w:u w:val="none"/>
          <w:lang w:val="en-US" w:eastAsia="zh-CN" w:bidi="ar-SA"/>
        </w:rPr>
        <w:t>（一）现代物流</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color w:val="auto"/>
          <w:spacing w:val="0"/>
          <w:w w:val="100"/>
          <w:kern w:val="21"/>
          <w:sz w:val="32"/>
          <w:szCs w:val="32"/>
          <w:highlight w:val="none"/>
          <w:u w:val="none"/>
          <w:lang w:val="en-US" w:eastAsia="zh-CN" w:bidi="ar-SA"/>
        </w:rPr>
        <w:t>推进制造业与物流业联动发展，加快融入“四港三区”建设，</w:t>
      </w:r>
      <w:r>
        <w:rPr>
          <w:rFonts w:hint="eastAsia" w:ascii="仿宋_GB2312" w:hAnsi="仿宋_GB2312" w:eastAsia="仿宋_GB2312" w:cs="仿宋_GB2312"/>
          <w:caps w:val="0"/>
          <w:color w:val="auto"/>
          <w:spacing w:val="0"/>
          <w:sz w:val="32"/>
          <w:szCs w:val="32"/>
          <w:highlight w:val="none"/>
          <w:lang w:val="en-US" w:eastAsia="zh-CN"/>
        </w:rPr>
        <w:t>依托小清河章丘港超限件发运及大宗货物贸易集散优势</w:t>
      </w:r>
      <w:r>
        <w:rPr>
          <w:rFonts w:hint="eastAsia" w:ascii="仿宋_GB2312" w:hAnsi="仿宋_GB2312" w:eastAsia="仿宋_GB2312" w:cs="仿宋_GB2312"/>
          <w:color w:val="auto"/>
          <w:spacing w:val="0"/>
          <w:w w:val="100"/>
          <w:kern w:val="21"/>
          <w:sz w:val="32"/>
          <w:szCs w:val="32"/>
          <w:highlight w:val="none"/>
          <w:u w:val="none"/>
          <w:lang w:val="en-US" w:eastAsia="zh-CN" w:bidi="ar-SA"/>
        </w:rPr>
        <w:t>，加快小清河章丘港配套物流园建设，做大做强工业物流，大力发展消费物流，积极发展交通物流，培育物流新业态新模式。加快物流产业数字化转型，推动数字技术在仓储管理、配送时效、运营模式优化及智能分析与决策等领域的应用，加强信息化管理系统和云计算、人工智能等信息技术应用。推动智慧物流数据平台建设，促进物流、</w:t>
      </w:r>
      <w:bookmarkStart w:id="29" w:name="OLE_LINK11"/>
      <w:r>
        <w:rPr>
          <w:rFonts w:hint="eastAsia" w:ascii="仿宋_GB2312" w:hAnsi="仿宋_GB2312" w:eastAsia="仿宋_GB2312" w:cs="仿宋_GB2312"/>
          <w:color w:val="auto"/>
          <w:spacing w:val="0"/>
          <w:w w:val="100"/>
          <w:kern w:val="21"/>
          <w:sz w:val="32"/>
          <w:szCs w:val="32"/>
          <w:highlight w:val="none"/>
          <w:u w:val="none"/>
          <w:lang w:val="en-US" w:eastAsia="zh-CN" w:bidi="ar-SA"/>
        </w:rPr>
        <w:t>信息流、商流</w:t>
      </w:r>
      <w:bookmarkEnd w:id="29"/>
      <w:r>
        <w:rPr>
          <w:rFonts w:hint="eastAsia" w:ascii="仿宋_GB2312" w:hAnsi="仿宋_GB2312" w:eastAsia="仿宋_GB2312" w:cs="仿宋_GB2312"/>
          <w:color w:val="auto"/>
          <w:spacing w:val="0"/>
          <w:w w:val="100"/>
          <w:kern w:val="21"/>
          <w:sz w:val="32"/>
          <w:szCs w:val="32"/>
          <w:highlight w:val="none"/>
          <w:u w:val="none"/>
          <w:lang w:val="en-US" w:eastAsia="zh-CN" w:bidi="ar-SA"/>
        </w:rPr>
        <w:t>、资金流深度融合。围绕高端装备、生物医药、先进材料等行业，培育一批专业化物流企业，提升物流服务一体化、网络化水平。加快推动物流企业集聚发展，推进一批重大物流园区、企业建设和招商工作。到2030年，全区物流业营业收入达到30亿元左右。</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afterLines="0" w:line="560" w:lineRule="exact"/>
        <w:ind w:left="0" w:leftChars="0" w:firstLine="640" w:firstLineChars="200"/>
        <w:textAlignment w:val="auto"/>
        <w:rPr>
          <w:rFonts w:hint="eastAsia" w:ascii="楷体_GB2312" w:hAnsi="楷体_GB2312" w:eastAsia="楷体_GB2312" w:cs="楷体_GB2312"/>
          <w:b w:val="0"/>
          <w:bCs w:val="0"/>
          <w:color w:val="auto"/>
          <w:spacing w:val="0"/>
          <w:w w:val="100"/>
          <w:kern w:val="21"/>
          <w:sz w:val="32"/>
          <w:szCs w:val="32"/>
          <w:highlight w:val="none"/>
          <w:u w:val="none"/>
          <w:lang w:val="en-US" w:eastAsia="zh-CN" w:bidi="ar-SA"/>
        </w:rPr>
      </w:pPr>
      <w:r>
        <w:rPr>
          <w:rFonts w:hint="eastAsia" w:ascii="楷体_GB2312" w:hAnsi="楷体_GB2312" w:eastAsia="楷体_GB2312" w:cs="楷体_GB2312"/>
          <w:b w:val="0"/>
          <w:bCs w:val="0"/>
          <w:color w:val="auto"/>
          <w:spacing w:val="0"/>
          <w:w w:val="100"/>
          <w:kern w:val="21"/>
          <w:sz w:val="32"/>
          <w:szCs w:val="32"/>
          <w:highlight w:val="none"/>
          <w:u w:val="none"/>
          <w:lang w:val="en-US" w:eastAsia="zh-CN" w:bidi="ar-SA"/>
        </w:rPr>
        <w:t>（二）现代金融</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color w:val="auto"/>
          <w:spacing w:val="0"/>
          <w:w w:val="100"/>
          <w:kern w:val="21"/>
          <w:sz w:val="32"/>
          <w:szCs w:val="32"/>
          <w:highlight w:val="none"/>
          <w:u w:val="none"/>
          <w:lang w:val="en-US" w:eastAsia="zh-CN" w:bidi="ar-SA"/>
        </w:rPr>
        <w:t>推进金融创新发展，围绕“科技金融、绿色金融、普惠金融、养老金融、数字金融”五篇文章，加大金融产品服务创新力度，提升服务实体经济能力水平。统筹传统金融和新金融发展，积极引进银行、证券、保险、信托、期货、基金等金融机构落户，鼓励金融机构推出个性化、差异化、定制化金融产品和金融服务，创新发展金融新业态。加强政府性融资担保体系建设，探索供应链金融发展新模式，推动创新链、产业链、人才链、资金链深度融合，提升重点项目融资服务水平。积极搭建银企对接平台，拓宽企业直接融资渠道，支持上市公司采用增发股票、配股、发行优先股和各类债券等方式扩大融资规模。到2030年，全区金融业增加值规模达到35亿元。</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eastAsia" w:ascii="楷体_GB2312" w:hAnsi="楷体_GB2312" w:eastAsia="楷体_GB2312" w:cs="楷体_GB2312"/>
          <w:b w:val="0"/>
          <w:bCs w:val="0"/>
          <w:color w:val="auto"/>
          <w:spacing w:val="0"/>
          <w:w w:val="100"/>
          <w:kern w:val="21"/>
          <w:sz w:val="32"/>
          <w:szCs w:val="32"/>
          <w:highlight w:val="none"/>
          <w:u w:val="none"/>
          <w:lang w:val="en-US" w:eastAsia="zh-CN" w:bidi="ar-SA"/>
        </w:rPr>
      </w:pPr>
      <w:r>
        <w:rPr>
          <w:rFonts w:hint="eastAsia" w:ascii="楷体_GB2312" w:hAnsi="楷体_GB2312" w:eastAsia="楷体_GB2312" w:cs="楷体_GB2312"/>
          <w:b w:val="0"/>
          <w:bCs w:val="0"/>
          <w:color w:val="auto"/>
          <w:spacing w:val="0"/>
          <w:w w:val="100"/>
          <w:kern w:val="21"/>
          <w:sz w:val="32"/>
          <w:szCs w:val="32"/>
          <w:highlight w:val="none"/>
          <w:u w:val="none"/>
          <w:lang w:val="en-US" w:eastAsia="zh-CN" w:bidi="ar-SA"/>
        </w:rPr>
        <w:t>（三）软件信息服务</w:t>
      </w:r>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color w:val="auto"/>
          <w:spacing w:val="0"/>
          <w:w w:val="100"/>
          <w:kern w:val="21"/>
          <w:sz w:val="32"/>
          <w:szCs w:val="32"/>
          <w:highlight w:val="none"/>
          <w:u w:val="none"/>
          <w:lang w:val="en-US" w:eastAsia="zh-CN" w:bidi="ar-SA"/>
        </w:rPr>
        <w:t>依托山东大学龙山校区（创新港）、空天信息大学等高等院校，拓展软件应用领域，打造“人工智能＋”融合开放平台，不断完善以人工智能、大数据为核心的新一代信息产业集群。推动行业应用场景开发，大力发展基础软件、工业软件和开源生态，不断提高新创产品和方案供给能力。支持软件信息行业企业申报国家、省、市支持的“三优两重”、首版次高端软件、工业互联网APP等软件名品项目。依托山大地纬产业园、龙山数字经济产业园等园区，引育一批软件信息服务企业落地章丘，推动软件信息产业集聚发展。到2030年，信息传输、软件和信息技术服务业营业收入达到20亿元。</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eastAsia" w:ascii="楷体_GB2312" w:hAnsi="楷体_GB2312" w:eastAsia="楷体_GB2312" w:cs="楷体_GB2312"/>
          <w:b w:val="0"/>
          <w:bCs w:val="0"/>
          <w:color w:val="auto"/>
          <w:spacing w:val="0"/>
          <w:w w:val="100"/>
          <w:kern w:val="21"/>
          <w:sz w:val="32"/>
          <w:szCs w:val="32"/>
          <w:highlight w:val="none"/>
          <w:u w:val="none"/>
          <w:lang w:val="en-US" w:eastAsia="zh-CN" w:bidi="ar-SA"/>
        </w:rPr>
      </w:pPr>
      <w:r>
        <w:rPr>
          <w:rFonts w:hint="eastAsia" w:ascii="楷体_GB2312" w:hAnsi="楷体_GB2312" w:eastAsia="楷体_GB2312" w:cs="楷体_GB2312"/>
          <w:b w:val="0"/>
          <w:bCs w:val="0"/>
          <w:color w:val="auto"/>
          <w:spacing w:val="0"/>
          <w:w w:val="100"/>
          <w:kern w:val="21"/>
          <w:sz w:val="32"/>
          <w:szCs w:val="32"/>
          <w:highlight w:val="none"/>
          <w:u w:val="none"/>
          <w:lang w:val="en-US" w:eastAsia="zh-CN" w:bidi="ar-SA"/>
        </w:rPr>
        <w:t>（四）商务服务</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color w:val="auto"/>
          <w:spacing w:val="0"/>
          <w:w w:val="100"/>
          <w:kern w:val="21"/>
          <w:sz w:val="32"/>
          <w:szCs w:val="32"/>
          <w:highlight w:val="none"/>
          <w:u w:val="none"/>
          <w:lang w:val="en-US" w:eastAsia="zh-CN" w:bidi="ar-SA"/>
        </w:rPr>
        <w:t>以专业化、规模化、规范化为导向，提升工业设计服务对制造业企业服务能力，打造工业设计公共服务平台，推广“互联网＋工业设计”，支持众包设计、智能设计、定制化服务设计等新型服务模式。大力发展咨询评估、法律服务、会计审计、税务服务、中介服务、会展服务、广告等商务服务业，培育孵化一批国内知名的综合性品牌服务机构和“专精特新”中介服务机构，逐步健全商务服务体系。做大做强商务和会展产业，谋划会展产业园区，积极招引国内外知名展会，培育本土会展品牌，争取更多国际、全国和省、市级展会落户章丘。到2030年，商务服务业营业收入达到35亿元。</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eastAsia" w:ascii="楷体_GB2312" w:hAnsi="楷体_GB2312" w:eastAsia="楷体_GB2312" w:cs="楷体_GB2312"/>
          <w:b w:val="0"/>
          <w:bCs w:val="0"/>
          <w:color w:val="auto"/>
          <w:spacing w:val="0"/>
          <w:w w:val="100"/>
          <w:kern w:val="21"/>
          <w:sz w:val="32"/>
          <w:szCs w:val="32"/>
          <w:highlight w:val="none"/>
          <w:u w:val="none"/>
          <w:lang w:val="en-US" w:eastAsia="zh-CN" w:bidi="ar-SA"/>
        </w:rPr>
      </w:pPr>
      <w:r>
        <w:rPr>
          <w:rFonts w:hint="eastAsia" w:ascii="楷体_GB2312" w:hAnsi="楷体_GB2312" w:eastAsia="楷体_GB2312" w:cs="楷体_GB2312"/>
          <w:b w:val="0"/>
          <w:bCs w:val="0"/>
          <w:color w:val="auto"/>
          <w:spacing w:val="0"/>
          <w:w w:val="100"/>
          <w:kern w:val="21"/>
          <w:sz w:val="32"/>
          <w:szCs w:val="32"/>
          <w:highlight w:val="none"/>
          <w:u w:val="none"/>
          <w:lang w:val="en-US" w:eastAsia="zh-CN" w:bidi="ar-SA"/>
        </w:rPr>
        <w:t>（五）科技服务</w:t>
      </w:r>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color w:val="auto"/>
          <w:spacing w:val="0"/>
          <w:w w:val="100"/>
          <w:kern w:val="21"/>
          <w:sz w:val="32"/>
          <w:szCs w:val="32"/>
          <w:highlight w:val="none"/>
          <w:u w:val="none"/>
          <w:lang w:val="en-US" w:eastAsia="zh-CN" w:bidi="ar-SA"/>
        </w:rPr>
        <w:t>完善科技创新服务体系，推动科技研发与产业发展深度融合，大力发展研发设计、科技咨询、检验检测、知识产权服务等产业，不断提升科技服务专业化、规模化水平。鼓励制造业企业分离生产流程中的研究开发、检验检测认证等非核心但具有比较优势的服务功能。积极招引和培育创新型研发机构、服务机构，完善众创空间、孵化器、加速器、产业园一体发展的科技研发创新链条，完善孵化、知识产权等公共科技服务和风险投资功能。充分发挥空天信息大学创新主体作用，规划建设航空航天暨低空经济产业园区，推动科技服务企业集聚发展。到2030年，科技服务业营业收入达到8亿元以上。</w:t>
      </w:r>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2"/>
        <w:rPr>
          <w:rFonts w:hint="eastAsia" w:ascii="黑体" w:hAnsi="黑体" w:eastAsia="黑体" w:cs="黑体"/>
          <w:color w:val="auto"/>
          <w:spacing w:val="0"/>
          <w:w w:val="100"/>
          <w:kern w:val="21"/>
          <w:sz w:val="32"/>
          <w:szCs w:val="32"/>
          <w:highlight w:val="none"/>
          <w:lang w:val="en-US" w:eastAsia="zh-CN" w:bidi="ar-SA"/>
        </w:rPr>
      </w:pPr>
      <w:r>
        <w:rPr>
          <w:rFonts w:hint="eastAsia" w:ascii="黑体" w:hAnsi="黑体" w:eastAsia="黑体" w:cs="黑体"/>
          <w:color w:val="auto"/>
          <w:spacing w:val="0"/>
          <w:w w:val="100"/>
          <w:kern w:val="21"/>
          <w:sz w:val="32"/>
          <w:szCs w:val="32"/>
          <w:highlight w:val="none"/>
          <w:lang w:val="en-US" w:eastAsia="zh-CN" w:bidi="ar-SA"/>
        </w:rPr>
        <w:t>二、推动生活性服务业提档跃升</w:t>
      </w:r>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color w:val="auto"/>
          <w:spacing w:val="0"/>
          <w:w w:val="100"/>
          <w:kern w:val="21"/>
          <w:sz w:val="32"/>
          <w:szCs w:val="32"/>
          <w:highlight w:val="none"/>
          <w:u w:val="none"/>
          <w:lang w:val="en-US" w:eastAsia="zh-CN" w:bidi="ar-SA"/>
        </w:rPr>
        <w:t>聚焦居民多元需求，推动商贸流通、体育产业、家政服务业等领域提质增量扩容，促进生活性服务业高品质、多样化、便利化发展。</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eastAsia" w:ascii="楷体_GB2312" w:hAnsi="楷体_GB2312" w:eastAsia="楷体_GB2312" w:cs="楷体_GB2312"/>
          <w:b w:val="0"/>
          <w:bCs w:val="0"/>
          <w:color w:val="auto"/>
          <w:spacing w:val="0"/>
          <w:w w:val="100"/>
          <w:kern w:val="21"/>
          <w:sz w:val="32"/>
          <w:szCs w:val="32"/>
          <w:highlight w:val="none"/>
          <w:u w:val="none"/>
          <w:lang w:val="en-US" w:eastAsia="zh-CN" w:bidi="ar-SA"/>
        </w:rPr>
      </w:pPr>
      <w:r>
        <w:rPr>
          <w:rFonts w:hint="eastAsia" w:ascii="楷体_GB2312" w:hAnsi="楷体_GB2312" w:eastAsia="楷体_GB2312" w:cs="楷体_GB2312"/>
          <w:b w:val="0"/>
          <w:bCs w:val="0"/>
          <w:color w:val="auto"/>
          <w:spacing w:val="0"/>
          <w:w w:val="100"/>
          <w:kern w:val="21"/>
          <w:sz w:val="32"/>
          <w:szCs w:val="32"/>
          <w:highlight w:val="none"/>
          <w:u w:val="none"/>
          <w:lang w:val="en-US" w:eastAsia="zh-CN" w:bidi="ar-SA"/>
        </w:rPr>
        <w:t>（一）商贸流通</w:t>
      </w:r>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color w:val="auto"/>
          <w:spacing w:val="0"/>
          <w:w w:val="100"/>
          <w:kern w:val="21"/>
          <w:sz w:val="32"/>
          <w:szCs w:val="32"/>
          <w:highlight w:val="none"/>
          <w:u w:val="none"/>
          <w:lang w:val="en-US" w:eastAsia="zh-CN" w:bidi="ar-SA"/>
        </w:rPr>
        <w:t>支持传统商贸企业数字化改造，推广“线上展厅＋云仓”配送模式，积极发展商贸新业态，积极推进重点企业工贸分离，探索供应链平台建设新路径，提升流通效率。积极发展新型零售业态，重点发展即时零售、社区团购、新零售集合店。聚焦大宗批发项目、供应链总部经济、新电商平台等重点领域，招引一批特色鲜明、竞争力强的商贸流通企业。积极吸引汽车销售企业、手机数码类平台销售企业入驻，增加线下商品消费供给。实施商业设施更新改造工程，对接优质运营商和品牌，拓展时尚化、主题化、智慧化消费场景。积极发展社交电商、直播电商等新业态，建设一批直播电商生态圈，推动构建线上线下商品消费与服务深度融合的消费体系。到2030年，全区社会消费品零售总额达到420亿元。</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default" w:ascii="楷体_GB2312" w:hAnsi="楷体_GB2312" w:eastAsia="楷体_GB2312" w:cs="楷体_GB2312"/>
          <w:b w:val="0"/>
          <w:bCs w:val="0"/>
          <w:color w:val="auto"/>
          <w:spacing w:val="0"/>
          <w:w w:val="100"/>
          <w:kern w:val="21"/>
          <w:sz w:val="32"/>
          <w:szCs w:val="32"/>
          <w:highlight w:val="none"/>
          <w:u w:val="none"/>
          <w:lang w:val="en-US" w:eastAsia="zh-CN" w:bidi="ar-SA"/>
        </w:rPr>
      </w:pPr>
      <w:r>
        <w:rPr>
          <w:rFonts w:hint="eastAsia" w:ascii="楷体_GB2312" w:hAnsi="楷体_GB2312" w:eastAsia="楷体_GB2312" w:cs="楷体_GB2312"/>
          <w:b w:val="0"/>
          <w:bCs w:val="0"/>
          <w:color w:val="auto"/>
          <w:spacing w:val="0"/>
          <w:w w:val="100"/>
          <w:kern w:val="21"/>
          <w:sz w:val="32"/>
          <w:szCs w:val="32"/>
          <w:highlight w:val="none"/>
          <w:u w:val="none"/>
          <w:lang w:val="en-US" w:eastAsia="zh-CN" w:bidi="ar-SA"/>
        </w:rPr>
        <w:t>（二）文体娱乐</w:t>
      </w:r>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color w:val="auto"/>
          <w:sz w:val="32"/>
          <w:szCs w:val="32"/>
          <w:highlight w:val="none"/>
          <w:lang w:val="en-US" w:eastAsia="zh-CN"/>
        </w:rPr>
        <w:t>利用</w:t>
      </w:r>
      <w:r>
        <w:rPr>
          <w:rFonts w:hint="eastAsia" w:ascii="仿宋_GB2312" w:hAnsi="仿宋_GB2312" w:eastAsia="仿宋_GB2312" w:cs="仿宋_GB2312"/>
          <w:color w:val="auto"/>
          <w:sz w:val="32"/>
          <w:szCs w:val="32"/>
          <w:highlight w:val="none"/>
        </w:rPr>
        <w:t>轨道交通8号线开通契机，推进“轨道交通</w:t>
      </w:r>
      <w:r>
        <w:rPr>
          <w:rFonts w:hint="eastAsia" w:ascii="仿宋_GB2312" w:hAnsi="仿宋_GB2312" w:eastAsia="仿宋_GB2312" w:cs="仿宋_GB2312"/>
          <w:color w:val="auto"/>
          <w:spacing w:val="0"/>
          <w:w w:val="100"/>
          <w:kern w:val="21"/>
          <w:sz w:val="32"/>
          <w:szCs w:val="32"/>
          <w:highlight w:val="none"/>
          <w:u w:val="none"/>
          <w:lang w:val="en-US" w:eastAsia="zh-CN" w:bidi="ar-SA"/>
        </w:rPr>
        <w:t>＋</w:t>
      </w:r>
      <w:r>
        <w:rPr>
          <w:rFonts w:hint="eastAsia" w:ascii="仿宋_GB2312" w:hAnsi="仿宋_GB2312" w:eastAsia="仿宋_GB2312" w:cs="仿宋_GB2312"/>
          <w:color w:val="auto"/>
          <w:sz w:val="32"/>
          <w:szCs w:val="32"/>
          <w:highlight w:val="none"/>
        </w:rPr>
        <w:t>文旅”融合，依托明水古城、</w:t>
      </w:r>
      <w:r>
        <w:rPr>
          <w:rFonts w:hint="eastAsia" w:ascii="仿宋_GB2312" w:hAnsi="仿宋_GB2312" w:eastAsia="仿宋_GB2312" w:cs="仿宋_GB2312"/>
          <w:color w:val="auto"/>
          <w:sz w:val="32"/>
          <w:szCs w:val="32"/>
          <w:highlight w:val="none"/>
          <w:lang w:val="en-US" w:eastAsia="zh-CN"/>
        </w:rPr>
        <w:t>济南</w:t>
      </w:r>
      <w:r>
        <w:rPr>
          <w:rFonts w:hint="eastAsia" w:ascii="仿宋_GB2312" w:hAnsi="仿宋_GB2312" w:eastAsia="仿宋_GB2312" w:cs="仿宋_GB2312"/>
          <w:color w:val="auto"/>
          <w:sz w:val="32"/>
          <w:szCs w:val="32"/>
          <w:highlight w:val="none"/>
        </w:rPr>
        <w:t>野生动物世界等优质文旅资源，举办丰富多彩的各类活动，提升游客体验，促进文化旅游消费增长</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推动文化资源与文旅融合发展，加快推进埠村综合休闲度假区、大唐白泉驿</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曹范文旅康养谷</w:t>
      </w:r>
      <w:r>
        <w:rPr>
          <w:rFonts w:hint="eastAsia" w:ascii="仿宋_GB2312" w:hAnsi="仿宋_GB2312" w:eastAsia="仿宋_GB2312" w:cs="仿宋_GB2312"/>
          <w:color w:val="auto"/>
          <w:sz w:val="32"/>
          <w:szCs w:val="32"/>
          <w:highlight w:val="none"/>
        </w:rPr>
        <w:t>等</w:t>
      </w:r>
      <w:r>
        <w:rPr>
          <w:rFonts w:hint="eastAsia" w:ascii="仿宋_GB2312" w:hAnsi="仿宋_GB2312" w:eastAsia="仿宋_GB2312" w:cs="仿宋_GB2312"/>
          <w:color w:val="auto"/>
          <w:sz w:val="32"/>
          <w:szCs w:val="32"/>
          <w:highlight w:val="none"/>
          <w:lang w:val="en-US" w:eastAsia="zh-CN"/>
        </w:rPr>
        <w:t>文旅</w:t>
      </w:r>
      <w:r>
        <w:rPr>
          <w:rFonts w:hint="eastAsia" w:ascii="仿宋_GB2312" w:hAnsi="仿宋_GB2312" w:eastAsia="仿宋_GB2312" w:cs="仿宋_GB2312"/>
          <w:color w:val="auto"/>
          <w:sz w:val="32"/>
          <w:szCs w:val="32"/>
          <w:highlight w:val="none"/>
        </w:rPr>
        <w:t>项目建设</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有效拉动消费</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pacing w:val="0"/>
          <w:w w:val="100"/>
          <w:kern w:val="21"/>
          <w:sz w:val="32"/>
          <w:szCs w:val="32"/>
          <w:highlight w:val="none"/>
          <w:u w:val="none"/>
          <w:lang w:val="en-US" w:eastAsia="zh-CN" w:bidi="ar-SA"/>
        </w:rPr>
        <w:t>加快培育和发展体育产业，推动体育与文化创意、商业地产、食品药品、康养服务等行业融合发展，推动一批体育重点项目落地。到2030年，文体娱乐业规模稳中有进，营业收入达到8亿元以上。</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default" w:ascii="楷体_GB2312" w:hAnsi="楷体_GB2312" w:eastAsia="楷体_GB2312" w:cs="楷体_GB2312"/>
          <w:b w:val="0"/>
          <w:bCs w:val="0"/>
          <w:color w:val="auto"/>
          <w:spacing w:val="0"/>
          <w:w w:val="100"/>
          <w:kern w:val="21"/>
          <w:sz w:val="32"/>
          <w:szCs w:val="32"/>
          <w:highlight w:val="none"/>
          <w:u w:val="none"/>
          <w:lang w:val="en-US" w:eastAsia="zh-CN" w:bidi="ar-SA"/>
        </w:rPr>
      </w:pPr>
      <w:r>
        <w:rPr>
          <w:rFonts w:hint="eastAsia" w:ascii="楷体_GB2312" w:hAnsi="楷体_GB2312" w:eastAsia="楷体_GB2312" w:cs="楷体_GB2312"/>
          <w:b w:val="0"/>
          <w:bCs w:val="0"/>
          <w:color w:val="auto"/>
          <w:spacing w:val="0"/>
          <w:w w:val="100"/>
          <w:kern w:val="21"/>
          <w:sz w:val="32"/>
          <w:szCs w:val="32"/>
          <w:highlight w:val="none"/>
          <w:u w:val="none"/>
          <w:lang w:val="en-US" w:eastAsia="zh-CN" w:bidi="ar-SA"/>
        </w:rPr>
        <w:t>（三）居民服务</w:t>
      </w:r>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color w:val="auto"/>
          <w:spacing w:val="0"/>
          <w:w w:val="100"/>
          <w:kern w:val="21"/>
          <w:sz w:val="32"/>
          <w:szCs w:val="32"/>
          <w:highlight w:val="none"/>
          <w:u w:val="none"/>
          <w:lang w:val="en-US" w:eastAsia="zh-CN" w:bidi="ar-SA"/>
        </w:rPr>
        <w:t>促进生活性服务业高品质、多样化、便利化发展，围绕家政服务、洗染服务、维护修理等细分行业，持续壮大居民服务业规模。推动实施家政服务业提质扩容“领跑者”行动，引导社会资本投资家政服务，建设集保姆月嫂、育婴幼教、养老看护、清洗保洁、家政培训、社区家教等为一体的家政服务基地。依托区内热电资源供应优势，整合辖区各医院、酒店、宾馆、高校等资源，帮助企业扩展业务市场。鼓励有条件的企业品牌化、规范化、规模化发展，支持企业专业化、特色化发展，培育形成具有章丘本地特色的洗染服务品牌。到2030年，居民服务业营业收入达到10亿元以上。</w:t>
      </w:r>
    </w:p>
    <w:p>
      <w:pPr>
        <w:keepNext w:val="0"/>
        <w:keepLines w:val="0"/>
        <w:pageBreakBefore w:val="0"/>
        <w:widowControl w:val="0"/>
        <w:kinsoku/>
        <w:wordWrap/>
        <w:overflowPunct/>
        <w:topLinePunct w:val="0"/>
        <w:autoSpaceDE/>
        <w:autoSpaceDN/>
        <w:bidi w:val="0"/>
        <w:adjustRightInd w:val="0"/>
        <w:snapToGrid w:val="0"/>
        <w:spacing w:before="157" w:beforeLines="50" w:beforeAutospacing="0" w:after="157" w:afterLines="50" w:afterAutospacing="0" w:line="560" w:lineRule="exact"/>
        <w:ind w:left="0" w:leftChars="0" w:firstLine="0" w:firstLineChars="0"/>
        <w:jc w:val="center"/>
        <w:textAlignment w:val="auto"/>
        <w:outlineLvl w:val="1"/>
        <w:rPr>
          <w:rFonts w:hint="eastAsia" w:ascii="文星标宋" w:hAnsi="文星标宋" w:eastAsia="文星标宋" w:cs="文星标宋"/>
          <w:bCs/>
          <w:color w:val="auto"/>
          <w:kern w:val="44"/>
          <w:sz w:val="32"/>
          <w:szCs w:val="48"/>
          <w:highlight w:val="none"/>
          <w:lang w:val="en-US" w:eastAsia="zh-CN" w:bidi="ar"/>
        </w:rPr>
      </w:pPr>
      <w:bookmarkStart w:id="30" w:name="_Toc31076"/>
      <w:r>
        <w:rPr>
          <w:rFonts w:hint="eastAsia" w:ascii="文星标宋" w:hAnsi="文星标宋" w:eastAsia="文星标宋" w:cs="文星标宋"/>
          <w:bCs/>
          <w:color w:val="auto"/>
          <w:kern w:val="44"/>
          <w:sz w:val="32"/>
          <w:szCs w:val="48"/>
          <w:highlight w:val="none"/>
          <w:lang w:val="en-US" w:eastAsia="zh-CN" w:bidi="ar"/>
        </w:rPr>
        <w:t>第三节  提升明水经济技术开发区发展能级</w:t>
      </w:r>
      <w:bookmarkEnd w:id="30"/>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b w:val="0"/>
          <w:bCs w:val="0"/>
          <w:color w:val="auto"/>
          <w:spacing w:val="0"/>
          <w:sz w:val="32"/>
          <w:szCs w:val="32"/>
          <w:highlight w:val="none"/>
          <w:shd w:val="clear" w:color="auto" w:fill="auto"/>
          <w:lang w:val="en-US" w:eastAsia="zh-CN"/>
        </w:rPr>
        <w:t>坚持“开发区就是章丘区、章丘区就是开发区”发展理念，举全区之力办好开发区。</w:t>
      </w:r>
      <w:r>
        <w:rPr>
          <w:rFonts w:hint="eastAsia" w:ascii="仿宋_GB2312" w:hAnsi="仿宋_GB2312" w:eastAsia="仿宋_GB2312" w:cs="仿宋_GB2312"/>
          <w:color w:val="auto"/>
          <w:spacing w:val="0"/>
          <w:w w:val="100"/>
          <w:kern w:val="21"/>
          <w:sz w:val="32"/>
          <w:szCs w:val="32"/>
          <w:highlight w:val="none"/>
          <w:u w:val="none"/>
          <w:lang w:val="en-US" w:eastAsia="zh-CN" w:bidi="ar-SA"/>
        </w:rPr>
        <w:t>聚焦主导产业、扩大竞争优势，发挥开发区在经济建设、改革开放、科技创新中的引领作用，加快发展新质生产力，着力提高园区综合承载能力。</w:t>
      </w:r>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2"/>
        <w:rPr>
          <w:rFonts w:hint="eastAsia" w:ascii="黑体" w:hAnsi="黑体" w:eastAsia="黑体" w:cs="黑体"/>
          <w:color w:val="auto"/>
          <w:spacing w:val="0"/>
          <w:w w:val="100"/>
          <w:kern w:val="21"/>
          <w:sz w:val="32"/>
          <w:szCs w:val="32"/>
          <w:highlight w:val="none"/>
          <w:lang w:val="en-US" w:eastAsia="zh-CN" w:bidi="ar-SA"/>
        </w:rPr>
      </w:pPr>
      <w:r>
        <w:rPr>
          <w:rFonts w:hint="eastAsia" w:ascii="黑体" w:hAnsi="黑体" w:eastAsia="黑体" w:cs="黑体"/>
          <w:color w:val="auto"/>
          <w:spacing w:val="0"/>
          <w:w w:val="100"/>
          <w:kern w:val="21"/>
          <w:sz w:val="32"/>
          <w:szCs w:val="32"/>
          <w:highlight w:val="none"/>
          <w:lang w:val="en-US" w:eastAsia="zh-CN" w:bidi="ar-SA"/>
        </w:rPr>
        <w:t>一、深化体制机制改革</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default" w:ascii="楷体_GB2312" w:hAnsi="楷体_GB2312" w:eastAsia="仿宋_GB2312" w:cs="楷体_GB2312"/>
          <w:color w:val="auto"/>
          <w:spacing w:val="0"/>
          <w:w w:val="100"/>
          <w:kern w:val="21"/>
          <w:sz w:val="32"/>
          <w:szCs w:val="32"/>
          <w:highlight w:val="none"/>
          <w:lang w:val="en-US" w:eastAsia="zh-CN" w:bidi="ar-SA"/>
        </w:rPr>
      </w:pPr>
      <w:r>
        <w:rPr>
          <w:rFonts w:hint="eastAsia" w:ascii="仿宋_GB2312" w:hAnsi="仿宋_GB2312" w:eastAsia="仿宋_GB2312" w:cs="仿宋_GB2312"/>
          <w:b w:val="0"/>
          <w:bCs w:val="0"/>
          <w:color w:val="auto"/>
          <w:spacing w:val="0"/>
          <w:sz w:val="32"/>
          <w:szCs w:val="32"/>
          <w:highlight w:val="none"/>
          <w:shd w:val="clear" w:color="auto" w:fill="auto"/>
          <w:lang w:val="en-US" w:eastAsia="zh-CN"/>
        </w:rPr>
        <w:t>全面落实国家、省、市制定的开发区管理方面的法规规章，规范实施权责范围内经济社会管理权。健全开发区能进能出、能上能下的选人用人机制，健全完善编制分类管理、人员统筹使用，依法依规创新薪酬制度。依法行使国家、省市下放的涉及经济管理的审批权限。根据开发区职责清单和承担事权，动态调整财政管理体制</w:t>
      </w:r>
      <w:r>
        <w:rPr>
          <w:rFonts w:hint="eastAsia" w:ascii="仿宋_GB2312" w:hAnsi="仿宋_GB2312" w:eastAsia="仿宋_GB2312" w:cs="仿宋_GB2312"/>
          <w:b w:val="0"/>
          <w:bCs w:val="0"/>
          <w:color w:val="auto"/>
          <w:spacing w:val="0"/>
          <w:sz w:val="32"/>
          <w:szCs w:val="32"/>
          <w:highlight w:val="none"/>
          <w:shd w:val="clear" w:color="auto" w:fill="auto"/>
        </w:rPr>
        <w:t>。</w:t>
      </w:r>
      <w:r>
        <w:rPr>
          <w:rFonts w:hint="eastAsia" w:ascii="仿宋_GB2312" w:hAnsi="仿宋_GB2312" w:eastAsia="仿宋_GB2312" w:cs="仿宋_GB2312"/>
          <w:b w:val="0"/>
          <w:bCs w:val="0"/>
          <w:color w:val="auto"/>
          <w:spacing w:val="0"/>
          <w:sz w:val="32"/>
          <w:szCs w:val="32"/>
          <w:highlight w:val="none"/>
          <w:shd w:val="clear" w:color="auto" w:fill="auto"/>
          <w:lang w:val="en-US" w:eastAsia="zh-CN"/>
        </w:rPr>
        <w:t>推进政务服务事项省内通办、“跨省通办”，探索推进惠企政策“免申即享”。推动智慧监管，优化信用监管，积极推进“综合监管一件事”“综合查一次”等改革。</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2"/>
        <w:rPr>
          <w:rFonts w:hint="default" w:ascii="黑体" w:hAnsi="黑体" w:eastAsia="黑体" w:cs="黑体"/>
          <w:color w:val="auto"/>
          <w:spacing w:val="0"/>
          <w:w w:val="100"/>
          <w:kern w:val="21"/>
          <w:sz w:val="32"/>
          <w:szCs w:val="32"/>
          <w:highlight w:val="none"/>
          <w:lang w:val="en-US" w:eastAsia="zh-CN" w:bidi="ar-SA"/>
        </w:rPr>
      </w:pPr>
      <w:r>
        <w:rPr>
          <w:rFonts w:hint="eastAsia" w:ascii="黑体" w:hAnsi="黑体" w:eastAsia="黑体" w:cs="黑体"/>
          <w:color w:val="auto"/>
          <w:spacing w:val="0"/>
          <w:w w:val="100"/>
          <w:kern w:val="21"/>
          <w:sz w:val="32"/>
          <w:szCs w:val="32"/>
          <w:highlight w:val="none"/>
          <w:lang w:val="en-US" w:eastAsia="zh-CN" w:bidi="ar-SA"/>
        </w:rPr>
        <w:t>二、提升优势产业发展能级</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eastAsia" w:ascii="楷体_GB2312" w:hAnsi="楷体_GB2312" w:eastAsia="楷体_GB2312" w:cs="楷体_GB2312"/>
          <w:color w:val="auto"/>
          <w:spacing w:val="0"/>
          <w:w w:val="100"/>
          <w:kern w:val="21"/>
          <w:sz w:val="32"/>
          <w:szCs w:val="32"/>
          <w:highlight w:val="none"/>
          <w:lang w:val="en-US" w:eastAsia="zh-CN" w:bidi="ar-SA"/>
        </w:rPr>
      </w:pPr>
      <w:r>
        <w:rPr>
          <w:rFonts w:hint="eastAsia" w:ascii="仿宋_GB2312" w:hAnsi="仿宋_GB2312" w:eastAsia="仿宋_GB2312" w:cs="仿宋_GB2312"/>
          <w:b w:val="0"/>
          <w:bCs w:val="0"/>
          <w:color w:val="auto"/>
          <w:spacing w:val="0"/>
          <w:kern w:val="2"/>
          <w:sz w:val="32"/>
          <w:szCs w:val="32"/>
          <w:highlight w:val="none"/>
          <w:shd w:val="clear" w:color="auto" w:fill="auto"/>
          <w:lang w:val="en-US" w:eastAsia="zh-CN" w:bidi="ar-SA"/>
        </w:rPr>
        <w:t>开发区坚持以先进制造业为主体、高端生产性服务业为配套的功能定位，</w:t>
      </w:r>
      <w:r>
        <w:rPr>
          <w:rFonts w:hint="eastAsia" w:ascii="仿宋_GB2312" w:hAnsi="仿宋_GB2312" w:eastAsia="仿宋_GB2312" w:cs="仿宋_GB2312"/>
          <w:b w:val="0"/>
          <w:bCs w:val="0"/>
          <w:color w:val="auto"/>
          <w:spacing w:val="0"/>
          <w:sz w:val="32"/>
          <w:szCs w:val="32"/>
          <w:highlight w:val="none"/>
          <w:shd w:val="clear" w:color="auto" w:fill="auto"/>
          <w:lang w:val="en-US" w:eastAsia="zh-CN"/>
        </w:rPr>
        <w:t>全面加强本土企业服务，加大招大引强力度，完善产业链条，提升</w:t>
      </w:r>
      <w:r>
        <w:rPr>
          <w:rFonts w:hint="eastAsia" w:ascii="仿宋_GB2312" w:hAnsi="仿宋_GB2312" w:eastAsia="仿宋_GB2312" w:cs="仿宋_GB2312"/>
          <w:b w:val="0"/>
          <w:bCs w:val="0"/>
          <w:color w:val="auto"/>
          <w:spacing w:val="0"/>
          <w:sz w:val="32"/>
          <w:szCs w:val="32"/>
          <w:highlight w:val="none"/>
          <w:shd w:val="clear" w:color="auto" w:fill="auto"/>
        </w:rPr>
        <w:t>本地化配套率，积极争创省级及以上产业集群</w:t>
      </w:r>
      <w:r>
        <w:rPr>
          <w:rFonts w:hint="eastAsia" w:ascii="仿宋_GB2312" w:hAnsi="仿宋_GB2312" w:eastAsia="仿宋_GB2312" w:cs="仿宋_GB2312"/>
          <w:b w:val="0"/>
          <w:bCs w:val="0"/>
          <w:color w:val="auto"/>
          <w:spacing w:val="0"/>
          <w:kern w:val="2"/>
          <w:sz w:val="32"/>
          <w:szCs w:val="32"/>
          <w:highlight w:val="none"/>
          <w:shd w:val="clear" w:color="auto" w:fill="auto"/>
          <w:lang w:val="en-US" w:eastAsia="zh-CN" w:bidi="ar-SA"/>
        </w:rPr>
        <w:t>。推动创新链、产业链、资金链、人才链深度融合，培育一批专精特新中小企业、制造业单项冠军企业、科技型企业，鼓励行业领军企业吸引上下游企业集聚，构建产业集群、要素集约、技术集成、服务集中的产业生态体系。坚持内外资并重，推动科技含量高、投资强度高、产业效益高、产业关联度高、具有自主知识产权的项目进入开发区。加大对高新技术产业、战略性新兴产业、资源禀赋优势产业、绿色高端产业招商引资的支持力度，完善项目跟踪服务机制。积极争取“6＋N”政府引导基金群、AIC股权投资基金对链主企业培育、重大项目招引等的定向支持力度。</w:t>
      </w:r>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2"/>
        <w:rPr>
          <w:rFonts w:hint="eastAsia" w:ascii="黑体" w:hAnsi="黑体" w:eastAsia="黑体" w:cs="黑体"/>
          <w:color w:val="auto"/>
          <w:spacing w:val="0"/>
          <w:w w:val="100"/>
          <w:kern w:val="21"/>
          <w:sz w:val="32"/>
          <w:szCs w:val="32"/>
          <w:highlight w:val="none"/>
          <w:lang w:val="en-US" w:eastAsia="zh-CN" w:bidi="ar-SA"/>
        </w:rPr>
      </w:pPr>
      <w:r>
        <w:rPr>
          <w:rFonts w:hint="eastAsia" w:ascii="黑体" w:hAnsi="黑体" w:eastAsia="黑体" w:cs="黑体"/>
          <w:color w:val="auto"/>
          <w:spacing w:val="0"/>
          <w:w w:val="100"/>
          <w:kern w:val="21"/>
          <w:sz w:val="32"/>
          <w:szCs w:val="32"/>
          <w:highlight w:val="none"/>
          <w:lang w:val="en-US" w:eastAsia="zh-CN" w:bidi="ar-SA"/>
        </w:rPr>
        <w:t>三、增强园区综合承载能力</w:t>
      </w:r>
    </w:p>
    <w:p>
      <w:pPr>
        <w:keepNext w:val="0"/>
        <w:keepLines w:val="0"/>
        <w:pageBreakBefore w:val="0"/>
        <w:widowControl w:val="0"/>
        <w:numPr>
          <w:ilvl w:val="0"/>
          <w:numId w:val="0"/>
        </w:numPr>
        <w:kinsoku/>
        <w:wordWrap/>
        <w:topLinePunct w:val="0"/>
        <w:bidi w:val="0"/>
        <w:adjustRightInd w:val="0"/>
        <w:snapToGrid w:val="0"/>
        <w:spacing w:before="0" w:beforeAutospacing="0" w:after="0" w:afterAutospacing="0" w:line="560" w:lineRule="exact"/>
        <w:ind w:left="0" w:leftChars="0" w:firstLine="640" w:firstLineChars="200"/>
        <w:jc w:val="both"/>
        <w:textAlignment w:val="auto"/>
        <w:outlineLvl w:val="9"/>
        <w:rPr>
          <w:rFonts w:hint="eastAsia" w:ascii="仿宋_GB2312" w:hAnsi="仿宋_GB2312" w:eastAsia="仿宋_GB2312" w:cs="仿宋_GB2312"/>
          <w:b w:val="0"/>
          <w:bCs w:val="0"/>
          <w:color w:val="auto"/>
          <w:spacing w:val="0"/>
          <w:sz w:val="32"/>
          <w:szCs w:val="32"/>
          <w:highlight w:val="none"/>
          <w:shd w:val="clear" w:color="auto" w:fill="auto"/>
          <w:lang w:val="en-US" w:eastAsia="zh-CN"/>
        </w:rPr>
      </w:pPr>
      <w:r>
        <w:rPr>
          <w:rFonts w:hint="eastAsia" w:ascii="仿宋_GB2312" w:hAnsi="仿宋_GB2312" w:eastAsia="仿宋_GB2312" w:cs="仿宋_GB2312"/>
          <w:b w:val="0"/>
          <w:bCs w:val="0"/>
          <w:color w:val="auto"/>
          <w:spacing w:val="0"/>
          <w:sz w:val="32"/>
          <w:szCs w:val="32"/>
          <w:highlight w:val="none"/>
          <w:shd w:val="clear" w:color="auto" w:fill="auto"/>
          <w:lang w:val="en-US" w:eastAsia="zh-CN"/>
        </w:rPr>
        <w:t>立足开发区发展需求，着力提升能源、交通、供排水等基础设施建设水平，加快推进新型基础设施建设，推动大数据、人工智能、物联网等新一代信息技术在开发区实现融合应用。实施济南刁镇化工园区基础设施提升项目，聚力补齐园区道路、水电、信息化平台等短板，推动园区持续扩容升级。坚持“要素跟着项目走”，推动人、地、财等关键要素向开发区汇聚，新增工业项目推行“标准地”供应，综合采用政府收储改造、市场主体改造等模式推进低效用地盘活利用，对急需的高层次人才、高技能领军人才、特殊人才实行特职特聘、特岗特薪。强化住房、医疗、教育优质公共服务资源配套，提升产业和人口集聚能力。</w:t>
      </w:r>
    </w:p>
    <w:bookmarkEnd w:id="28"/>
    <w:p>
      <w:pPr>
        <w:keepNext w:val="0"/>
        <w:keepLines w:val="0"/>
        <w:pageBreakBefore w:val="0"/>
        <w:widowControl w:val="0"/>
        <w:kinsoku/>
        <w:wordWrap/>
        <w:overflowPunct/>
        <w:topLinePunct w:val="0"/>
        <w:autoSpaceDE/>
        <w:autoSpaceDN/>
        <w:bidi w:val="0"/>
        <w:adjustRightInd w:val="0"/>
        <w:snapToGrid w:val="0"/>
        <w:spacing w:before="157" w:beforeLines="50" w:beforeAutospacing="0" w:after="157" w:afterLines="50" w:afterAutospacing="0" w:line="560" w:lineRule="exact"/>
        <w:ind w:left="0" w:leftChars="0" w:firstLine="0" w:firstLineChars="0"/>
        <w:jc w:val="center"/>
        <w:textAlignment w:val="auto"/>
        <w:outlineLvl w:val="1"/>
        <w:rPr>
          <w:rFonts w:hint="eastAsia" w:ascii="文星标宋" w:hAnsi="文星标宋" w:eastAsia="文星标宋" w:cs="文星标宋"/>
          <w:bCs/>
          <w:color w:val="auto"/>
          <w:kern w:val="44"/>
          <w:sz w:val="32"/>
          <w:szCs w:val="48"/>
          <w:highlight w:val="none"/>
          <w:lang w:val="en-US" w:eastAsia="zh-CN" w:bidi="ar"/>
        </w:rPr>
      </w:pPr>
      <w:bookmarkStart w:id="31" w:name="_Toc27498"/>
      <w:r>
        <w:rPr>
          <w:rFonts w:hint="eastAsia" w:ascii="文星标宋" w:hAnsi="文星标宋" w:eastAsia="文星标宋" w:cs="文星标宋"/>
          <w:bCs/>
          <w:color w:val="auto"/>
          <w:kern w:val="44"/>
          <w:sz w:val="32"/>
          <w:szCs w:val="48"/>
          <w:highlight w:val="none"/>
          <w:lang w:val="en-US" w:eastAsia="zh-CN" w:bidi="ar"/>
        </w:rPr>
        <w:t xml:space="preserve">第四节  </w:t>
      </w:r>
      <w:r>
        <w:rPr>
          <w:rFonts w:hint="eastAsia" w:ascii="文星标宋" w:hAnsi="文星标宋" w:eastAsia="文星标宋" w:cs="文星标宋"/>
          <w:b w:val="0"/>
          <w:bCs w:val="0"/>
          <w:color w:val="auto"/>
          <w:sz w:val="32"/>
          <w:szCs w:val="40"/>
          <w:highlight w:val="none"/>
          <w:lang w:val="en-US" w:eastAsia="zh-CN"/>
        </w:rPr>
        <w:t>构筑产业发展良好生态</w:t>
      </w:r>
      <w:bookmarkEnd w:id="31"/>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color w:val="auto"/>
          <w:spacing w:val="0"/>
          <w:w w:val="100"/>
          <w:kern w:val="21"/>
          <w:sz w:val="32"/>
          <w:szCs w:val="32"/>
          <w:highlight w:val="none"/>
          <w:u w:val="none"/>
          <w:lang w:val="en-US" w:eastAsia="zh-CN" w:bidi="ar-SA"/>
        </w:rPr>
        <w:t>综合考虑章丘区资源禀赋、产业基础、环境容量等因素，推动产城深度融合，促进区域联动发展，加快产业向高端化、集群化、智能化发展，提升产业链供应链稳定性和竞争力。</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560" w:lineRule="exact"/>
        <w:ind w:left="0" w:leftChars="0" w:firstLine="640" w:firstLineChars="200"/>
        <w:jc w:val="both"/>
        <w:textAlignment w:val="auto"/>
        <w:outlineLvl w:val="2"/>
        <w:rPr>
          <w:rFonts w:hint="eastAsia" w:ascii="黑体" w:hAnsi="黑体" w:eastAsia="黑体" w:cs="黑体"/>
          <w:bCs/>
          <w:color w:val="auto"/>
          <w:kern w:val="44"/>
          <w:sz w:val="32"/>
          <w:szCs w:val="48"/>
          <w:highlight w:val="none"/>
          <w:lang w:val="en-US" w:eastAsia="zh-CN" w:bidi="ar"/>
        </w:rPr>
      </w:pPr>
      <w:r>
        <w:rPr>
          <w:rFonts w:hint="eastAsia" w:ascii="黑体" w:hAnsi="黑体" w:eastAsia="黑体" w:cs="黑体"/>
          <w:bCs/>
          <w:color w:val="auto"/>
          <w:kern w:val="44"/>
          <w:sz w:val="32"/>
          <w:szCs w:val="48"/>
          <w:highlight w:val="none"/>
          <w:lang w:val="en-US" w:eastAsia="zh-CN" w:bidi="ar"/>
        </w:rPr>
        <w:t>一、优化产业空间布局</w:t>
      </w:r>
    </w:p>
    <w:p>
      <w:pPr>
        <w:keepNext w:val="0"/>
        <w:keepLines w:val="0"/>
        <w:pageBreakBefore w:val="0"/>
        <w:kinsoku/>
        <w:wordWrap/>
        <w:topLinePunct w:val="0"/>
        <w:bidi w:val="0"/>
        <w:spacing w:line="560" w:lineRule="exact"/>
        <w:ind w:firstLine="640" w:firstLineChars="200"/>
        <w:textAlignment w:val="auto"/>
        <w:rPr>
          <w:rFonts w:hint="eastAsia" w:eastAsiaTheme="minorEastAsia"/>
          <w:highlight w:val="none"/>
          <w:lang w:eastAsia="zh-CN"/>
        </w:rPr>
      </w:pPr>
      <w:r>
        <w:rPr>
          <w:rFonts w:hint="eastAsia" w:ascii="楷体_GB2312" w:hAnsi="楷体_GB2312" w:eastAsia="楷体_GB2312" w:cs="楷体_GB2312"/>
          <w:color w:val="auto"/>
          <w:spacing w:val="0"/>
          <w:w w:val="100"/>
          <w:kern w:val="21"/>
          <w:sz w:val="32"/>
          <w:szCs w:val="32"/>
          <w:highlight w:val="none"/>
          <w:lang w:val="en-US" w:eastAsia="zh-CN" w:bidi="ar-SA"/>
        </w:rPr>
        <w:t>（一）重点</w:t>
      </w:r>
      <w:r>
        <w:rPr>
          <w:rFonts w:hint="eastAsia" w:ascii="楷体_GB2312" w:hAnsi="楷体_GB2312" w:eastAsia="楷体_GB2312" w:cs="楷体_GB2312"/>
          <w:color w:val="auto"/>
          <w:spacing w:val="0"/>
          <w:w w:val="100"/>
          <w:kern w:val="21"/>
          <w:sz w:val="32"/>
          <w:szCs w:val="32"/>
          <w:highlight w:val="none"/>
          <w:u w:val="none"/>
          <w:lang w:val="en-US" w:eastAsia="zh-CN" w:bidi="ar-SA"/>
        </w:rPr>
        <w:t>园区。</w:t>
      </w:r>
      <w:r>
        <w:rPr>
          <w:rFonts w:hint="eastAsia" w:ascii="仿宋_GB2312" w:hAnsi="仿宋_GB2312" w:eastAsia="仿宋_GB2312" w:cs="仿宋_GB2312"/>
          <w:b/>
          <w:bCs/>
          <w:color w:val="auto"/>
          <w:spacing w:val="0"/>
          <w:w w:val="100"/>
          <w:kern w:val="21"/>
          <w:sz w:val="32"/>
          <w:szCs w:val="32"/>
          <w:highlight w:val="none"/>
          <w:u w:val="none"/>
          <w:lang w:val="en-US" w:eastAsia="zh-CN" w:bidi="ar-SA"/>
        </w:rPr>
        <w:t>明水经济技术开发区</w:t>
      </w:r>
      <w:r>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t>聚力发展汽车、先进材料、专用装备三大主导产业，积极培育医药食品及包装特色产业，前瞻布局航空航天未来产业。</w:t>
      </w:r>
      <w:r>
        <w:rPr>
          <w:rFonts w:hint="eastAsia" w:ascii="仿宋_GB2312" w:hAnsi="仿宋_GB2312" w:eastAsia="仿宋_GB2312" w:cs="仿宋_GB2312"/>
          <w:color w:val="auto"/>
          <w:spacing w:val="0"/>
          <w:w w:val="100"/>
          <w:kern w:val="21"/>
          <w:sz w:val="32"/>
          <w:szCs w:val="32"/>
          <w:highlight w:val="none"/>
          <w:u w:val="none"/>
          <w:lang w:val="en-US" w:eastAsia="zh-CN" w:bidi="ar-SA"/>
        </w:rPr>
        <w:t>西片区发挥“西接”作用，对接高新区，强化产业联动发展；东片区聚焦高端装备制造业，与淄博、滨州联动发展。</w:t>
      </w:r>
      <w:r>
        <w:rPr>
          <w:rFonts w:hint="eastAsia" w:ascii="仿宋_GB2312" w:hAnsi="仿宋_GB2312" w:eastAsia="仿宋_GB2312" w:cs="仿宋_GB2312"/>
          <w:b/>
          <w:bCs/>
          <w:color w:val="auto"/>
          <w:spacing w:val="0"/>
          <w:w w:val="100"/>
          <w:kern w:val="21"/>
          <w:sz w:val="32"/>
          <w:szCs w:val="32"/>
          <w:highlight w:val="none"/>
          <w:u w:val="none"/>
          <w:lang w:val="en-US" w:eastAsia="zh-CN" w:bidi="ar-SA"/>
        </w:rPr>
        <w:t>济南刁镇化工产业园</w:t>
      </w:r>
      <w:r>
        <w:rPr>
          <w:rFonts w:hint="eastAsia" w:ascii="仿宋_GB2312" w:hAnsi="仿宋_GB2312" w:eastAsia="仿宋_GB2312" w:cs="仿宋_GB2312"/>
          <w:color w:val="auto"/>
          <w:spacing w:val="0"/>
          <w:w w:val="100"/>
          <w:kern w:val="21"/>
          <w:sz w:val="32"/>
          <w:szCs w:val="32"/>
          <w:highlight w:val="none"/>
          <w:u w:val="none"/>
          <w:lang w:val="en-US" w:eastAsia="zh-CN" w:bidi="ar-SA"/>
        </w:rPr>
        <w:t>紧扣专业化、规模化、绿色化发展主线，深耕新材料、新能源、电子化学品、高分子材料及精细化工等前沿领域，高起点布局产业项目，全力打造国内化工新材料产业发展的重要集聚区，积极争创国家级绿色园区。</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仿宋_GB2312" w:hAnsi="仿宋_GB2312" w:eastAsia="仿宋_GB2312" w:cs="仿宋_GB2312"/>
          <w:color w:val="auto"/>
          <w:spacing w:val="0"/>
          <w:w w:val="100"/>
          <w:kern w:val="21"/>
          <w:sz w:val="32"/>
          <w:szCs w:val="32"/>
          <w:highlight w:val="none"/>
          <w:u w:val="none"/>
          <w:lang w:val="en-US" w:eastAsia="zh-CN" w:bidi="ar-SA"/>
        </w:rPr>
      </w:pPr>
      <w:r>
        <w:rPr>
          <w:rFonts w:hint="eastAsia" w:ascii="楷体_GB2312" w:hAnsi="楷体_GB2312" w:eastAsia="楷体_GB2312" w:cs="楷体_GB2312"/>
          <w:color w:val="auto"/>
          <w:spacing w:val="0"/>
          <w:w w:val="100"/>
          <w:kern w:val="21"/>
          <w:sz w:val="32"/>
          <w:szCs w:val="32"/>
          <w:highlight w:val="none"/>
          <w:lang w:val="en-US" w:eastAsia="zh-CN" w:bidi="ar-SA"/>
        </w:rPr>
        <w:t>（二）重点载体。</w:t>
      </w:r>
      <w:r>
        <w:rPr>
          <w:rFonts w:hint="eastAsia" w:ascii="仿宋_GB2312" w:hAnsi="仿宋_GB2312" w:eastAsia="仿宋_GB2312" w:cs="仿宋_GB2312"/>
          <w:b/>
          <w:bCs/>
          <w:color w:val="auto"/>
          <w:spacing w:val="0"/>
          <w:w w:val="100"/>
          <w:kern w:val="21"/>
          <w:sz w:val="32"/>
          <w:szCs w:val="32"/>
          <w:highlight w:val="none"/>
          <w:u w:val="none"/>
          <w:lang w:val="en-US" w:eastAsia="zh-CN" w:bidi="ar-SA"/>
        </w:rPr>
        <w:t>经十东路科创走廊</w:t>
      </w:r>
      <w:r>
        <w:rPr>
          <w:rFonts w:hint="eastAsia" w:ascii="仿宋_GB2312" w:hAnsi="仿宋_GB2312" w:eastAsia="仿宋_GB2312" w:cs="仿宋_GB2312"/>
          <w:color w:val="auto"/>
          <w:spacing w:val="0"/>
          <w:w w:val="100"/>
          <w:kern w:val="21"/>
          <w:sz w:val="32"/>
          <w:szCs w:val="32"/>
          <w:highlight w:val="none"/>
          <w:u w:val="none"/>
          <w:lang w:val="en-US" w:eastAsia="zh-CN" w:bidi="ar-SA"/>
        </w:rPr>
        <w:t>重点发展高端装备制造、生物医药、新材料、航空航天和低空经济、电子信息等新兴产业，大力发展总部经济、楼宇经济、高端商务和科技金融等现代服务业，提升产业发展能级，打造全省科技创新高地。</w:t>
      </w:r>
      <w:r>
        <w:rPr>
          <w:rFonts w:hint="eastAsia" w:ascii="仿宋_GB2312" w:hAnsi="仿宋_GB2312" w:eastAsia="仿宋_GB2312" w:cs="仿宋_GB2312"/>
          <w:b/>
          <w:bCs/>
          <w:color w:val="auto"/>
          <w:spacing w:val="0"/>
          <w:w w:val="100"/>
          <w:kern w:val="21"/>
          <w:sz w:val="32"/>
          <w:szCs w:val="32"/>
          <w:highlight w:val="none"/>
          <w:u w:val="none"/>
          <w:lang w:val="en-US" w:eastAsia="zh-CN" w:bidi="ar-SA"/>
        </w:rPr>
        <w:t>世纪大道智造走廊</w:t>
      </w:r>
      <w:r>
        <w:rPr>
          <w:rFonts w:hint="eastAsia" w:ascii="仿宋_GB2312" w:hAnsi="仿宋_GB2312" w:eastAsia="仿宋_GB2312" w:cs="仿宋_GB2312"/>
          <w:color w:val="auto"/>
          <w:spacing w:val="0"/>
          <w:w w:val="100"/>
          <w:kern w:val="21"/>
          <w:sz w:val="32"/>
          <w:szCs w:val="32"/>
          <w:highlight w:val="none"/>
          <w:u w:val="none"/>
          <w:lang w:val="en-US" w:eastAsia="zh-CN" w:bidi="ar-SA"/>
        </w:rPr>
        <w:t>重点发展汽车及零部件、高端装备制造产业，培育发展人工智能、区块链、3D打印、工业设计等产业，打造全省知名创新创业和智能制造高地。</w:t>
      </w:r>
      <w:r>
        <w:rPr>
          <w:rFonts w:hint="eastAsia" w:ascii="仿宋_GB2312" w:hAnsi="仿宋_GB2312" w:eastAsia="仿宋_GB2312" w:cs="仿宋_GB2312"/>
          <w:b/>
          <w:bCs/>
          <w:color w:val="auto"/>
          <w:spacing w:val="0"/>
          <w:w w:val="100"/>
          <w:kern w:val="21"/>
          <w:sz w:val="32"/>
          <w:szCs w:val="32"/>
          <w:highlight w:val="none"/>
          <w:u w:val="none"/>
          <w:lang w:val="en-US" w:eastAsia="zh-CN" w:bidi="ar-SA"/>
        </w:rPr>
        <w:t>北部新动能发展走廊</w:t>
      </w:r>
      <w:r>
        <w:rPr>
          <w:rFonts w:hint="eastAsia" w:ascii="仿宋_GB2312" w:hAnsi="仿宋_GB2312" w:eastAsia="仿宋_GB2312" w:cs="仿宋_GB2312"/>
          <w:color w:val="auto"/>
          <w:spacing w:val="0"/>
          <w:w w:val="100"/>
          <w:kern w:val="21"/>
          <w:sz w:val="32"/>
          <w:szCs w:val="32"/>
          <w:highlight w:val="none"/>
          <w:u w:val="none"/>
          <w:lang w:val="en-US" w:eastAsia="zh-CN" w:bidi="ar-SA"/>
        </w:rPr>
        <w:t>紧抓济南新旧动能转换起步区建设契机，以新材料产业为特色，串联起步区城市副中心、小清河章丘港、济南刁镇化工产业园，重点布局新材料、临空经济、临港经济、生态环保等产业，形成区域联动的创新合力。</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color w:val="auto"/>
          <w:spacing w:val="0"/>
          <w:w w:val="100"/>
          <w:kern w:val="21"/>
          <w:sz w:val="32"/>
          <w:szCs w:val="32"/>
          <w:highlight w:val="none"/>
          <w:lang w:val="en-US" w:eastAsia="zh-CN" w:bidi="ar-SA"/>
        </w:rPr>
        <w:t>（三）</w:t>
      </w:r>
      <w:r>
        <w:rPr>
          <w:rFonts w:hint="eastAsia" w:ascii="仿宋_GB2312" w:hAnsi="仿宋_GB2312" w:eastAsia="仿宋_GB2312" w:cs="仿宋_GB2312"/>
          <w:color w:val="auto"/>
          <w:spacing w:val="0"/>
          <w:w w:val="100"/>
          <w:kern w:val="21"/>
          <w:sz w:val="32"/>
          <w:szCs w:val="32"/>
          <w:highlight w:val="none"/>
          <w:u w:val="none"/>
          <w:lang w:val="en-US" w:eastAsia="zh-CN" w:bidi="ar-SA"/>
        </w:rPr>
        <w:t>以全区各类合规特色园区和产业集聚区为主体，兼顾各街道（镇）产业园区发展实际，按照相关产业政策要求，加大扶持力度，形成“产业特色鲜明、多点差异发展”的产业空间布局。</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852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suppressLineNumbers w:val="0"/>
              <w:kinsoku/>
              <w:wordWrap/>
              <w:overflowPunct w:val="0"/>
              <w:topLinePunct w:val="0"/>
              <w:autoSpaceDE w:val="0"/>
              <w:autoSpaceDN w:val="0"/>
              <w:bidi w:val="0"/>
              <w:adjustRightInd/>
              <w:snapToGrid w:val="0"/>
              <w:spacing w:before="0" w:beforeAutospacing="0" w:after="0" w:afterLines="0" w:afterAutospacing="0" w:line="560" w:lineRule="exact"/>
              <w:ind w:left="0" w:leftChars="0" w:right="0" w:firstLine="0" w:firstLineChars="0"/>
              <w:jc w:val="center"/>
              <w:textAlignment w:val="auto"/>
              <w:rPr>
                <w:rFonts w:hint="eastAsia" w:ascii="楷体_GB2312" w:hAnsi="楷体_GB2312" w:eastAsia="楷体_GB2312" w:cs="楷体_GB2312"/>
                <w:b w:val="0"/>
                <w:bCs w:val="0"/>
                <w:color w:val="auto"/>
                <w:kern w:val="2"/>
                <w:sz w:val="28"/>
                <w:szCs w:val="28"/>
                <w:highlight w:val="none"/>
                <w:u w:val="none"/>
                <w:lang w:val="en-US" w:eastAsia="zh-CN" w:bidi="ar"/>
              </w:rPr>
            </w:pPr>
            <w:r>
              <w:rPr>
                <w:rFonts w:hint="eastAsia" w:ascii="楷体_GB2312" w:hAnsi="楷体_GB2312" w:eastAsia="楷体_GB2312" w:cs="楷体_GB2312"/>
                <w:b w:val="0"/>
                <w:bCs w:val="0"/>
                <w:color w:val="auto"/>
                <w:kern w:val="2"/>
                <w:sz w:val="28"/>
                <w:szCs w:val="28"/>
                <w:highlight w:val="none"/>
                <w:u w:val="none"/>
                <w:lang w:val="en-US" w:eastAsia="zh-CN" w:bidi="ar"/>
              </w:rPr>
              <w:t>专栏5  特色工业园区布局</w:t>
            </w:r>
          </w:p>
          <w:p>
            <w:pPr>
              <w:keepNext w:val="0"/>
              <w:keepLines w:val="0"/>
              <w:pageBreakBefore w:val="0"/>
              <w:widowControl w:val="0"/>
              <w:numPr>
                <w:ilvl w:val="0"/>
                <w:numId w:val="0"/>
              </w:numPr>
              <w:suppressLineNumbers w:val="0"/>
              <w:kinsoku/>
              <w:wordWrap/>
              <w:overflowPunct w:val="0"/>
              <w:topLinePunct w:val="0"/>
              <w:autoSpaceDE w:val="0"/>
              <w:autoSpaceDN w:val="0"/>
              <w:bidi w:val="0"/>
              <w:adjustRightInd/>
              <w:snapToGrid w:val="0"/>
              <w:spacing w:before="0" w:beforeAutospacing="0" w:after="0" w:afterLines="0" w:afterAutospacing="0" w:line="560" w:lineRule="exact"/>
              <w:ind w:left="0" w:right="0" w:firstLine="560" w:firstLineChars="200"/>
              <w:textAlignment w:val="auto"/>
              <w:rPr>
                <w:rFonts w:hint="eastAsia" w:ascii="楷体_GB2312" w:hAnsi="楷体_GB2312" w:eastAsia="楷体_GB2312" w:cs="楷体_GB2312"/>
                <w:b w:val="0"/>
                <w:bCs w:val="0"/>
                <w:color w:val="auto"/>
                <w:kern w:val="2"/>
                <w:sz w:val="28"/>
                <w:szCs w:val="28"/>
                <w:highlight w:val="none"/>
                <w:u w:val="none"/>
                <w:lang w:val="en-US" w:eastAsia="zh-CN" w:bidi="ar"/>
              </w:rPr>
            </w:pPr>
            <w:r>
              <w:rPr>
                <w:rFonts w:hint="eastAsia" w:ascii="楷体_GB2312" w:hAnsi="楷体_GB2312" w:eastAsia="楷体_GB2312" w:cs="楷体_GB2312"/>
                <w:b w:val="0"/>
                <w:bCs w:val="0"/>
                <w:color w:val="auto"/>
                <w:kern w:val="2"/>
                <w:sz w:val="28"/>
                <w:szCs w:val="28"/>
                <w:highlight w:val="none"/>
                <w:u w:val="none"/>
                <w:lang w:val="en-US" w:eastAsia="zh-CN" w:bidi="ar"/>
              </w:rPr>
              <w:t>1.经十东路科创走廊：（1）济南高层次人才创新创业基地；（2）龙山数字经济产业园；（3）山大地纬产业园；（4）蓝海领航大数据产业园；（5）齐鲁物联网产业园；（6）中白新材料产业园；（7）中国晶谷产业园；（8）山东健康智城科创园；（9）空天信息产业园。</w:t>
            </w:r>
          </w:p>
          <w:p>
            <w:pPr>
              <w:keepNext w:val="0"/>
              <w:keepLines w:val="0"/>
              <w:pageBreakBefore w:val="0"/>
              <w:widowControl w:val="0"/>
              <w:numPr>
                <w:ilvl w:val="0"/>
                <w:numId w:val="0"/>
              </w:numPr>
              <w:suppressLineNumbers w:val="0"/>
              <w:kinsoku/>
              <w:wordWrap/>
              <w:overflowPunct w:val="0"/>
              <w:topLinePunct w:val="0"/>
              <w:autoSpaceDE w:val="0"/>
              <w:autoSpaceDN w:val="0"/>
              <w:bidi w:val="0"/>
              <w:adjustRightInd/>
              <w:snapToGrid w:val="0"/>
              <w:spacing w:before="0" w:beforeAutospacing="0" w:after="0" w:afterLines="0" w:afterAutospacing="0" w:line="560" w:lineRule="exact"/>
              <w:ind w:left="0" w:right="0" w:firstLine="560" w:firstLineChars="200"/>
              <w:jc w:val="left"/>
              <w:textAlignment w:val="auto"/>
              <w:rPr>
                <w:rFonts w:hint="eastAsia" w:ascii="楷体_GB2312" w:hAnsi="楷体_GB2312" w:eastAsia="楷体_GB2312" w:cs="楷体_GB2312"/>
                <w:b w:val="0"/>
                <w:bCs w:val="0"/>
                <w:color w:val="auto"/>
                <w:kern w:val="2"/>
                <w:sz w:val="28"/>
                <w:szCs w:val="28"/>
                <w:highlight w:val="none"/>
                <w:u w:val="none"/>
                <w:lang w:val="en-US" w:eastAsia="zh-CN" w:bidi="ar"/>
              </w:rPr>
            </w:pPr>
            <w:r>
              <w:rPr>
                <w:rFonts w:hint="eastAsia" w:ascii="楷体_GB2312" w:hAnsi="楷体_GB2312" w:eastAsia="楷体_GB2312" w:cs="楷体_GB2312"/>
                <w:b w:val="0"/>
                <w:bCs w:val="0"/>
                <w:color w:val="auto"/>
                <w:kern w:val="2"/>
                <w:sz w:val="28"/>
                <w:szCs w:val="28"/>
                <w:highlight w:val="none"/>
                <w:u w:val="none"/>
                <w:lang w:val="en-US" w:eastAsia="zh-CN" w:bidi="ar"/>
              </w:rPr>
              <w:t>2.</w:t>
            </w:r>
            <w:r>
              <w:rPr>
                <w:rFonts w:hint="eastAsia" w:ascii="楷体_GB2312" w:hAnsi="楷体_GB2312" w:eastAsia="楷体_GB2312" w:cs="楷体_GB2312"/>
                <w:color w:val="auto"/>
                <w:spacing w:val="0"/>
                <w:w w:val="100"/>
                <w:kern w:val="2"/>
                <w:sz w:val="28"/>
                <w:szCs w:val="28"/>
                <w:highlight w:val="none"/>
                <w:u w:val="none"/>
                <w:lang w:val="en-US" w:eastAsia="zh-CN" w:bidi="ar"/>
              </w:rPr>
              <w:t>世纪大道智造走廊</w:t>
            </w:r>
            <w:r>
              <w:rPr>
                <w:rFonts w:hint="eastAsia" w:ascii="楷体_GB2312" w:hAnsi="楷体_GB2312" w:eastAsia="楷体_GB2312" w:cs="楷体_GB2312"/>
                <w:b w:val="0"/>
                <w:bCs w:val="0"/>
                <w:color w:val="auto"/>
                <w:kern w:val="2"/>
                <w:sz w:val="28"/>
                <w:szCs w:val="28"/>
                <w:highlight w:val="none"/>
                <w:u w:val="none"/>
                <w:lang w:val="en-US" w:eastAsia="zh-CN" w:bidi="ar"/>
              </w:rPr>
              <w:t>：（1）济南（明水）汽车制造产业园；（2）济东智造新城；（3）凤凰山工业园；（4）中意高端前沿产业园；（5）房德科创材料科学城；（6）章丘城东工业园；（7）济南（明水）生命健康产业园；（8）济南青开创新科技产业园；（9）济南产发先进装备智造港；（10）济南能源智造基地；（11）龙山环保科技产业园。</w:t>
            </w:r>
          </w:p>
          <w:p>
            <w:pPr>
              <w:keepNext w:val="0"/>
              <w:keepLines w:val="0"/>
              <w:pageBreakBefore w:val="0"/>
              <w:widowControl w:val="0"/>
              <w:numPr>
                <w:ilvl w:val="0"/>
                <w:numId w:val="0"/>
              </w:numPr>
              <w:suppressLineNumbers w:val="0"/>
              <w:kinsoku/>
              <w:wordWrap/>
              <w:overflowPunct w:val="0"/>
              <w:topLinePunct w:val="0"/>
              <w:autoSpaceDE w:val="0"/>
              <w:autoSpaceDN w:val="0"/>
              <w:bidi w:val="0"/>
              <w:adjustRightInd/>
              <w:snapToGrid w:val="0"/>
              <w:spacing w:before="0" w:beforeAutospacing="0" w:after="0" w:afterLines="0" w:afterAutospacing="0" w:line="560" w:lineRule="exact"/>
              <w:ind w:left="0" w:right="0" w:firstLine="560" w:firstLineChars="200"/>
              <w:jc w:val="left"/>
              <w:textAlignment w:val="auto"/>
              <w:rPr>
                <w:rFonts w:hint="default" w:ascii="Calibri" w:hAnsi="Calibri" w:eastAsia="宋体" w:cs="Times New Roman"/>
                <w:color w:val="auto"/>
                <w:kern w:val="2"/>
                <w:sz w:val="21"/>
                <w:szCs w:val="22"/>
                <w:highlight w:val="none"/>
                <w:u w:val="none"/>
                <w:lang w:val="en-US" w:eastAsia="zh-CN" w:bidi="ar-SA"/>
              </w:rPr>
            </w:pPr>
            <w:r>
              <w:rPr>
                <w:rFonts w:hint="eastAsia" w:ascii="楷体_GB2312" w:hAnsi="楷体_GB2312" w:eastAsia="楷体_GB2312" w:cs="楷体_GB2312"/>
                <w:b w:val="0"/>
                <w:bCs w:val="0"/>
                <w:color w:val="auto"/>
                <w:kern w:val="2"/>
                <w:sz w:val="28"/>
                <w:szCs w:val="28"/>
                <w:highlight w:val="none"/>
                <w:u w:val="none"/>
                <w:lang w:val="en-US" w:eastAsia="zh-CN" w:bidi="ar"/>
              </w:rPr>
              <w:t>3.北部新动能发展走廊：（1）刁镇中小企业创业创新园；（2）章丘区黄河滩区迁建产业高质量发展低碳环保产业园；（3）小清河章丘港配套物流园区；（4）北部化工产品（新材料）物流产业园区。</w:t>
            </w:r>
          </w:p>
        </w:tc>
      </w:tr>
    </w:tbl>
    <w:p>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560" w:lineRule="exact"/>
        <w:ind w:left="0" w:leftChars="0" w:firstLine="640" w:firstLineChars="200"/>
        <w:jc w:val="both"/>
        <w:textAlignment w:val="auto"/>
        <w:outlineLvl w:val="2"/>
        <w:rPr>
          <w:rFonts w:hint="default" w:ascii="黑体" w:hAnsi="黑体" w:eastAsia="黑体" w:cs="黑体"/>
          <w:bCs/>
          <w:color w:val="auto"/>
          <w:kern w:val="44"/>
          <w:sz w:val="32"/>
          <w:szCs w:val="48"/>
          <w:highlight w:val="none"/>
          <w:lang w:val="en-US" w:eastAsia="zh-CN" w:bidi="ar"/>
        </w:rPr>
      </w:pPr>
      <w:r>
        <w:rPr>
          <w:rFonts w:hint="eastAsia" w:ascii="黑体" w:hAnsi="黑体" w:eastAsia="黑体" w:cs="黑体"/>
          <w:bCs/>
          <w:color w:val="auto"/>
          <w:kern w:val="44"/>
          <w:sz w:val="32"/>
          <w:szCs w:val="48"/>
          <w:highlight w:val="none"/>
          <w:lang w:val="en-US" w:eastAsia="zh-CN" w:bidi="ar"/>
        </w:rPr>
        <w:t>二、加快促进实数融合发展</w:t>
      </w:r>
    </w:p>
    <w:p>
      <w:pPr>
        <w:keepNext w:val="0"/>
        <w:keepLines w:val="0"/>
        <w:pageBreakBefore w:val="0"/>
        <w:widowControl w:val="0"/>
        <w:numPr>
          <w:ilvl w:val="0"/>
          <w:numId w:val="0"/>
        </w:numPr>
        <w:kinsoku/>
        <w:wordWrap/>
        <w:topLinePunct w:val="0"/>
        <w:bidi w:val="0"/>
        <w:adjustRightInd w:val="0"/>
        <w:snapToGrid w:val="0"/>
        <w:spacing w:before="0" w:beforeAutospacing="0" w:after="0" w:afterAutospacing="0" w:line="560" w:lineRule="exact"/>
        <w:ind w:left="0" w:leftChars="0" w:firstLine="640" w:firstLineChars="200"/>
        <w:jc w:val="both"/>
        <w:textAlignment w:val="auto"/>
        <w:outlineLvl w:val="9"/>
        <w:rPr>
          <w:rFonts w:hint="eastAsia"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color w:val="auto"/>
          <w:spacing w:val="0"/>
          <w:w w:val="100"/>
          <w:kern w:val="21"/>
          <w:sz w:val="32"/>
          <w:szCs w:val="32"/>
          <w:highlight w:val="none"/>
          <w:u w:val="none"/>
          <w:lang w:val="en-US" w:eastAsia="zh-CN" w:bidi="ar-SA"/>
        </w:rPr>
        <w:t>以数字化转型为核心引擎，推动数字技术与实体经济深度融合，构建多层次工业互联网赋能体系，打造具有区域特色的产业数字化新生态。深化“云转数改”战略，加快工业互联网平台建设，促进研发设计、智能制造、供应链管理等全价值链数字化重构，培育数据驱动的新型制造范式。实施“工赋章丘2.0”计划，以智能工厂和数字化车间建设为引领，形成大中小企业融通发展的智能制造示范集群，打造行业数字化转型标杆。推进人工智能、区块链等新一代信息技术深度应用，探索数字孪生、柔性制造等先进生产模式，培育虚实结合的智能制造新业态。完善数字化转型服务生态，建设产业大脑与数字孪生平台，强化数据要素流通与价值转化，优化产融对接机制，拓宽企业数字化升级路径，“十五五”期间，实现150家以上中小企业数字化转型。</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560" w:lineRule="exact"/>
        <w:ind w:left="0" w:leftChars="0" w:firstLine="640" w:firstLineChars="200"/>
        <w:jc w:val="both"/>
        <w:textAlignment w:val="auto"/>
        <w:outlineLvl w:val="2"/>
        <w:rPr>
          <w:rFonts w:hint="default" w:ascii="黑体" w:hAnsi="黑体" w:eastAsia="黑体" w:cs="黑体"/>
          <w:bCs/>
          <w:color w:val="auto"/>
          <w:kern w:val="44"/>
          <w:sz w:val="32"/>
          <w:szCs w:val="48"/>
          <w:highlight w:val="none"/>
          <w:lang w:val="en-US" w:eastAsia="zh-CN" w:bidi="ar"/>
        </w:rPr>
      </w:pPr>
      <w:r>
        <w:rPr>
          <w:rFonts w:hint="eastAsia" w:ascii="黑体" w:hAnsi="黑体" w:eastAsia="黑体" w:cs="黑体"/>
          <w:bCs/>
          <w:color w:val="auto"/>
          <w:kern w:val="44"/>
          <w:sz w:val="32"/>
          <w:szCs w:val="48"/>
          <w:highlight w:val="none"/>
          <w:lang w:val="en-US" w:eastAsia="zh-CN" w:bidi="ar"/>
        </w:rPr>
        <w:t>三、推动产业“链式”发展</w:t>
      </w:r>
    </w:p>
    <w:p>
      <w:pPr>
        <w:keepNext w:val="0"/>
        <w:keepLines w:val="0"/>
        <w:pageBreakBefore w:val="0"/>
        <w:widowControl w:val="0"/>
        <w:numPr>
          <w:ilvl w:val="0"/>
          <w:numId w:val="0"/>
        </w:numPr>
        <w:kinsoku/>
        <w:wordWrap/>
        <w:topLinePunct w:val="0"/>
        <w:bidi w:val="0"/>
        <w:adjustRightInd w:val="0"/>
        <w:snapToGrid w:val="0"/>
        <w:spacing w:before="0" w:beforeAutospacing="0" w:after="0" w:afterAutospacing="0" w:line="560" w:lineRule="exact"/>
        <w:ind w:left="0" w:leftChars="0" w:firstLine="640" w:firstLineChars="200"/>
        <w:jc w:val="both"/>
        <w:textAlignment w:val="auto"/>
        <w:outlineLvl w:val="9"/>
        <w:rPr>
          <w:rFonts w:hint="eastAsia"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color w:val="auto"/>
          <w:spacing w:val="0"/>
          <w:w w:val="100"/>
          <w:kern w:val="21"/>
          <w:sz w:val="32"/>
          <w:szCs w:val="32"/>
          <w:highlight w:val="none"/>
          <w:u w:val="none"/>
          <w:lang w:val="en-US" w:eastAsia="zh-CN" w:bidi="ar-SA"/>
        </w:rPr>
        <w:t>培强“链主”企业，在技术创新、项目建设、人才招引、质量品牌等领域优化资源配置，培育一批国内外知名企业。积极引导“链主”企业带动上下游配套企业，开展同频共振式的设备更新和技术改造，不断提升整体产业链供给质效。聚焦重点产业链，支持企业采用先进工艺及装备进行改造升级，提升制造业绿色化和安全化水平，努力实现链上的重点企业技术改造全覆盖。推动产业链重点项目协同建设，按照“谋划类、储备类、实施类”分类梳理本产业链重点项目，筛选确定一批影响力大、带动性强的产业链重点项目，建立产业链重大项目库，实行全过程靠上跟踪服务，用足用好各项优惠政策，保障项目建设有序推进。深入了解链上企业产业需求现状和趋势变化，面向“高精尖缺”方向，分链条绘制产业人才图谱，实施“靶向”育才引才，探索推进“产业链＋人才”模式。</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560" w:lineRule="exact"/>
        <w:ind w:left="0" w:leftChars="0" w:firstLine="640" w:firstLineChars="200"/>
        <w:jc w:val="both"/>
        <w:textAlignment w:val="auto"/>
        <w:outlineLvl w:val="2"/>
        <w:rPr>
          <w:rFonts w:hint="eastAsia" w:ascii="黑体" w:hAnsi="黑体" w:eastAsia="黑体" w:cs="黑体"/>
          <w:bCs/>
          <w:color w:val="auto"/>
          <w:kern w:val="44"/>
          <w:sz w:val="32"/>
          <w:szCs w:val="48"/>
          <w:highlight w:val="none"/>
          <w:lang w:val="en-US" w:eastAsia="zh-CN" w:bidi="ar"/>
        </w:rPr>
      </w:pPr>
      <w:r>
        <w:rPr>
          <w:rFonts w:hint="eastAsia" w:ascii="黑体" w:hAnsi="黑体" w:eastAsia="黑体" w:cs="黑体"/>
          <w:bCs/>
          <w:color w:val="auto"/>
          <w:kern w:val="44"/>
          <w:sz w:val="32"/>
          <w:szCs w:val="48"/>
          <w:highlight w:val="none"/>
          <w:lang w:val="en-US" w:eastAsia="zh-CN" w:bidi="ar"/>
        </w:rPr>
        <w:t>四、强化场景创新应用</w:t>
      </w:r>
    </w:p>
    <w:p>
      <w:pPr>
        <w:keepNext w:val="0"/>
        <w:keepLines w:val="0"/>
        <w:pageBreakBefore w:val="0"/>
        <w:widowControl w:val="0"/>
        <w:numPr>
          <w:ilvl w:val="0"/>
          <w:numId w:val="0"/>
        </w:numPr>
        <w:kinsoku/>
        <w:wordWrap/>
        <w:topLinePunct w:val="0"/>
        <w:bidi w:val="0"/>
        <w:adjustRightInd w:val="0"/>
        <w:snapToGrid w:val="0"/>
        <w:spacing w:before="0" w:beforeAutospacing="0" w:after="0" w:afterAutospacing="0" w:line="560" w:lineRule="exact"/>
        <w:ind w:left="0" w:leftChars="0" w:firstLine="640" w:firstLineChars="200"/>
        <w:jc w:val="both"/>
        <w:textAlignment w:val="auto"/>
        <w:outlineLvl w:val="9"/>
        <w:rPr>
          <w:rFonts w:hint="eastAsia" w:ascii="仿宋_GB2312" w:hAnsi="仿宋_GB2312" w:eastAsia="仿宋_GB2312" w:cs="仿宋_GB2312"/>
          <w:color w:val="auto"/>
          <w:spacing w:val="0"/>
          <w:w w:val="100"/>
          <w:kern w:val="21"/>
          <w:sz w:val="32"/>
          <w:szCs w:val="32"/>
          <w:highlight w:val="none"/>
          <w:u w:val="none"/>
          <w:lang w:val="en-US" w:eastAsia="zh-CN" w:bidi="ar-SA"/>
        </w:rPr>
      </w:pPr>
      <w:r>
        <w:rPr>
          <w:rFonts w:hint="eastAsia" w:ascii="仿宋_GB2312" w:hAnsi="仿宋_GB2312" w:eastAsia="仿宋_GB2312" w:cs="仿宋_GB2312"/>
          <w:color w:val="auto"/>
          <w:spacing w:val="0"/>
          <w:w w:val="100"/>
          <w:kern w:val="21"/>
          <w:sz w:val="32"/>
          <w:szCs w:val="32"/>
          <w:highlight w:val="none"/>
          <w:u w:val="none"/>
          <w:lang w:val="en-US" w:eastAsia="zh-CN" w:bidi="ar-SA"/>
        </w:rPr>
        <w:t>聚焦汽车、先进材料、专用装备、医药食品及包装、绿色建材和装配式建筑等核心技术应用，创新智能工厂、绿色工厂、零碳园区等应用场景，鼓励重点制造业企业向工业软件等产品开放应用场景，积极培育工业设计、中试验证、检验检测等生产性服务业应用场景。引导龙头企业、服务平台、科研机构通过“揭榜挂帅”，实施应用场景需求项目攻关，持续加大对智能化制造、数字化车间、个性化定制、规模化生产等项目的支持和推广，强化场景培育和开放与首台（套）装备、首批次材料、首版次软件等各类政策的协同衔接。推动行业龙头骨干企业开放应用场景资源，吸引中小企业围绕大企业开展成果转化，将数字化转型经验转化为标准化解决方案向行业企业辐射带动，打造一批示范性应用场景。建立健全场景资源配置规则，优化场景供需对接匹配方式，促进各类主体公平参与场景资源配置和开发利用，建立常态化技术应用场景清单征集、发布、遴选机制，推动新技术、新产品实现本地首试首用，提高场景资源配置效率。</w:t>
      </w:r>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600" w:lineRule="exact"/>
        <w:ind w:left="0" w:leftChars="0" w:firstLine="640" w:firstLineChars="200"/>
        <w:textAlignment w:val="auto"/>
        <w:rPr>
          <w:rFonts w:hint="default" w:ascii="仿宋_GB2312" w:hAnsi="仿宋_GB2312" w:eastAsia="仿宋_GB2312" w:cs="仿宋_GB2312"/>
          <w:color w:val="auto"/>
          <w:spacing w:val="0"/>
          <w:w w:val="100"/>
          <w:kern w:val="21"/>
          <w:sz w:val="32"/>
          <w:szCs w:val="32"/>
          <w:highlight w:val="none"/>
          <w:u w:val="none"/>
          <w:lang w:val="en-US" w:eastAsia="zh-CN" w:bidi="ar-SA"/>
        </w:rPr>
      </w:pPr>
    </w:p>
    <w:p>
      <w:pPr>
        <w:rPr>
          <w:rFonts w:hint="eastAsia" w:ascii="仿宋_GB2312" w:hAnsi="仿宋_GB2312" w:eastAsia="仿宋_GB2312" w:cs="仿宋_GB2312"/>
          <w:bCs/>
          <w:color w:val="auto"/>
          <w:kern w:val="44"/>
          <w:sz w:val="32"/>
          <w:szCs w:val="48"/>
          <w:highlight w:val="none"/>
          <w:lang w:val="en-US" w:eastAsia="zh-CN" w:bidi="ar"/>
        </w:rPr>
      </w:pPr>
      <w:r>
        <w:rPr>
          <w:rFonts w:hint="eastAsia" w:ascii="仿宋_GB2312" w:hAnsi="仿宋_GB2312" w:eastAsia="仿宋_GB2312" w:cs="仿宋_GB2312"/>
          <w:bCs/>
          <w:color w:val="auto"/>
          <w:kern w:val="44"/>
          <w:sz w:val="32"/>
          <w:szCs w:val="48"/>
          <w:highlight w:val="none"/>
          <w:lang w:val="en-US" w:eastAsia="zh-CN" w:bidi="ar"/>
        </w:rPr>
        <w:br w:type="page"/>
      </w:r>
    </w:p>
    <w:p>
      <w:pPr>
        <w:pStyle w:val="8"/>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outlineLvl w:val="0"/>
        <w:rPr>
          <w:rFonts w:hint="eastAsia" w:ascii="方正小标宋简体" w:hAnsi="方正小标宋简体" w:eastAsia="方正小标宋简体" w:cs="方正小标宋简体"/>
          <w:b w:val="0"/>
          <w:bCs w:val="0"/>
          <w:color w:val="auto"/>
          <w:kern w:val="2"/>
          <w:sz w:val="32"/>
          <w:szCs w:val="40"/>
          <w:highlight w:val="none"/>
          <w:lang w:val="en-US" w:eastAsia="zh-CN" w:bidi="ar-SA"/>
        </w:rPr>
      </w:pPr>
      <w:bookmarkStart w:id="32" w:name="_Toc3012"/>
      <w:r>
        <w:rPr>
          <w:rFonts w:hint="eastAsia" w:ascii="方正小标宋简体" w:hAnsi="方正小标宋简体" w:eastAsia="方正小标宋简体" w:cs="方正小标宋简体"/>
          <w:b w:val="0"/>
          <w:bCs w:val="0"/>
          <w:color w:val="auto"/>
          <w:kern w:val="2"/>
          <w:sz w:val="44"/>
          <w:szCs w:val="44"/>
          <w:highlight w:val="none"/>
          <w:lang w:val="en-US" w:eastAsia="zh-CN" w:bidi="ar-SA"/>
        </w:rPr>
        <w:t>第四章  深入实施创新驱动发展战略，全方位激发创新活力动能</w:t>
      </w:r>
      <w:bookmarkEnd w:id="32"/>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sz w:val="32"/>
          <w:highlight w:val="none"/>
          <w:lang w:val="en-US" w:eastAsia="zh-CN"/>
        </w:rPr>
      </w:pPr>
      <w:bookmarkStart w:id="33" w:name="_Toc30087"/>
      <w:bookmarkStart w:id="34" w:name="_Toc32347"/>
      <w:bookmarkStart w:id="35" w:name="_Toc21372"/>
      <w:r>
        <w:rPr>
          <w:rFonts w:hint="eastAsia" w:ascii="仿宋_GB2312" w:hAnsi="仿宋_GB2312" w:eastAsia="仿宋_GB2312" w:cs="仿宋_GB2312"/>
          <w:color w:val="auto"/>
          <w:sz w:val="32"/>
          <w:highlight w:val="none"/>
          <w:lang w:val="en-US" w:eastAsia="zh-CN"/>
        </w:rPr>
        <w:t>立足经十东路科创走廊重要承载区战略定位，紧扣全区“3＋2＋2”链群发展体系，以山东大学龙山校区（创新港）、空天信息大学建设为核心，以点带面辐射全区其他高校，聚焦创新链“基础研究、技术攻关、成果转化、产业化”关键环节精准发力，系统构建“高校引领创新策源、载体支撑要素集聚、企业主导技术突破、成果转化衔接产业、人才赋能发展活力、生态优化保障长效”的科技创新体系，</w:t>
      </w:r>
      <w:r>
        <w:rPr>
          <w:rFonts w:hint="eastAsia" w:ascii="仿宋_GB2312" w:hAnsi="仿宋_GB2312" w:eastAsia="仿宋_GB2312" w:cs="仿宋_GB2312"/>
          <w:color w:val="auto"/>
          <w:sz w:val="32"/>
          <w:szCs w:val="24"/>
          <w:highlight w:val="none"/>
        </w:rPr>
        <w:t>打造齐鲁科技创新智造高地</w:t>
      </w:r>
      <w:r>
        <w:rPr>
          <w:rFonts w:hint="eastAsia" w:ascii="仿宋_GB2312" w:hAnsi="仿宋_GB2312" w:eastAsia="仿宋_GB2312" w:cs="仿宋_GB2312"/>
          <w:color w:val="auto"/>
          <w:sz w:val="32"/>
          <w:highlight w:val="none"/>
          <w:lang w:val="en-US" w:eastAsia="zh-CN"/>
        </w:rPr>
        <w:t>。</w:t>
      </w:r>
    </w:p>
    <w:bookmarkEnd w:id="33"/>
    <w:bookmarkEnd w:id="34"/>
    <w:bookmarkEnd w:id="35"/>
    <w:p>
      <w:pPr>
        <w:keepNext w:val="0"/>
        <w:keepLines w:val="0"/>
        <w:pageBreakBefore w:val="0"/>
        <w:widowControl w:val="0"/>
        <w:kinsoku/>
        <w:wordWrap/>
        <w:overflowPunct/>
        <w:topLinePunct w:val="0"/>
        <w:autoSpaceDE/>
        <w:autoSpaceDN/>
        <w:bidi w:val="0"/>
        <w:adjustRightInd w:val="0"/>
        <w:snapToGrid w:val="0"/>
        <w:spacing w:before="157" w:beforeLines="50" w:beforeAutospacing="0" w:after="157" w:afterLines="50" w:afterAutospacing="0" w:line="580" w:lineRule="exact"/>
        <w:ind w:left="0" w:leftChars="0" w:firstLine="0" w:firstLineChars="0"/>
        <w:jc w:val="center"/>
        <w:textAlignment w:val="auto"/>
        <w:outlineLvl w:val="1"/>
        <w:rPr>
          <w:rFonts w:hint="eastAsia" w:ascii="黑体" w:hAnsi="黑体" w:eastAsia="黑体" w:cs="黑体"/>
          <w:bCs/>
          <w:color w:val="auto"/>
          <w:kern w:val="44"/>
          <w:sz w:val="32"/>
          <w:szCs w:val="48"/>
          <w:highlight w:val="none"/>
          <w:lang w:val="en-US" w:eastAsia="zh-CN" w:bidi="ar"/>
        </w:rPr>
      </w:pPr>
      <w:bookmarkStart w:id="36" w:name="_Toc25766"/>
      <w:r>
        <w:rPr>
          <w:rFonts w:hint="eastAsia" w:ascii="黑体" w:hAnsi="黑体" w:eastAsia="黑体" w:cs="黑体"/>
          <w:bCs/>
          <w:color w:val="auto"/>
          <w:kern w:val="44"/>
          <w:sz w:val="32"/>
          <w:szCs w:val="48"/>
          <w:highlight w:val="none"/>
          <w:lang w:val="en-US" w:eastAsia="zh-CN" w:bidi="ar"/>
        </w:rPr>
        <w:t>第一节  强化企业创新主体地位</w:t>
      </w:r>
      <w:bookmarkEnd w:id="36"/>
    </w:p>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80" w:lineRule="exact"/>
        <w:ind w:left="0" w:leftChars="0" w:firstLine="640" w:firstLineChars="200"/>
        <w:jc w:val="both"/>
        <w:textAlignment w:val="auto"/>
        <w:outlineLvl w:val="2"/>
        <w:rPr>
          <w:rFonts w:hint="eastAsia" w:ascii="楷体_GB2312" w:hAnsi="楷体_GB2312" w:eastAsia="楷体_GB2312" w:cs="楷体_GB2312"/>
          <w:bCs/>
          <w:color w:val="auto"/>
          <w:kern w:val="44"/>
          <w:sz w:val="32"/>
          <w:szCs w:val="48"/>
          <w:highlight w:val="none"/>
          <w:lang w:val="en-US" w:eastAsia="zh-CN" w:bidi="ar"/>
        </w:rPr>
      </w:pPr>
      <w:r>
        <w:rPr>
          <w:rFonts w:hint="eastAsia" w:ascii="黑体" w:hAnsi="黑体" w:eastAsia="黑体" w:cs="黑体"/>
          <w:bCs/>
          <w:color w:val="auto"/>
          <w:kern w:val="44"/>
          <w:sz w:val="32"/>
          <w:szCs w:val="48"/>
          <w:highlight w:val="none"/>
          <w:lang w:val="en-US" w:eastAsia="zh-CN" w:bidi="ar"/>
        </w:rPr>
        <w:t>一、实施科技企业梯次培育</w:t>
      </w:r>
      <w:r>
        <w:rPr>
          <w:rFonts w:hint="eastAsia" w:ascii="楷体_GB2312" w:hAnsi="楷体_GB2312" w:eastAsia="楷体_GB2312" w:cs="楷体_GB2312"/>
          <w:bCs/>
          <w:color w:val="auto"/>
          <w:kern w:val="44"/>
          <w:sz w:val="32"/>
          <w:szCs w:val="48"/>
          <w:highlight w:val="none"/>
          <w:lang w:val="en-US" w:eastAsia="zh-CN" w:bidi="ar"/>
        </w:rPr>
        <w:t>​</w:t>
      </w:r>
    </w:p>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80" w:lineRule="exact"/>
        <w:ind w:left="0" w:leftChars="0" w:firstLine="640" w:firstLineChars="200"/>
        <w:jc w:val="both"/>
        <w:textAlignment w:val="auto"/>
        <w:outlineLvl w:val="9"/>
        <w:rPr>
          <w:rFonts w:hint="eastAsia" w:ascii="仿宋_GB2312" w:hAnsi="仿宋_GB2312" w:eastAsia="仿宋_GB2312" w:cs="仿宋_GB2312"/>
          <w:bCs/>
          <w:color w:val="auto"/>
          <w:kern w:val="44"/>
          <w:sz w:val="32"/>
          <w:szCs w:val="48"/>
          <w:highlight w:val="none"/>
          <w:lang w:val="en-US" w:eastAsia="zh-CN" w:bidi="ar"/>
        </w:rPr>
      </w:pPr>
      <w:r>
        <w:rPr>
          <w:rFonts w:hint="eastAsia" w:ascii="仿宋_GB2312" w:hAnsi="仿宋_GB2312" w:eastAsia="仿宋_GB2312" w:cs="仿宋_GB2312"/>
          <w:bCs/>
          <w:color w:val="auto"/>
          <w:kern w:val="44"/>
          <w:sz w:val="32"/>
          <w:szCs w:val="48"/>
          <w:highlight w:val="none"/>
          <w:lang w:val="en-US" w:eastAsia="zh-CN" w:bidi="ar"/>
        </w:rPr>
        <w:t>围绕“科技型中小企业—高新技术企业—科技领军企业”成长路径，构建全周期、分阶段的梯次培育体系，完善“个转企、小升高、高进规”培育机制。针对初创期科技企业，提供创业培训、政策解读等“孵化服务包”。针对成长期科技型中小微企业，建立“一对一”帮扶机制，提供知识产权补贴、科技信贷对接等精准服务，支持企业加大研发投入。到“十五五”末，全区高新技术企业质量显著提升，科技型中小企业创新能力持续增强。重点支持科技企业向“专精特新”方向发展，培育国家级单项冠军企业5家，打造一批具有核心竞争力的创新型企业群体。</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522" w:type="dxa"/>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right="0"/>
              <w:jc w:val="center"/>
              <w:textAlignment w:val="auto"/>
              <w:outlineLvl w:val="9"/>
              <w:rPr>
                <w:rFonts w:hint="default" w:ascii="楷体_GB2312" w:hAnsi="楷体_GB2312" w:eastAsia="楷体_GB2312" w:cs="楷体_GB2312"/>
                <w:b w:val="0"/>
                <w:bCs w:val="0"/>
                <w:color w:val="auto"/>
                <w:sz w:val="28"/>
                <w:szCs w:val="28"/>
                <w:highlight w:val="none"/>
                <w:lang w:val="en-US" w:eastAsia="zh-CN"/>
              </w:rPr>
            </w:pPr>
            <w:r>
              <w:rPr>
                <w:rFonts w:hint="eastAsia" w:ascii="楷体_GB2312" w:hAnsi="楷体_GB2312" w:eastAsia="楷体_GB2312" w:cs="楷体_GB2312"/>
                <w:b w:val="0"/>
                <w:bCs w:val="0"/>
                <w:color w:val="auto"/>
                <w:sz w:val="28"/>
                <w:szCs w:val="28"/>
                <w:highlight w:val="none"/>
                <w:lang w:val="en-US" w:eastAsia="zh-CN"/>
              </w:rPr>
              <w:t>专栏6  培育雁阵式科技企业集群行动计划</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560" w:firstLineChars="200"/>
              <w:textAlignment w:val="auto"/>
              <w:outlineLvl w:val="9"/>
              <w:rPr>
                <w:rFonts w:hint="eastAsia" w:ascii="楷体_GB2312" w:hAnsi="楷体_GB2312" w:eastAsia="楷体_GB2312" w:cs="楷体_GB2312"/>
                <w:b w:val="0"/>
                <w:bCs w:val="0"/>
                <w:color w:val="auto"/>
                <w:sz w:val="28"/>
                <w:szCs w:val="28"/>
                <w:highlight w:val="none"/>
                <w:lang w:val="en-US" w:eastAsia="zh-CN"/>
              </w:rPr>
            </w:pPr>
            <w:r>
              <w:rPr>
                <w:rFonts w:hint="eastAsia" w:ascii="楷体_GB2312" w:hAnsi="楷体_GB2312" w:eastAsia="楷体_GB2312" w:cs="楷体_GB2312"/>
                <w:b w:val="0"/>
                <w:bCs w:val="0"/>
                <w:color w:val="auto"/>
                <w:sz w:val="28"/>
                <w:szCs w:val="28"/>
                <w:highlight w:val="none"/>
                <w:lang w:val="en-US" w:eastAsia="zh-CN"/>
              </w:rPr>
              <w:t>1.科技型中小企业创新提升行动：加大科技计划项目倾斜支持力度，重点扶持研发投入占比高、复合增长率高、市场占有率高、拥有核心硬科技的中小企业加快发展。</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560" w:firstLineChars="200"/>
              <w:textAlignment w:val="auto"/>
              <w:outlineLvl w:val="9"/>
              <w:rPr>
                <w:rFonts w:hint="eastAsia" w:ascii="楷体_GB2312" w:hAnsi="楷体_GB2312" w:eastAsia="楷体_GB2312" w:cs="楷体_GB2312"/>
                <w:b w:val="0"/>
                <w:bCs w:val="0"/>
                <w:color w:val="auto"/>
                <w:sz w:val="28"/>
                <w:szCs w:val="28"/>
                <w:highlight w:val="none"/>
                <w:lang w:val="en-US" w:eastAsia="zh-CN"/>
              </w:rPr>
            </w:pPr>
            <w:r>
              <w:rPr>
                <w:rFonts w:hint="eastAsia" w:ascii="楷体_GB2312" w:hAnsi="楷体_GB2312" w:eastAsia="楷体_GB2312" w:cs="楷体_GB2312"/>
                <w:b w:val="0"/>
                <w:bCs w:val="0"/>
                <w:color w:val="auto"/>
                <w:sz w:val="28"/>
                <w:szCs w:val="28"/>
                <w:highlight w:val="none"/>
                <w:lang w:val="en-US" w:eastAsia="zh-CN"/>
              </w:rPr>
              <w:t>2.高新技术企业提质行动：遴选创新基础好、发展潜力大的科技型中小企业重点培育，培育一批高新技术、专精特新、制造业单项冠军企业。</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560" w:firstLineChars="200"/>
              <w:textAlignment w:val="auto"/>
              <w:outlineLvl w:val="9"/>
              <w:rPr>
                <w:rFonts w:hint="eastAsia" w:ascii="楷体_GB2312" w:hAnsi="楷体_GB2312" w:eastAsia="楷体_GB2312" w:cs="楷体_GB2312"/>
                <w:b w:val="0"/>
                <w:bCs w:val="0"/>
                <w:color w:val="auto"/>
                <w:sz w:val="28"/>
                <w:szCs w:val="28"/>
                <w:highlight w:val="none"/>
                <w:lang w:val="en-US" w:eastAsia="zh-CN"/>
              </w:rPr>
            </w:pPr>
            <w:r>
              <w:rPr>
                <w:rFonts w:hint="eastAsia" w:ascii="楷体_GB2312" w:hAnsi="楷体_GB2312" w:eastAsia="楷体_GB2312" w:cs="楷体_GB2312"/>
                <w:b w:val="0"/>
                <w:bCs w:val="0"/>
                <w:color w:val="auto"/>
                <w:sz w:val="28"/>
                <w:szCs w:val="28"/>
                <w:highlight w:val="none"/>
                <w:lang w:val="en-US" w:eastAsia="zh-CN"/>
              </w:rPr>
              <w:t>3.科技领军企业培育发展行动：制定科技领军企业培育扶持措施，坚持“一企一策”，动态筛选、培育一批拥有自主核心知识产权、自主品牌、全球竞争力的知名科技领军企业。</w:t>
            </w:r>
          </w:p>
        </w:tc>
      </w:tr>
    </w:tbl>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80" w:lineRule="exact"/>
        <w:ind w:left="0" w:leftChars="0" w:firstLine="640" w:firstLineChars="200"/>
        <w:jc w:val="both"/>
        <w:textAlignment w:val="auto"/>
        <w:outlineLvl w:val="2"/>
        <w:rPr>
          <w:rFonts w:hint="eastAsia" w:ascii="楷体_GB2312" w:hAnsi="楷体_GB2312" w:eastAsia="楷体_GB2312" w:cs="楷体_GB2312"/>
          <w:bCs/>
          <w:color w:val="auto"/>
          <w:kern w:val="44"/>
          <w:sz w:val="32"/>
          <w:szCs w:val="48"/>
          <w:highlight w:val="none"/>
          <w:lang w:val="en-US" w:eastAsia="zh-CN" w:bidi="ar"/>
        </w:rPr>
      </w:pPr>
      <w:r>
        <w:rPr>
          <w:rFonts w:hint="eastAsia" w:ascii="黑体" w:hAnsi="黑体" w:eastAsia="黑体" w:cs="黑体"/>
          <w:bCs/>
          <w:color w:val="auto"/>
          <w:kern w:val="44"/>
          <w:sz w:val="32"/>
          <w:szCs w:val="48"/>
          <w:highlight w:val="none"/>
          <w:lang w:val="en-US" w:eastAsia="zh-CN" w:bidi="ar"/>
        </w:rPr>
        <w:t>二、提升企业技术攻关能力</w:t>
      </w:r>
      <w:r>
        <w:rPr>
          <w:rFonts w:hint="eastAsia" w:ascii="楷体_GB2312" w:hAnsi="楷体_GB2312" w:eastAsia="楷体_GB2312" w:cs="楷体_GB2312"/>
          <w:bCs/>
          <w:color w:val="auto"/>
          <w:kern w:val="44"/>
          <w:sz w:val="32"/>
          <w:szCs w:val="48"/>
          <w:highlight w:val="none"/>
          <w:lang w:val="en-US" w:eastAsia="zh-CN" w:bidi="ar"/>
        </w:rPr>
        <w:t>​</w:t>
      </w:r>
    </w:p>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80" w:lineRule="exact"/>
        <w:ind w:left="0" w:leftChars="0" w:firstLine="640" w:firstLineChars="200"/>
        <w:jc w:val="both"/>
        <w:textAlignment w:val="auto"/>
        <w:outlineLvl w:val="9"/>
        <w:rPr>
          <w:rFonts w:hint="eastAsia" w:ascii="仿宋_GB2312" w:hAnsi="仿宋_GB2312" w:eastAsia="仿宋_GB2312" w:cs="仿宋_GB2312"/>
          <w:bCs/>
          <w:color w:val="auto"/>
          <w:kern w:val="44"/>
          <w:sz w:val="32"/>
          <w:szCs w:val="48"/>
          <w:highlight w:val="none"/>
          <w:lang w:val="en-US" w:eastAsia="zh-CN" w:bidi="ar"/>
        </w:rPr>
      </w:pPr>
      <w:r>
        <w:rPr>
          <w:rFonts w:hint="eastAsia" w:ascii="仿宋_GB2312" w:hAnsi="仿宋_GB2312" w:eastAsia="仿宋_GB2312" w:cs="仿宋_GB2312"/>
          <w:bCs/>
          <w:color w:val="auto"/>
          <w:kern w:val="44"/>
          <w:sz w:val="32"/>
          <w:szCs w:val="48"/>
          <w:highlight w:val="none"/>
          <w:lang w:val="en-US" w:eastAsia="zh-CN" w:bidi="ar"/>
        </w:rPr>
        <w:t>聚焦全区重点产业发展需求，联合行业协会、龙头企业与高校院所，梳理建立“卡脖子”技术需求库，围绕航空航天和低空经济、生物医药等方向，集中资源攻克制约产业发展的关键技术难题。推行科技攻关“揭榜挂帅”机制，吸引高校、科研院所及企业团队揭榜攻关。实行首席专家“组阁制”，由揭榜团队首席专家自主组建技术团队、确定研发方案与经费使用计划。鼓励龙头企业牵头，联合上下游企业、高校院所组建产业技术创新联盟，开展关键共性技术研发、行业标准制定、成果推广应用等工作，增强产业链供应链自主可控能力。完善竞争性支持和稳定支持相结合的基础研究投入机制，对企业开展高风险高价值基础研究项目给予长期稳定支持，每年安排专项资金用于扶持企业基础研究，推动企业从“技术跟随”向“技术引领”转变。</w:t>
      </w:r>
    </w:p>
    <w:p>
      <w:pPr>
        <w:keepNext w:val="0"/>
        <w:keepLines w:val="0"/>
        <w:pageBreakBefore w:val="0"/>
        <w:widowControl w:val="0"/>
        <w:kinsoku/>
        <w:wordWrap/>
        <w:overflowPunct/>
        <w:topLinePunct w:val="0"/>
        <w:autoSpaceDE/>
        <w:autoSpaceDN/>
        <w:bidi w:val="0"/>
        <w:adjustRightInd w:val="0"/>
        <w:snapToGrid w:val="0"/>
        <w:spacing w:before="0" w:beforeAutospacing="0" w:after="157" w:afterLines="50" w:afterAutospacing="0" w:line="554" w:lineRule="exact"/>
        <w:ind w:left="0" w:leftChars="0" w:firstLine="0" w:firstLineChars="0"/>
        <w:jc w:val="center"/>
        <w:textAlignment w:val="auto"/>
        <w:outlineLvl w:val="1"/>
        <w:rPr>
          <w:rFonts w:hint="eastAsia" w:ascii="黑体" w:hAnsi="黑体" w:eastAsia="黑体" w:cs="黑体"/>
          <w:bCs/>
          <w:color w:val="auto"/>
          <w:kern w:val="44"/>
          <w:sz w:val="32"/>
          <w:szCs w:val="48"/>
          <w:highlight w:val="none"/>
          <w:lang w:val="en-US" w:eastAsia="zh-CN" w:bidi="ar"/>
        </w:rPr>
      </w:pPr>
      <w:bookmarkStart w:id="37" w:name="_Toc3943"/>
      <w:r>
        <w:rPr>
          <w:rFonts w:hint="eastAsia" w:ascii="黑体" w:hAnsi="黑体" w:eastAsia="黑体" w:cs="黑体"/>
          <w:bCs/>
          <w:color w:val="auto"/>
          <w:kern w:val="44"/>
          <w:sz w:val="32"/>
          <w:szCs w:val="48"/>
          <w:highlight w:val="none"/>
          <w:lang w:val="en-US" w:eastAsia="zh-CN" w:bidi="ar"/>
        </w:rPr>
        <w:t>第二节  畅通科技成果转化通道​</w:t>
      </w:r>
      <w:bookmarkEnd w:id="37"/>
    </w:p>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54" w:lineRule="exact"/>
        <w:ind w:left="0" w:leftChars="0" w:firstLine="640" w:firstLineChars="200"/>
        <w:jc w:val="both"/>
        <w:textAlignment w:val="auto"/>
        <w:outlineLvl w:val="2"/>
        <w:rPr>
          <w:rFonts w:hint="eastAsia" w:ascii="黑体" w:hAnsi="黑体" w:eastAsia="黑体" w:cs="黑体"/>
          <w:bCs/>
          <w:color w:val="auto"/>
          <w:kern w:val="44"/>
          <w:sz w:val="32"/>
          <w:szCs w:val="48"/>
          <w:highlight w:val="none"/>
          <w:lang w:val="en-US" w:eastAsia="zh-CN" w:bidi="ar"/>
        </w:rPr>
      </w:pPr>
      <w:r>
        <w:rPr>
          <w:rFonts w:hint="eastAsia" w:ascii="黑体" w:hAnsi="黑体" w:eastAsia="黑体" w:cs="黑体"/>
          <w:bCs/>
          <w:color w:val="auto"/>
          <w:kern w:val="44"/>
          <w:sz w:val="32"/>
          <w:szCs w:val="48"/>
          <w:highlight w:val="none"/>
          <w:lang w:val="en-US" w:eastAsia="zh-CN" w:bidi="ar"/>
        </w:rPr>
        <w:t>一、建强成果转化服务平台​</w:t>
      </w:r>
    </w:p>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54" w:lineRule="exact"/>
        <w:ind w:left="0" w:leftChars="0" w:firstLine="640" w:firstLineChars="200"/>
        <w:jc w:val="both"/>
        <w:textAlignment w:val="auto"/>
        <w:outlineLvl w:val="9"/>
        <w:rPr>
          <w:rFonts w:hint="eastAsia" w:ascii="仿宋_GB2312" w:hAnsi="仿宋_GB2312" w:eastAsia="仿宋_GB2312" w:cs="仿宋_GB2312"/>
          <w:bCs/>
          <w:color w:val="auto"/>
          <w:kern w:val="44"/>
          <w:sz w:val="32"/>
          <w:szCs w:val="48"/>
          <w:highlight w:val="none"/>
          <w:lang w:val="en-US" w:eastAsia="zh-CN" w:bidi="ar"/>
        </w:rPr>
      </w:pPr>
      <w:r>
        <w:rPr>
          <w:rFonts w:hint="eastAsia" w:ascii="仿宋_GB2312" w:hAnsi="仿宋_GB2312" w:eastAsia="仿宋_GB2312" w:cs="仿宋_GB2312"/>
          <w:bCs/>
          <w:color w:val="auto"/>
          <w:kern w:val="44"/>
          <w:sz w:val="32"/>
          <w:szCs w:val="48"/>
          <w:highlight w:val="none"/>
          <w:lang w:val="en-US" w:eastAsia="zh-CN" w:bidi="ar"/>
        </w:rPr>
        <w:t>着力搭建平台，畅通对接渠道，构建覆盖“概念验证—中试熟化—产业落地”全链条的服务体系，打通科技成果转化“最后一公里”。针对航空航天和低空经济、新材料、生物医药等重点领域，依托行业企业与高校院所建设3个以上专业中试基地，配置专业设备与技术人员，为科技成果提供小试、中试服务，着力破解“实验室成果”向“工业化生产”转化的技术瓶颈。配套建设检验检测中心，提供产品质量检测、标准认证等公共服务，降低企业成果转化成本。建立“前沿技术产业化应用清单”，定期梳理发布前沿技术产业化项目，通过政策补贴、市场对接等方式，推动技术加速落地。​</w:t>
      </w:r>
    </w:p>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54" w:lineRule="exact"/>
        <w:ind w:left="0" w:leftChars="0" w:firstLine="640" w:firstLineChars="200"/>
        <w:jc w:val="both"/>
        <w:textAlignment w:val="auto"/>
        <w:outlineLvl w:val="2"/>
        <w:rPr>
          <w:rFonts w:hint="eastAsia" w:ascii="楷体_GB2312" w:hAnsi="楷体_GB2312" w:eastAsia="楷体_GB2312" w:cs="楷体_GB2312"/>
          <w:bCs/>
          <w:color w:val="auto"/>
          <w:kern w:val="44"/>
          <w:sz w:val="32"/>
          <w:szCs w:val="48"/>
          <w:highlight w:val="none"/>
          <w:lang w:val="en-US" w:eastAsia="zh-CN" w:bidi="ar"/>
        </w:rPr>
      </w:pPr>
      <w:r>
        <w:rPr>
          <w:rFonts w:hint="eastAsia" w:ascii="黑体" w:hAnsi="黑体" w:eastAsia="黑体" w:cs="黑体"/>
          <w:bCs/>
          <w:color w:val="auto"/>
          <w:kern w:val="44"/>
          <w:sz w:val="32"/>
          <w:szCs w:val="48"/>
          <w:highlight w:val="none"/>
          <w:lang w:val="en-US" w:eastAsia="zh-CN" w:bidi="ar"/>
        </w:rPr>
        <w:t>二、深化产学研协同融合</w:t>
      </w:r>
      <w:r>
        <w:rPr>
          <w:rFonts w:hint="eastAsia" w:ascii="楷体_GB2312" w:hAnsi="楷体_GB2312" w:eastAsia="楷体_GB2312" w:cs="楷体_GB2312"/>
          <w:bCs/>
          <w:color w:val="auto"/>
          <w:kern w:val="44"/>
          <w:sz w:val="32"/>
          <w:szCs w:val="48"/>
          <w:highlight w:val="none"/>
          <w:lang w:val="en-US" w:eastAsia="zh-CN" w:bidi="ar"/>
        </w:rPr>
        <w:t>​</w:t>
      </w:r>
    </w:p>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54" w:lineRule="exact"/>
        <w:ind w:left="0" w:leftChars="0" w:firstLine="640" w:firstLineChars="200"/>
        <w:jc w:val="both"/>
        <w:textAlignment w:val="auto"/>
        <w:outlineLvl w:val="9"/>
        <w:rPr>
          <w:rFonts w:hint="eastAsia" w:ascii="仿宋_GB2312" w:hAnsi="仿宋_GB2312" w:eastAsia="仿宋_GB2312" w:cs="仿宋_GB2312"/>
          <w:bCs/>
          <w:color w:val="auto"/>
          <w:kern w:val="44"/>
          <w:sz w:val="32"/>
          <w:szCs w:val="48"/>
          <w:highlight w:val="none"/>
          <w:lang w:val="en-US" w:eastAsia="zh-CN" w:bidi="ar"/>
        </w:rPr>
      </w:pPr>
      <w:r>
        <w:rPr>
          <w:rFonts w:hint="eastAsia" w:ascii="仿宋_GB2312" w:hAnsi="仿宋_GB2312" w:eastAsia="仿宋_GB2312" w:cs="仿宋_GB2312"/>
          <w:bCs/>
          <w:color w:val="auto"/>
          <w:kern w:val="44"/>
          <w:sz w:val="32"/>
          <w:szCs w:val="48"/>
          <w:highlight w:val="none"/>
          <w:lang w:val="en-US" w:eastAsia="zh-CN" w:bidi="ar"/>
        </w:rPr>
        <w:t>实施“校地校企合作攻坚计划”，深化校地合作协同创新工作机制，推动山东大学、空天信息大学、山东财经大学等高校与区内行业企业建立长期合作关系。完善“科技副总”“产业教授”双向交流机制，协助企业开展技术攻关、人才培养与项目申报。定期举办科技成果展、项目路演、技术需求对接会，邀请高校科研团队、企业代表、投资机构参与，搭建成果与需求直接对接的平台。</w:t>
      </w:r>
    </w:p>
    <w:p>
      <w:pPr>
        <w:keepNext w:val="0"/>
        <w:keepLines w:val="0"/>
        <w:pageBreakBefore w:val="0"/>
        <w:widowControl w:val="0"/>
        <w:kinsoku/>
        <w:wordWrap/>
        <w:overflowPunct/>
        <w:topLinePunct w:val="0"/>
        <w:autoSpaceDE/>
        <w:autoSpaceDN/>
        <w:bidi w:val="0"/>
        <w:adjustRightInd w:val="0"/>
        <w:snapToGrid w:val="0"/>
        <w:spacing w:before="157" w:beforeLines="50" w:beforeAutospacing="0" w:after="157" w:afterLines="50" w:afterAutospacing="0" w:line="554" w:lineRule="exact"/>
        <w:ind w:left="0" w:leftChars="0" w:firstLine="0" w:firstLineChars="0"/>
        <w:jc w:val="center"/>
        <w:textAlignment w:val="auto"/>
        <w:outlineLvl w:val="1"/>
        <w:rPr>
          <w:rFonts w:hint="eastAsia" w:ascii="文星标宋" w:hAnsi="文星标宋" w:eastAsia="文星标宋" w:cs="文星标宋"/>
          <w:bCs/>
          <w:color w:val="auto"/>
          <w:kern w:val="44"/>
          <w:sz w:val="32"/>
          <w:szCs w:val="48"/>
          <w:highlight w:val="none"/>
          <w:lang w:val="en-US" w:eastAsia="zh-CN" w:bidi="ar"/>
        </w:rPr>
      </w:pPr>
      <w:bookmarkStart w:id="38" w:name="_Toc28355"/>
      <w:r>
        <w:rPr>
          <w:rFonts w:hint="eastAsia" w:ascii="文星标宋" w:hAnsi="文星标宋" w:eastAsia="文星标宋" w:cs="文星标宋"/>
          <w:bCs/>
          <w:color w:val="auto"/>
          <w:kern w:val="44"/>
          <w:sz w:val="32"/>
          <w:szCs w:val="48"/>
          <w:highlight w:val="none"/>
          <w:lang w:val="en-US" w:eastAsia="zh-CN" w:bidi="ar"/>
        </w:rPr>
        <w:t>第三节  筑牢高层次人才支撑体系​</w:t>
      </w:r>
      <w:bookmarkEnd w:id="38"/>
    </w:p>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54" w:lineRule="exact"/>
        <w:ind w:left="0" w:leftChars="0" w:firstLine="640" w:firstLineChars="200"/>
        <w:jc w:val="both"/>
        <w:textAlignment w:val="auto"/>
        <w:outlineLvl w:val="2"/>
        <w:rPr>
          <w:rFonts w:hint="eastAsia" w:ascii="楷体_GB2312" w:hAnsi="楷体_GB2312" w:eastAsia="楷体_GB2312" w:cs="楷体_GB2312"/>
          <w:bCs/>
          <w:color w:val="auto"/>
          <w:kern w:val="44"/>
          <w:sz w:val="32"/>
          <w:szCs w:val="48"/>
          <w:highlight w:val="none"/>
          <w:lang w:val="en-US" w:eastAsia="zh-CN" w:bidi="ar"/>
        </w:rPr>
      </w:pPr>
      <w:r>
        <w:rPr>
          <w:rFonts w:hint="eastAsia" w:ascii="黑体" w:hAnsi="黑体" w:eastAsia="黑体" w:cs="黑体"/>
          <w:bCs/>
          <w:color w:val="auto"/>
          <w:kern w:val="44"/>
          <w:sz w:val="32"/>
          <w:szCs w:val="48"/>
          <w:highlight w:val="none"/>
          <w:lang w:val="en-US" w:eastAsia="zh-CN" w:bidi="ar"/>
        </w:rPr>
        <w:t>一、精准引进高端人才团队</w:t>
      </w:r>
      <w:r>
        <w:rPr>
          <w:rFonts w:hint="eastAsia" w:ascii="楷体_GB2312" w:hAnsi="楷体_GB2312" w:eastAsia="楷体_GB2312" w:cs="楷体_GB2312"/>
          <w:bCs/>
          <w:color w:val="auto"/>
          <w:kern w:val="44"/>
          <w:sz w:val="32"/>
          <w:szCs w:val="48"/>
          <w:highlight w:val="none"/>
          <w:lang w:val="en-US" w:eastAsia="zh-CN" w:bidi="ar"/>
        </w:rPr>
        <w:t>​</w:t>
      </w:r>
    </w:p>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54" w:lineRule="exact"/>
        <w:ind w:left="0" w:leftChars="0" w:firstLine="640" w:firstLineChars="200"/>
        <w:jc w:val="both"/>
        <w:textAlignment w:val="auto"/>
        <w:outlineLvl w:val="9"/>
        <w:rPr>
          <w:rFonts w:hint="eastAsia" w:ascii="仿宋_GB2312" w:hAnsi="仿宋_GB2312" w:eastAsia="仿宋_GB2312" w:cs="仿宋_GB2312"/>
          <w:bCs/>
          <w:color w:val="auto"/>
          <w:kern w:val="44"/>
          <w:sz w:val="32"/>
          <w:szCs w:val="48"/>
          <w:highlight w:val="none"/>
          <w:lang w:val="en-US" w:eastAsia="zh-CN" w:bidi="ar"/>
        </w:rPr>
      </w:pPr>
      <w:r>
        <w:rPr>
          <w:rFonts w:hint="eastAsia" w:ascii="仿宋_GB2312" w:hAnsi="仿宋_GB2312" w:eastAsia="仿宋_GB2312" w:cs="仿宋_GB2312"/>
          <w:bCs/>
          <w:color w:val="auto"/>
          <w:kern w:val="44"/>
          <w:sz w:val="32"/>
          <w:szCs w:val="48"/>
          <w:highlight w:val="none"/>
          <w:lang w:val="en-US" w:eastAsia="zh-CN" w:bidi="ar"/>
        </w:rPr>
        <w:t>强化“百脉汇”人才工作品牌集聚效应，大力引进产业发展所需的各类高层次人才，营造尊才、爱才的浓厚氛围。依托国家、省、市、区创新创业大赛，吸引海内外高层次人才和团队来章创新创业，集聚落地一批高科技项目。用好用活各级人才工程支持政策，强化产业人才培育储备，针对产业发展需要，定向招引培育使用一批科研创新人才和科技创业团队，力争“十五五”期间引进培育市级以上领军人才50人。强化科研机构、创新平台、企业人才集聚培养功能，完善人才项目服务保障机制，推动人才与项目同步落地、协同发展。</w:t>
      </w:r>
    </w:p>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54" w:lineRule="exact"/>
        <w:ind w:left="0" w:leftChars="0" w:firstLine="640" w:firstLineChars="200"/>
        <w:jc w:val="both"/>
        <w:textAlignment w:val="auto"/>
        <w:outlineLvl w:val="2"/>
        <w:rPr>
          <w:rFonts w:hint="eastAsia" w:ascii="楷体_GB2312" w:hAnsi="楷体_GB2312" w:eastAsia="楷体_GB2312" w:cs="楷体_GB2312"/>
          <w:bCs/>
          <w:color w:val="auto"/>
          <w:kern w:val="44"/>
          <w:sz w:val="32"/>
          <w:szCs w:val="48"/>
          <w:highlight w:val="none"/>
          <w:lang w:val="en-US" w:eastAsia="zh-CN" w:bidi="ar"/>
        </w:rPr>
      </w:pPr>
      <w:r>
        <w:rPr>
          <w:rFonts w:hint="eastAsia" w:ascii="黑体" w:hAnsi="黑体" w:eastAsia="黑体" w:cs="黑体"/>
          <w:bCs/>
          <w:color w:val="auto"/>
          <w:kern w:val="44"/>
          <w:sz w:val="32"/>
          <w:szCs w:val="48"/>
          <w:highlight w:val="none"/>
          <w:lang w:val="en-US" w:eastAsia="zh-CN" w:bidi="ar"/>
        </w:rPr>
        <w:t>二、加强本土人才培育</w:t>
      </w:r>
      <w:r>
        <w:rPr>
          <w:rFonts w:hint="eastAsia" w:ascii="楷体_GB2312" w:hAnsi="楷体_GB2312" w:eastAsia="楷体_GB2312" w:cs="楷体_GB2312"/>
          <w:bCs/>
          <w:color w:val="auto"/>
          <w:kern w:val="44"/>
          <w:sz w:val="32"/>
          <w:szCs w:val="48"/>
          <w:highlight w:val="none"/>
          <w:lang w:val="en-US" w:eastAsia="zh-CN" w:bidi="ar"/>
        </w:rPr>
        <w:t>​</w:t>
      </w:r>
    </w:p>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54" w:lineRule="exact"/>
        <w:ind w:left="0" w:leftChars="0" w:firstLine="640" w:firstLineChars="200"/>
        <w:jc w:val="both"/>
        <w:textAlignment w:val="auto"/>
        <w:outlineLvl w:val="9"/>
        <w:rPr>
          <w:rFonts w:hint="eastAsia" w:ascii="仿宋_GB2312" w:hAnsi="仿宋_GB2312" w:eastAsia="仿宋_GB2312" w:cs="仿宋_GB2312"/>
          <w:bCs/>
          <w:color w:val="auto"/>
          <w:kern w:val="44"/>
          <w:sz w:val="32"/>
          <w:szCs w:val="48"/>
          <w:highlight w:val="none"/>
          <w:lang w:val="en-US" w:eastAsia="zh-CN" w:bidi="ar"/>
        </w:rPr>
      </w:pPr>
      <w:r>
        <w:rPr>
          <w:rFonts w:hint="eastAsia" w:ascii="仿宋_GB2312" w:hAnsi="仿宋_GB2312" w:eastAsia="仿宋_GB2312" w:cs="仿宋_GB2312"/>
          <w:bCs/>
          <w:color w:val="auto"/>
          <w:kern w:val="44"/>
          <w:sz w:val="32"/>
          <w:szCs w:val="48"/>
          <w:highlight w:val="none"/>
          <w:lang w:val="en-US" w:eastAsia="zh-CN" w:bidi="ar"/>
        </w:rPr>
        <w:t>定期举办“高校专家企业行”“企业家进校园”等品牌活动，促进人才链与产业链深度耦合，实现高校育才、产业用才。依托齐鲁理工学院、济南工程职业技术学院等院校，以及大型企业培训中心，围绕高端装备制造、新材料、生物医药等领域，开展技能培训、岗位练兵与技术比武活动，每年培养高技能人才1200人以上。深化职普融通、中高职贯通培养，推动中等职业学校与普通高中开展课程互选、学分互认，拓宽学生成长通道。实施企业科研人才培育计划，支持企业与高校联合开展在职研究生培养、专业技术人员继续教育，支持企业研发项目列入省市技术创新项目，以项目实践培育企业内部科研人才，提升企业自主创新能力。畅通高校、科研院所、企业人才和科研成果交流通道，建强技术经理人队伍，激发创新创业动力活力。​</w:t>
      </w:r>
    </w:p>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54" w:lineRule="exact"/>
        <w:ind w:left="0" w:leftChars="0" w:firstLine="640" w:firstLineChars="200"/>
        <w:jc w:val="both"/>
        <w:textAlignment w:val="auto"/>
        <w:outlineLvl w:val="2"/>
        <w:rPr>
          <w:rFonts w:hint="eastAsia" w:ascii="楷体_GB2312" w:hAnsi="楷体_GB2312" w:eastAsia="楷体_GB2312" w:cs="楷体_GB2312"/>
          <w:bCs/>
          <w:color w:val="auto"/>
          <w:kern w:val="44"/>
          <w:sz w:val="32"/>
          <w:szCs w:val="48"/>
          <w:highlight w:val="none"/>
          <w:lang w:val="en-US" w:eastAsia="zh-CN" w:bidi="ar"/>
        </w:rPr>
      </w:pPr>
      <w:r>
        <w:rPr>
          <w:rFonts w:hint="eastAsia" w:ascii="黑体" w:hAnsi="黑体" w:eastAsia="黑体" w:cs="黑体"/>
          <w:bCs/>
          <w:color w:val="auto"/>
          <w:kern w:val="44"/>
          <w:sz w:val="32"/>
          <w:szCs w:val="48"/>
          <w:highlight w:val="none"/>
          <w:lang w:val="en-US" w:eastAsia="zh-CN" w:bidi="ar"/>
        </w:rPr>
        <w:t>三、优化人才发展生态</w:t>
      </w:r>
      <w:r>
        <w:rPr>
          <w:rFonts w:hint="eastAsia" w:ascii="楷体_GB2312" w:hAnsi="楷体_GB2312" w:eastAsia="楷体_GB2312" w:cs="楷体_GB2312"/>
          <w:bCs/>
          <w:color w:val="auto"/>
          <w:kern w:val="44"/>
          <w:sz w:val="32"/>
          <w:szCs w:val="48"/>
          <w:highlight w:val="none"/>
          <w:lang w:val="en-US" w:eastAsia="zh-CN" w:bidi="ar"/>
        </w:rPr>
        <w:t>​</w:t>
      </w:r>
    </w:p>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54" w:lineRule="exact"/>
        <w:ind w:left="0" w:leftChars="0" w:firstLine="640" w:firstLineChars="200"/>
        <w:jc w:val="both"/>
        <w:textAlignment w:val="auto"/>
        <w:outlineLvl w:val="9"/>
        <w:rPr>
          <w:rFonts w:hint="eastAsia" w:ascii="仿宋_GB2312" w:hAnsi="仿宋_GB2312" w:eastAsia="仿宋_GB2312" w:cs="仿宋_GB2312"/>
          <w:bCs/>
          <w:color w:val="auto"/>
          <w:kern w:val="44"/>
          <w:sz w:val="32"/>
          <w:szCs w:val="48"/>
          <w:highlight w:val="none"/>
          <w:lang w:val="en-US" w:eastAsia="zh-CN" w:bidi="ar"/>
        </w:rPr>
      </w:pPr>
      <w:r>
        <w:rPr>
          <w:rFonts w:hint="eastAsia" w:ascii="仿宋_GB2312" w:hAnsi="仿宋_GB2312" w:eastAsia="仿宋_GB2312" w:cs="仿宋_GB2312"/>
          <w:bCs/>
          <w:color w:val="auto"/>
          <w:kern w:val="44"/>
          <w:sz w:val="32"/>
          <w:szCs w:val="48"/>
          <w:highlight w:val="none"/>
          <w:lang w:val="en-US" w:eastAsia="zh-CN" w:bidi="ar"/>
        </w:rPr>
        <w:t>完善高层次人才“一事一议”引进机制，对符合章丘产业发展急需的顶尖人才与团队，成立专项工作组进行评估与对接，在人才待遇、项目支持等方面给予定制化政策。升级人才服务“绿色通道”，整合人社、医疗、住建、教育等部门资源，在政务服务中心设立人才服务专窗，提供“一站式”服务，全面落实就医保健、住房保障、子女入学等重点环节。用好章丘博士联盟，定期组织学术交流、技术研讨活动。健全人才联系服务机制，针对高层次人才定期走访对接，解决工作与生活中的困难，营造“近悦远来”的浓厚氛围。</w:t>
      </w:r>
    </w:p>
    <w:p>
      <w:pPr>
        <w:keepNext w:val="0"/>
        <w:keepLines w:val="0"/>
        <w:pageBreakBefore w:val="0"/>
        <w:widowControl w:val="0"/>
        <w:kinsoku/>
        <w:wordWrap/>
        <w:overflowPunct/>
        <w:topLinePunct w:val="0"/>
        <w:autoSpaceDE/>
        <w:autoSpaceDN/>
        <w:bidi w:val="0"/>
        <w:adjustRightInd w:val="0"/>
        <w:snapToGrid w:val="0"/>
        <w:spacing w:before="157" w:beforeLines="50" w:beforeAutospacing="0" w:after="157" w:afterLines="50" w:afterAutospacing="0" w:line="554" w:lineRule="exact"/>
        <w:ind w:left="0" w:leftChars="0" w:firstLine="0" w:firstLineChars="0"/>
        <w:jc w:val="center"/>
        <w:textAlignment w:val="auto"/>
        <w:outlineLvl w:val="1"/>
        <w:rPr>
          <w:rFonts w:hint="eastAsia" w:ascii="黑体" w:hAnsi="黑体" w:eastAsia="黑体" w:cs="黑体"/>
          <w:bCs/>
          <w:color w:val="auto"/>
          <w:kern w:val="44"/>
          <w:sz w:val="32"/>
          <w:szCs w:val="48"/>
          <w:highlight w:val="none"/>
          <w:lang w:val="en-US" w:eastAsia="zh-CN" w:bidi="ar"/>
        </w:rPr>
      </w:pPr>
      <w:bookmarkStart w:id="39" w:name="_Toc17410"/>
      <w:r>
        <w:rPr>
          <w:rFonts w:hint="eastAsia" w:ascii="黑体" w:hAnsi="黑体" w:eastAsia="黑体" w:cs="黑体"/>
          <w:bCs/>
          <w:color w:val="auto"/>
          <w:kern w:val="44"/>
          <w:sz w:val="32"/>
          <w:szCs w:val="48"/>
          <w:highlight w:val="none"/>
          <w:lang w:val="en-US" w:eastAsia="zh-CN" w:bidi="ar"/>
        </w:rPr>
        <w:t>第四节  优化创新创业生态环境</w:t>
      </w:r>
    </w:p>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54" w:lineRule="exact"/>
        <w:ind w:left="0" w:leftChars="0" w:firstLine="640" w:firstLineChars="200"/>
        <w:jc w:val="both"/>
        <w:textAlignment w:val="auto"/>
        <w:outlineLvl w:val="2"/>
        <w:rPr>
          <w:rFonts w:hint="eastAsia" w:ascii="楷体_GB2312" w:hAnsi="楷体_GB2312" w:eastAsia="楷体_GB2312" w:cs="楷体_GB2312"/>
          <w:bCs/>
          <w:color w:val="auto"/>
          <w:kern w:val="44"/>
          <w:sz w:val="32"/>
          <w:szCs w:val="48"/>
          <w:highlight w:val="none"/>
          <w:lang w:val="en-US" w:eastAsia="zh-CN" w:bidi="ar"/>
        </w:rPr>
      </w:pPr>
      <w:r>
        <w:rPr>
          <w:rFonts w:hint="eastAsia" w:ascii="黑体" w:hAnsi="黑体" w:eastAsia="黑体" w:cs="黑体"/>
          <w:bCs/>
          <w:color w:val="auto"/>
          <w:kern w:val="44"/>
          <w:sz w:val="32"/>
          <w:szCs w:val="48"/>
          <w:highlight w:val="none"/>
          <w:lang w:val="en-US" w:eastAsia="zh-CN" w:bidi="ar"/>
        </w:rPr>
        <w:t>一、构建高校主导的创新策源体系</w:t>
      </w:r>
      <w:r>
        <w:rPr>
          <w:rFonts w:hint="eastAsia" w:ascii="楷体_GB2312" w:hAnsi="楷体_GB2312" w:eastAsia="楷体_GB2312" w:cs="楷体_GB2312"/>
          <w:bCs/>
          <w:color w:val="auto"/>
          <w:kern w:val="44"/>
          <w:sz w:val="32"/>
          <w:szCs w:val="48"/>
          <w:highlight w:val="none"/>
          <w:lang w:val="en-US" w:eastAsia="zh-CN" w:bidi="ar"/>
        </w:rPr>
        <w:t>​</w:t>
      </w:r>
    </w:p>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54" w:lineRule="exact"/>
        <w:ind w:left="0" w:leftChars="0" w:firstLine="640" w:firstLineChars="200"/>
        <w:jc w:val="both"/>
        <w:textAlignment w:val="auto"/>
        <w:outlineLvl w:val="9"/>
        <w:rPr>
          <w:rFonts w:hint="eastAsia" w:ascii="仿宋_GB2312" w:hAnsi="仿宋_GB2312" w:eastAsia="仿宋_GB2312" w:cs="仿宋_GB2312"/>
          <w:bCs/>
          <w:color w:val="auto"/>
          <w:kern w:val="44"/>
          <w:sz w:val="32"/>
          <w:szCs w:val="48"/>
          <w:highlight w:val="none"/>
          <w:lang w:val="en-US" w:eastAsia="zh-CN" w:bidi="ar"/>
        </w:rPr>
      </w:pPr>
      <w:r>
        <w:rPr>
          <w:rFonts w:hint="eastAsia" w:ascii="仿宋_GB2312" w:hAnsi="仿宋_GB2312" w:eastAsia="仿宋_GB2312" w:cs="仿宋_GB2312"/>
          <w:bCs/>
          <w:color w:val="auto"/>
          <w:kern w:val="44"/>
          <w:sz w:val="32"/>
          <w:szCs w:val="48"/>
          <w:highlight w:val="none"/>
          <w:lang w:val="en-US" w:eastAsia="zh-CN" w:bidi="ar"/>
        </w:rPr>
        <w:t>以山东大学龙山校区（创新港）、空天信息大学为核心引擎，以经十东路科创走廊为主轴，围绕“人才高地、科创中心”建设目标，高标准</w:t>
      </w:r>
      <w:bookmarkStart w:id="40" w:name="_Hlk217997429"/>
      <w:r>
        <w:rPr>
          <w:rFonts w:hint="eastAsia" w:ascii="仿宋_GB2312" w:hAnsi="仿宋_GB2312" w:eastAsia="仿宋_GB2312" w:cs="仿宋_GB2312"/>
          <w:bCs/>
          <w:color w:val="auto"/>
          <w:kern w:val="44"/>
          <w:sz w:val="32"/>
          <w:szCs w:val="48"/>
          <w:highlight w:val="none"/>
          <w:lang w:val="en-US" w:eastAsia="zh-CN" w:bidi="ar"/>
        </w:rPr>
        <w:t>打造环高校创新创业集聚区</w:t>
      </w:r>
      <w:bookmarkEnd w:id="40"/>
      <w:r>
        <w:rPr>
          <w:rFonts w:hint="eastAsia" w:ascii="仿宋_GB2312" w:hAnsi="仿宋_GB2312" w:eastAsia="仿宋_GB2312" w:cs="仿宋_GB2312"/>
          <w:bCs/>
          <w:color w:val="auto"/>
          <w:kern w:val="44"/>
          <w:sz w:val="32"/>
          <w:szCs w:val="48"/>
          <w:highlight w:val="none"/>
          <w:lang w:val="en-US" w:eastAsia="zh-CN" w:bidi="ar"/>
        </w:rPr>
        <w:t>。依托山东大学在材料科学、机械工程、信息技术等优势学科，以及空天信息大学在航空航天、遥感探测、卫星应用等特色领域，引导创新资源配置，提升原始创新能力。同步加快大学科技产业园、大学校友创业园等载体建设，推动校属企业研发总部、科技成果中试基地及产业化项目入驻，形成全链条创新生态。健全校地共建共享机制，完善定期会商、项目对接与资源共享机制。鼓励科技中介机构、技术转移中心入驻校区周边，为高校与企业提供技术评估、专利运营、项目撮合等个性化服务，推动高校创新资源与地方产业需求深度融合，着力打造济南校地协同融合示范区。</w:t>
      </w:r>
    </w:p>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54" w:lineRule="exact"/>
        <w:ind w:left="0" w:leftChars="0" w:firstLine="640" w:firstLineChars="200"/>
        <w:jc w:val="both"/>
        <w:textAlignment w:val="auto"/>
        <w:outlineLvl w:val="2"/>
        <w:rPr>
          <w:rFonts w:hint="eastAsia" w:ascii="楷体_GB2312" w:hAnsi="楷体_GB2312" w:eastAsia="楷体_GB2312" w:cs="楷体_GB2312"/>
          <w:bCs/>
          <w:color w:val="auto"/>
          <w:kern w:val="44"/>
          <w:sz w:val="32"/>
          <w:szCs w:val="48"/>
          <w:highlight w:val="none"/>
          <w:lang w:val="en-US" w:eastAsia="zh-CN" w:bidi="ar"/>
        </w:rPr>
      </w:pPr>
      <w:r>
        <w:rPr>
          <w:rFonts w:hint="eastAsia" w:ascii="黑体" w:hAnsi="黑体" w:eastAsia="黑体" w:cs="黑体"/>
          <w:bCs/>
          <w:color w:val="auto"/>
          <w:kern w:val="44"/>
          <w:sz w:val="32"/>
          <w:szCs w:val="48"/>
          <w:highlight w:val="none"/>
          <w:lang w:val="en-US" w:eastAsia="zh-CN" w:bidi="ar"/>
        </w:rPr>
        <w:t>二、建设特色产业创新集聚区</w:t>
      </w:r>
      <w:r>
        <w:rPr>
          <w:rFonts w:hint="eastAsia" w:ascii="楷体_GB2312" w:hAnsi="楷体_GB2312" w:eastAsia="楷体_GB2312" w:cs="楷体_GB2312"/>
          <w:bCs/>
          <w:color w:val="auto"/>
          <w:kern w:val="44"/>
          <w:sz w:val="32"/>
          <w:szCs w:val="48"/>
          <w:highlight w:val="none"/>
          <w:lang w:val="en-US" w:eastAsia="zh-CN" w:bidi="ar"/>
        </w:rPr>
        <w:t>​</w:t>
      </w:r>
    </w:p>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54" w:lineRule="exact"/>
        <w:ind w:left="0" w:leftChars="0" w:firstLine="640" w:firstLineChars="200"/>
        <w:jc w:val="both"/>
        <w:textAlignment w:val="auto"/>
        <w:outlineLvl w:val="9"/>
        <w:rPr>
          <w:rFonts w:hint="eastAsia" w:ascii="仿宋_GB2312" w:hAnsi="仿宋_GB2312" w:eastAsia="仿宋_GB2312" w:cs="仿宋_GB2312"/>
          <w:bCs/>
          <w:color w:val="auto"/>
          <w:kern w:val="44"/>
          <w:sz w:val="32"/>
          <w:szCs w:val="48"/>
          <w:highlight w:val="none"/>
          <w:lang w:val="en-US" w:eastAsia="zh-CN" w:bidi="ar"/>
        </w:rPr>
      </w:pPr>
      <w:r>
        <w:rPr>
          <w:rFonts w:hint="eastAsia" w:ascii="仿宋_GB2312" w:hAnsi="仿宋_GB2312" w:eastAsia="仿宋_GB2312" w:cs="仿宋_GB2312"/>
          <w:bCs/>
          <w:color w:val="auto"/>
          <w:kern w:val="44"/>
          <w:sz w:val="32"/>
          <w:szCs w:val="48"/>
          <w:highlight w:val="none"/>
          <w:lang w:val="en-US" w:eastAsia="zh-CN" w:bidi="ar"/>
        </w:rPr>
        <w:t>以明水经济技术开发区为核心，按照“产业分区、功能集聚”原则，划分西片区科创服务与新兴产业融合创新区、东片区制造业创新转型区与北片区济南刁镇化工产业园新材料创新提升区，推动创新要素向三大片区集中布局。西片区依托山东大学龙山校区（创新港）等资源，聚焦生物医药、数字经济等领域，建设科创服务与新兴产业融合创新平台，强化产学研协同与科技成果转化。东片区重点围绕高端装备、汽车零部件等产业，建设智能制造创新平台，引入工业互联网、智能检测等技术，推动传统制造业向高端化、智能化转型。北片区聚焦绿色化工、高性能复合材料等领域，建设新材料创新中心，开展环保型涂料、特种高分子材料等技术研发与产业化。推进市、区共建中材人工晶体研究院等平台，引导重大创新平台及园区提升科技创新研发能级，力争到“十五五”末培育工程研究中心、新型研发机构、技术创新中心、重点实验室等省级以上平台10家以上。</w:t>
      </w:r>
    </w:p>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54" w:lineRule="exact"/>
        <w:ind w:left="0" w:leftChars="0" w:firstLine="640" w:firstLineChars="200"/>
        <w:jc w:val="both"/>
        <w:textAlignment w:val="auto"/>
        <w:outlineLvl w:val="2"/>
        <w:rPr>
          <w:rFonts w:hint="eastAsia" w:ascii="楷体_GB2312" w:hAnsi="楷体_GB2312" w:eastAsia="楷体_GB2312" w:cs="楷体_GB2312"/>
          <w:bCs/>
          <w:color w:val="auto"/>
          <w:kern w:val="44"/>
          <w:sz w:val="32"/>
          <w:szCs w:val="48"/>
          <w:highlight w:val="none"/>
          <w:lang w:val="en-US" w:eastAsia="zh-CN" w:bidi="ar"/>
        </w:rPr>
      </w:pPr>
      <w:r>
        <w:rPr>
          <w:rFonts w:hint="eastAsia" w:ascii="黑体" w:hAnsi="黑体" w:eastAsia="黑体" w:cs="黑体"/>
          <w:bCs/>
          <w:color w:val="auto"/>
          <w:kern w:val="44"/>
          <w:sz w:val="32"/>
          <w:szCs w:val="48"/>
          <w:highlight w:val="none"/>
          <w:lang w:val="en-US" w:eastAsia="zh-CN" w:bidi="ar"/>
        </w:rPr>
        <w:t>三、深化区域协同创新合作</w:t>
      </w:r>
      <w:r>
        <w:rPr>
          <w:rFonts w:hint="eastAsia" w:ascii="楷体_GB2312" w:hAnsi="楷体_GB2312" w:eastAsia="楷体_GB2312" w:cs="楷体_GB2312"/>
          <w:bCs/>
          <w:color w:val="auto"/>
          <w:kern w:val="44"/>
          <w:sz w:val="32"/>
          <w:szCs w:val="48"/>
          <w:highlight w:val="none"/>
          <w:lang w:val="en-US" w:eastAsia="zh-CN" w:bidi="ar"/>
        </w:rPr>
        <w:t>​</w:t>
      </w:r>
    </w:p>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54" w:lineRule="exact"/>
        <w:ind w:left="0" w:leftChars="0" w:firstLine="640" w:firstLineChars="200"/>
        <w:jc w:val="both"/>
        <w:textAlignment w:val="auto"/>
        <w:outlineLvl w:val="9"/>
        <w:rPr>
          <w:rFonts w:hint="eastAsia" w:ascii="仿宋_GB2312" w:hAnsi="仿宋_GB2312" w:eastAsia="仿宋_GB2312" w:cs="仿宋_GB2312"/>
          <w:bCs/>
          <w:color w:val="auto"/>
          <w:kern w:val="44"/>
          <w:sz w:val="32"/>
          <w:szCs w:val="48"/>
          <w:highlight w:val="none"/>
          <w:lang w:val="en-US" w:eastAsia="zh-CN" w:bidi="ar"/>
        </w:rPr>
      </w:pPr>
      <w:r>
        <w:rPr>
          <w:rFonts w:hint="eastAsia" w:ascii="仿宋_GB2312" w:hAnsi="仿宋_GB2312" w:eastAsia="仿宋_GB2312" w:cs="仿宋_GB2312"/>
          <w:bCs/>
          <w:color w:val="auto"/>
          <w:kern w:val="44"/>
          <w:sz w:val="32"/>
          <w:szCs w:val="48"/>
          <w:highlight w:val="none"/>
          <w:lang w:val="en-US" w:eastAsia="zh-CN" w:bidi="ar"/>
        </w:rPr>
        <w:t>以轨道交通8号线为交通纽带，串联龙山数字经济产业园、中白新材料产业园、蓝海领航大数据产业园等重点园区，完善商业综合体、人才公寓等配套设施，打造便捷高效的“15分钟创新创业生活圈”，建成交通便捷、活力迸发、宜业宜居的创新活力带。加强与省级重大创新平台的合作对接，建立创新资源共享机制，推动大型科研设备、科技文献数据库、检验检测平台向章丘企业开放共享，降低企业研发成本。扩大“研发孵化在外部、产业落地在章丘”合作模式覆盖面，支持明水经济技术开发区在济南高新区、青岛蓝谷及长三角、京津冀创新资源密集城市建设异地孵化基地和飞地园区，吸引外地优质科技项目在异地孵化成熟后，到章丘实现产业化落地。组织企业定期参与京津冀、长三角地区、粤港澳大湾区科技创新展会、项目对接会，推动与外地高校、科研院所、龙头企业开展联合攻关，重点在航空航天和低空经济、高端装备等领域建立跨区域创新合作联盟，形成区域创新合力，提升章丘在区域创新网络中的影响力。</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522" w:type="dxa"/>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0" w:firstLineChars="0"/>
              <w:jc w:val="center"/>
              <w:textAlignment w:val="auto"/>
              <w:outlineLvl w:val="9"/>
              <w:rPr>
                <w:rFonts w:hint="default" w:ascii="楷体_GB2312" w:hAnsi="楷体_GB2312" w:eastAsia="楷体_GB2312" w:cs="楷体_GB2312"/>
                <w:b w:val="0"/>
                <w:bCs w:val="0"/>
                <w:color w:val="auto"/>
                <w:sz w:val="28"/>
                <w:szCs w:val="28"/>
                <w:highlight w:val="none"/>
                <w:lang w:val="en-US" w:eastAsia="zh-CN"/>
              </w:rPr>
            </w:pPr>
            <w:r>
              <w:rPr>
                <w:rFonts w:hint="eastAsia" w:ascii="楷体_GB2312" w:hAnsi="楷体_GB2312" w:eastAsia="楷体_GB2312" w:cs="楷体_GB2312"/>
                <w:b w:val="0"/>
                <w:bCs w:val="0"/>
                <w:color w:val="auto"/>
                <w:sz w:val="28"/>
                <w:szCs w:val="28"/>
                <w:highlight w:val="none"/>
                <w:vertAlign w:val="baseline"/>
                <w:lang w:val="en-US" w:eastAsia="zh-CN"/>
              </w:rPr>
              <w:t>专栏7  重点创新载体建设项目</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560" w:firstLineChars="200"/>
              <w:textAlignment w:val="auto"/>
              <w:outlineLvl w:val="9"/>
              <w:rPr>
                <w:rFonts w:hint="eastAsia" w:ascii="楷体_GB2312" w:hAnsi="楷体_GB2312" w:eastAsia="楷体_GB2312" w:cs="楷体_GB2312"/>
                <w:b w:val="0"/>
                <w:bCs w:val="0"/>
                <w:color w:val="auto"/>
                <w:sz w:val="28"/>
                <w:szCs w:val="28"/>
                <w:highlight w:val="none"/>
                <w:lang w:val="en-US" w:eastAsia="zh-CN"/>
              </w:rPr>
            </w:pPr>
            <w:r>
              <w:rPr>
                <w:rFonts w:hint="eastAsia" w:ascii="楷体_GB2312" w:hAnsi="楷体_GB2312" w:eastAsia="楷体_GB2312" w:cs="楷体_GB2312"/>
                <w:b w:val="0"/>
                <w:bCs w:val="0"/>
                <w:color w:val="auto"/>
                <w:sz w:val="28"/>
                <w:szCs w:val="28"/>
                <w:highlight w:val="none"/>
                <w:lang w:val="en-US" w:eastAsia="zh-CN"/>
              </w:rPr>
              <w:t>1.空天信息产教融合先导区：借助空天信息大学高水平科技、教育和人才优势，在信息与通讯工程、遥感科学、导航工程等领域前瞻布局，积极争创低空创新应用先行区。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560" w:firstLineChars="200"/>
              <w:textAlignment w:val="auto"/>
              <w:outlineLvl w:val="9"/>
              <w:rPr>
                <w:rFonts w:hint="eastAsia" w:ascii="楷体_GB2312" w:hAnsi="楷体_GB2312" w:eastAsia="楷体_GB2312" w:cs="楷体_GB2312"/>
                <w:b w:val="0"/>
                <w:bCs w:val="0"/>
                <w:color w:val="auto"/>
                <w:sz w:val="28"/>
                <w:szCs w:val="28"/>
                <w:highlight w:val="none"/>
                <w:lang w:val="en-US" w:eastAsia="zh-CN"/>
              </w:rPr>
            </w:pPr>
            <w:r>
              <w:rPr>
                <w:rFonts w:hint="eastAsia" w:ascii="楷体_GB2312" w:hAnsi="楷体_GB2312" w:eastAsia="楷体_GB2312" w:cs="楷体_GB2312"/>
                <w:b w:val="0"/>
                <w:bCs w:val="0"/>
                <w:color w:val="auto"/>
                <w:sz w:val="28"/>
                <w:szCs w:val="28"/>
                <w:highlight w:val="none"/>
                <w:lang w:val="en-US" w:eastAsia="zh-CN"/>
              </w:rPr>
              <w:t>2.龙山国际创新城：以山东大学龙山校区（创新港）为核心，对周边区域进行综合开发，建设有联系、可间隔的科技、文化、商业、旅游、居住等功能区，推动学研产城高质量融合发展。</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560" w:firstLineChars="200"/>
              <w:textAlignment w:val="auto"/>
              <w:outlineLvl w:val="9"/>
              <w:rPr>
                <w:rFonts w:hint="eastAsia" w:ascii="楷体_GB2312" w:hAnsi="楷体_GB2312" w:eastAsia="楷体_GB2312" w:cs="楷体_GB2312"/>
                <w:b w:val="0"/>
                <w:bCs w:val="0"/>
                <w:color w:val="auto"/>
                <w:sz w:val="28"/>
                <w:szCs w:val="28"/>
                <w:highlight w:val="none"/>
                <w:lang w:val="en-US" w:eastAsia="zh-CN"/>
              </w:rPr>
            </w:pPr>
            <w:r>
              <w:rPr>
                <w:rFonts w:hint="eastAsia" w:ascii="楷体_GB2312" w:hAnsi="楷体_GB2312" w:eastAsia="楷体_GB2312" w:cs="楷体_GB2312"/>
                <w:b w:val="0"/>
                <w:bCs w:val="0"/>
                <w:color w:val="auto"/>
                <w:sz w:val="28"/>
                <w:szCs w:val="28"/>
                <w:highlight w:val="none"/>
                <w:lang w:val="en-US" w:eastAsia="zh-CN"/>
              </w:rPr>
              <w:t>3.山东能源科创园：聚焦我国煤炭和山东省“十强产业”等技术领域，在煤炭绿色安全高效开采、高端化工、新材料、电气装备等方向，在园区建设一批高水平研究机构，培育战略新型产业集群、支撑传统产业转型升级。</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560" w:firstLineChars="200"/>
              <w:textAlignment w:val="auto"/>
              <w:outlineLvl w:val="9"/>
              <w:rPr>
                <w:rFonts w:hint="eastAsia"/>
                <w:color w:val="auto"/>
                <w:highlight w:val="none"/>
                <w:lang w:val="en-US" w:eastAsia="zh-CN"/>
              </w:rPr>
            </w:pPr>
            <w:r>
              <w:rPr>
                <w:rFonts w:hint="eastAsia" w:ascii="楷体_GB2312" w:hAnsi="楷体_GB2312" w:eastAsia="楷体_GB2312" w:cs="楷体_GB2312"/>
                <w:b w:val="0"/>
                <w:bCs w:val="0"/>
                <w:color w:val="auto"/>
                <w:sz w:val="28"/>
                <w:szCs w:val="28"/>
                <w:highlight w:val="none"/>
                <w:lang w:val="en-US" w:eastAsia="zh-CN"/>
              </w:rPr>
              <w:t>4.圣泉先进材料创新基地：搭建国内领先的先进材料研制及测试平台，主要开展先进封装材料、电子酚醛树脂、特种环氧树脂、超低介电电子材料、光刻胶、高性能酚醛树脂及树脂基复合材料等高附加值产品共性关键核心技术研发及应用验证。</w:t>
            </w:r>
          </w:p>
        </w:tc>
      </w:tr>
      <w:bookmarkEnd w:id="39"/>
    </w:tbl>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firstLine="640" w:firstLineChars="200"/>
        <w:jc w:val="both"/>
        <w:textAlignment w:val="auto"/>
        <w:outlineLvl w:val="2"/>
        <w:rPr>
          <w:rFonts w:hint="eastAsia" w:ascii="楷体_GB2312" w:hAnsi="楷体_GB2312" w:eastAsia="楷体_GB2312" w:cs="楷体_GB2312"/>
          <w:bCs/>
          <w:color w:val="auto"/>
          <w:kern w:val="44"/>
          <w:sz w:val="32"/>
          <w:szCs w:val="48"/>
          <w:highlight w:val="none"/>
          <w:lang w:val="en-US" w:eastAsia="zh-CN" w:bidi="ar"/>
        </w:rPr>
      </w:pPr>
      <w:r>
        <w:rPr>
          <w:rFonts w:hint="eastAsia" w:ascii="黑体" w:hAnsi="黑体" w:eastAsia="黑体" w:cs="黑体"/>
          <w:bCs/>
          <w:color w:val="auto"/>
          <w:kern w:val="44"/>
          <w:sz w:val="32"/>
          <w:szCs w:val="48"/>
          <w:highlight w:val="none"/>
          <w:lang w:val="en-US" w:eastAsia="zh-CN" w:bidi="ar"/>
        </w:rPr>
        <w:t>四、强化金融精准赋能</w:t>
      </w:r>
      <w:r>
        <w:rPr>
          <w:rFonts w:hint="eastAsia" w:ascii="楷体_GB2312" w:hAnsi="楷体_GB2312" w:eastAsia="楷体_GB2312" w:cs="楷体_GB2312"/>
          <w:bCs/>
          <w:color w:val="auto"/>
          <w:kern w:val="44"/>
          <w:sz w:val="32"/>
          <w:szCs w:val="48"/>
          <w:highlight w:val="none"/>
          <w:lang w:val="en-US" w:eastAsia="zh-CN" w:bidi="ar"/>
        </w:rPr>
        <w:t>​</w:t>
      </w:r>
    </w:p>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firstLine="640" w:firstLineChars="200"/>
        <w:jc w:val="both"/>
        <w:textAlignment w:val="auto"/>
        <w:outlineLvl w:val="9"/>
        <w:rPr>
          <w:rFonts w:hint="eastAsia" w:ascii="仿宋_GB2312" w:hAnsi="仿宋_GB2312" w:eastAsia="仿宋_GB2312" w:cs="仿宋_GB2312"/>
          <w:bCs/>
          <w:color w:val="auto"/>
          <w:kern w:val="44"/>
          <w:sz w:val="32"/>
          <w:szCs w:val="48"/>
          <w:highlight w:val="none"/>
          <w:lang w:val="en-US" w:eastAsia="zh-CN" w:bidi="ar"/>
        </w:rPr>
      </w:pPr>
      <w:r>
        <w:rPr>
          <w:rFonts w:hint="eastAsia" w:ascii="仿宋_GB2312" w:hAnsi="仿宋_GB2312" w:eastAsia="仿宋_GB2312" w:cs="仿宋_GB2312"/>
          <w:bCs/>
          <w:color w:val="auto"/>
          <w:kern w:val="44"/>
          <w:sz w:val="32"/>
          <w:szCs w:val="48"/>
          <w:highlight w:val="none"/>
          <w:lang w:val="en-US" w:eastAsia="zh-CN" w:bidi="ar"/>
        </w:rPr>
        <w:t>健全“政府＋银行＋证券＋基金＋服务机构”融资服务体系，综合运用信贷、债券、融资担保等多种工具，打造覆盖企业“种子期—初创期—成长期—成熟期”的全周期资本支持链条。加大惠企融资政策推介力度，通过“政府搭台银企唱戏”，组织专场银企对接活动。建立“政策兑现台账”，梳理各级惠企政策，形成“政策清单”，保障企业及时享受政策红利。</w:t>
      </w:r>
    </w:p>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firstLine="640" w:firstLineChars="200"/>
        <w:jc w:val="both"/>
        <w:textAlignment w:val="auto"/>
        <w:outlineLvl w:val="2"/>
        <w:rPr>
          <w:rFonts w:hint="eastAsia" w:ascii="楷体_GB2312" w:hAnsi="楷体_GB2312" w:eastAsia="楷体_GB2312" w:cs="楷体_GB2312"/>
          <w:bCs/>
          <w:color w:val="auto"/>
          <w:kern w:val="44"/>
          <w:sz w:val="32"/>
          <w:szCs w:val="48"/>
          <w:highlight w:val="none"/>
          <w:lang w:val="en-US" w:eastAsia="zh-CN" w:bidi="ar"/>
        </w:rPr>
      </w:pPr>
      <w:r>
        <w:rPr>
          <w:rFonts w:hint="eastAsia" w:ascii="黑体" w:hAnsi="黑体" w:eastAsia="黑体" w:cs="黑体"/>
          <w:bCs/>
          <w:color w:val="auto"/>
          <w:kern w:val="44"/>
          <w:sz w:val="32"/>
          <w:szCs w:val="48"/>
          <w:highlight w:val="none"/>
          <w:lang w:val="en-US" w:eastAsia="zh-CN" w:bidi="ar"/>
        </w:rPr>
        <w:t>五、营造创新创业良好氛围</w:t>
      </w:r>
      <w:r>
        <w:rPr>
          <w:rFonts w:hint="eastAsia" w:ascii="楷体_GB2312" w:hAnsi="楷体_GB2312" w:eastAsia="楷体_GB2312" w:cs="楷体_GB2312"/>
          <w:bCs/>
          <w:color w:val="auto"/>
          <w:kern w:val="44"/>
          <w:sz w:val="32"/>
          <w:szCs w:val="48"/>
          <w:highlight w:val="none"/>
          <w:lang w:val="en-US" w:eastAsia="zh-CN" w:bidi="ar"/>
        </w:rPr>
        <w:t>​</w:t>
      </w:r>
    </w:p>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firstLine="640" w:firstLineChars="200"/>
        <w:jc w:val="both"/>
        <w:textAlignment w:val="auto"/>
        <w:outlineLvl w:val="9"/>
        <w:rPr>
          <w:rFonts w:hint="eastAsia" w:ascii="仿宋_GB2312" w:hAnsi="仿宋_GB2312" w:eastAsia="仿宋_GB2312" w:cs="仿宋_GB2312"/>
          <w:bCs/>
          <w:color w:val="auto"/>
          <w:kern w:val="44"/>
          <w:sz w:val="32"/>
          <w:szCs w:val="48"/>
          <w:highlight w:val="none"/>
          <w:lang w:val="en-US" w:eastAsia="zh-CN" w:bidi="ar"/>
        </w:rPr>
      </w:pPr>
      <w:r>
        <w:rPr>
          <w:rFonts w:hint="eastAsia" w:ascii="仿宋_GB2312" w:hAnsi="仿宋_GB2312" w:eastAsia="仿宋_GB2312" w:cs="仿宋_GB2312"/>
          <w:bCs/>
          <w:color w:val="auto"/>
          <w:kern w:val="44"/>
          <w:sz w:val="32"/>
          <w:szCs w:val="48"/>
          <w:highlight w:val="none"/>
          <w:lang w:val="en-US" w:eastAsia="zh-CN" w:bidi="ar"/>
        </w:rPr>
        <w:t>加强知识产权全链条保护，围绕专利、商标、版权保护等建立“快速授权、快速确权、快速维权”机制。加大知识产权执法力度，严厉打击专利侵权、假冒商标等行为，维护创新主体合法权益。深入实施质量强区战略，鼓励企业参与标准制定、“好品山东”“泉城好品”等品牌创建活动。积极举办创新创业大赛、科技成果展、创新文化节等活动，弘扬“崇尚创新、宽容失败”文化理念。在学校、社区、企业开展创新创业文化宣传，通过讲座、展览、新媒体宣传等方式，普及创新创业知识，激发全民创新创业意识，营造全社会支持创新创业良好氛围。</w:t>
      </w:r>
    </w:p>
    <w:p>
      <w:pPr>
        <w:rPr>
          <w:rFonts w:hint="eastAsia" w:ascii="仿宋_GB2312" w:hAnsi="仿宋_GB2312" w:eastAsia="仿宋_GB2312" w:cs="仿宋_GB2312"/>
          <w:bCs/>
          <w:color w:val="auto"/>
          <w:kern w:val="44"/>
          <w:sz w:val="32"/>
          <w:szCs w:val="48"/>
          <w:highlight w:val="none"/>
          <w:lang w:val="en-US" w:eastAsia="zh-CN" w:bidi="ar"/>
        </w:rPr>
      </w:pPr>
      <w:r>
        <w:rPr>
          <w:rFonts w:hint="eastAsia" w:ascii="仿宋_GB2312" w:hAnsi="仿宋_GB2312" w:eastAsia="仿宋_GB2312" w:cs="仿宋_GB2312"/>
          <w:bCs/>
          <w:color w:val="auto"/>
          <w:kern w:val="44"/>
          <w:sz w:val="32"/>
          <w:szCs w:val="48"/>
          <w:highlight w:val="none"/>
          <w:lang w:val="en-US" w:eastAsia="zh-CN" w:bidi="ar"/>
        </w:rPr>
        <w:br w:type="page"/>
      </w:r>
    </w:p>
    <w:p>
      <w:pPr>
        <w:pStyle w:val="8"/>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outlineLvl w:val="0"/>
        <w:rPr>
          <w:rFonts w:hint="eastAsia" w:ascii="方正小标宋简体" w:hAnsi="方正小标宋简体" w:eastAsia="方正小标宋简体" w:cs="方正小标宋简体"/>
          <w:b w:val="0"/>
          <w:bCs w:val="0"/>
          <w:color w:val="auto"/>
          <w:kern w:val="2"/>
          <w:sz w:val="44"/>
          <w:szCs w:val="44"/>
          <w:highlight w:val="none"/>
          <w:lang w:val="en-US" w:eastAsia="zh-CN" w:bidi="ar-SA"/>
        </w:rPr>
      </w:pPr>
      <w:bookmarkStart w:id="41" w:name="_Toc29626"/>
      <w:r>
        <w:rPr>
          <w:rFonts w:hint="eastAsia" w:ascii="方正小标宋简体" w:hAnsi="方正小标宋简体" w:eastAsia="方正小标宋简体" w:cs="方正小标宋简体"/>
          <w:b w:val="0"/>
          <w:bCs w:val="0"/>
          <w:color w:val="auto"/>
          <w:kern w:val="2"/>
          <w:sz w:val="44"/>
          <w:szCs w:val="44"/>
          <w:highlight w:val="none"/>
          <w:lang w:val="en-US" w:eastAsia="zh-CN" w:bidi="ar-SA"/>
        </w:rPr>
        <w:t>第五章  深入实施扩大内需战略，促进消费和投资提质增效</w:t>
      </w:r>
      <w:bookmarkEnd w:id="41"/>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color w:val="auto"/>
          <w:spacing w:val="0"/>
          <w:sz w:val="32"/>
          <w:szCs w:val="32"/>
          <w:highlight w:val="none"/>
          <w:shd w:val="clear" w:color="auto" w:fill="auto"/>
          <w:lang w:val="en-US" w:eastAsia="zh-CN"/>
        </w:rPr>
      </w:pPr>
      <w:bookmarkStart w:id="42" w:name="_Toc7266"/>
      <w:r>
        <w:rPr>
          <w:rFonts w:hint="eastAsia" w:ascii="仿宋_GB2312" w:hAnsi="仿宋_GB2312" w:eastAsia="仿宋_GB2312" w:cs="仿宋_GB2312"/>
          <w:b w:val="0"/>
          <w:bCs w:val="0"/>
          <w:color w:val="auto"/>
          <w:spacing w:val="0"/>
          <w:sz w:val="32"/>
          <w:szCs w:val="32"/>
          <w:highlight w:val="none"/>
          <w:shd w:val="clear" w:color="auto" w:fill="auto"/>
          <w:lang w:val="en-US" w:eastAsia="zh-CN"/>
        </w:rPr>
        <w:t>落实扩大内需战略要求，坚持惠民生和促消费、投资于物和投资于人紧密结合，以新需求引领新供给，以新供给创造新需求，促进消费和投资、供给和需求良性互动。</w:t>
      </w:r>
    </w:p>
    <w:p>
      <w:pPr>
        <w:keepNext w:val="0"/>
        <w:keepLines w:val="0"/>
        <w:pageBreakBefore w:val="0"/>
        <w:widowControl w:val="0"/>
        <w:kinsoku/>
        <w:wordWrap/>
        <w:overflowPunct/>
        <w:topLinePunct w:val="0"/>
        <w:autoSpaceDE/>
        <w:autoSpaceDN/>
        <w:bidi w:val="0"/>
        <w:adjustRightInd w:val="0"/>
        <w:snapToGrid w:val="0"/>
        <w:spacing w:before="157" w:beforeLines="50" w:beforeAutospacing="0" w:after="157" w:afterLines="50" w:afterAutospacing="0" w:line="560" w:lineRule="exact"/>
        <w:ind w:left="0" w:leftChars="0" w:firstLine="0" w:firstLineChars="0"/>
        <w:jc w:val="center"/>
        <w:textAlignment w:val="auto"/>
        <w:outlineLvl w:val="1"/>
        <w:rPr>
          <w:rFonts w:hint="default" w:ascii="仿宋_GB2312" w:hAnsi="仿宋_GB2312" w:eastAsia="黑体" w:cs="仿宋_GB2312"/>
          <w:bCs/>
          <w:color w:val="auto"/>
          <w:kern w:val="44"/>
          <w:sz w:val="32"/>
          <w:szCs w:val="48"/>
          <w:highlight w:val="none"/>
          <w:lang w:val="en-US" w:eastAsia="zh-CN" w:bidi="ar"/>
        </w:rPr>
      </w:pPr>
      <w:bookmarkStart w:id="43" w:name="_Toc31203"/>
      <w:r>
        <w:rPr>
          <w:rFonts w:hint="eastAsia" w:ascii="仿宋_GB2312" w:hAnsi="仿宋_GB2312" w:eastAsia="黑体" w:cs="仿宋_GB2312"/>
          <w:bCs/>
          <w:color w:val="auto"/>
          <w:kern w:val="44"/>
          <w:sz w:val="32"/>
          <w:szCs w:val="48"/>
          <w:highlight w:val="none"/>
          <w:lang w:val="en-US" w:eastAsia="zh-CN" w:bidi="ar"/>
        </w:rPr>
        <w:t xml:space="preserve">第一节  </w:t>
      </w:r>
      <w:bookmarkEnd w:id="42"/>
      <w:r>
        <w:rPr>
          <w:rFonts w:hint="eastAsia" w:ascii="仿宋_GB2312" w:hAnsi="仿宋_GB2312" w:eastAsia="黑体" w:cs="仿宋_GB2312"/>
          <w:bCs/>
          <w:color w:val="auto"/>
          <w:kern w:val="44"/>
          <w:sz w:val="32"/>
          <w:szCs w:val="48"/>
          <w:highlight w:val="none"/>
          <w:lang w:val="en-US" w:eastAsia="zh-CN" w:bidi="ar"/>
        </w:rPr>
        <w:t>加快推动消费提质升级</w:t>
      </w:r>
      <w:bookmarkEnd w:id="43"/>
    </w:p>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2"/>
        <w:rPr>
          <w:rFonts w:hint="eastAsia" w:ascii="黑体" w:hAnsi="黑体" w:eastAsia="黑体" w:cs="黑体"/>
          <w:color w:val="auto"/>
          <w:spacing w:val="0"/>
          <w:w w:val="100"/>
          <w:kern w:val="21"/>
          <w:sz w:val="32"/>
          <w:szCs w:val="32"/>
          <w:highlight w:val="none"/>
          <w:lang w:val="en-US" w:eastAsia="zh-CN" w:bidi="ar-SA"/>
        </w:rPr>
      </w:pPr>
      <w:bookmarkStart w:id="44" w:name="_Toc24987"/>
      <w:r>
        <w:rPr>
          <w:rFonts w:hint="eastAsia" w:ascii="黑体" w:hAnsi="黑体" w:eastAsia="黑体" w:cs="黑体"/>
          <w:color w:val="auto"/>
          <w:spacing w:val="0"/>
          <w:w w:val="100"/>
          <w:kern w:val="21"/>
          <w:sz w:val="32"/>
          <w:szCs w:val="32"/>
          <w:highlight w:val="none"/>
          <w:lang w:val="en-US" w:eastAsia="zh-CN" w:bidi="ar-SA"/>
        </w:rPr>
        <w:t>一、持续扩大优质消费供给</w:t>
      </w:r>
    </w:p>
    <w:p>
      <w:pPr>
        <w:pStyle w:val="7"/>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color w:val="auto"/>
          <w:sz w:val="32"/>
          <w:szCs w:val="32"/>
          <w:highlight w:val="none"/>
          <w:lang w:val="en-US" w:eastAsia="zh-CN"/>
        </w:rPr>
      </w:pPr>
      <w:r>
        <w:rPr>
          <w:rFonts w:hint="eastAsia" w:ascii="仿宋_GB2312" w:hAnsi="仿宋_GB2312" w:eastAsia="仿宋_GB2312" w:cs="仿宋_GB2312"/>
          <w:b w:val="0"/>
          <w:bCs w:val="0"/>
          <w:color w:val="auto"/>
          <w:spacing w:val="0"/>
          <w:kern w:val="2"/>
          <w:sz w:val="32"/>
          <w:szCs w:val="32"/>
          <w:highlight w:val="none"/>
          <w:shd w:val="clear" w:color="auto" w:fill="auto"/>
          <w:lang w:val="en-US" w:eastAsia="zh-CN" w:bidi="ar-SA"/>
        </w:rPr>
        <w:t>全面推进消费品以旧换新活动，贯彻落实国家、省、市扩大消费品以旧换新政策，指导企业优化服务流程，开展消费品以旧换新进乡村、进社区、进平台、进政企单位、进展会。重点围绕大宗商品、购物餐饮、文化旅游、休闲娱乐等领域，高质量办好各类促消费活动，着力打造“章丘好品”区域公共品牌，着力释放消费潜力。深挖家政服务、养老托育、文化娱乐、教育和培训等服务消费潜力，创新服务消费场景，培育一批服务质量好、创新动能足、带动作用强的服务消费品牌。大力发展首发经济，吸引国内外优质品牌、培育本土知名品牌</w:t>
      </w:r>
      <w:r>
        <w:rPr>
          <w:rFonts w:hint="eastAsia" w:ascii="仿宋_GB2312" w:hAnsi="仿宋_GB2312" w:eastAsia="仿宋_GB2312" w:cs="仿宋_GB2312"/>
          <w:b w:val="0"/>
          <w:bCs w:val="0"/>
          <w:strike w:val="0"/>
          <w:dstrike w:val="0"/>
          <w:color w:val="auto"/>
          <w:spacing w:val="0"/>
          <w:kern w:val="2"/>
          <w:sz w:val="32"/>
          <w:szCs w:val="32"/>
          <w:highlight w:val="none"/>
          <w:shd w:val="clear" w:color="auto" w:fill="auto"/>
          <w:lang w:val="en-US" w:eastAsia="zh-CN" w:bidi="ar-SA"/>
        </w:rPr>
        <w:t>在章开设首店</w:t>
      </w:r>
      <w:r>
        <w:rPr>
          <w:rFonts w:hint="eastAsia" w:ascii="仿宋_GB2312" w:hAnsi="仿宋_GB2312" w:eastAsia="仿宋_GB2312" w:cs="仿宋_GB2312"/>
          <w:b w:val="0"/>
          <w:bCs w:val="0"/>
          <w:color w:val="auto"/>
          <w:spacing w:val="0"/>
          <w:kern w:val="2"/>
          <w:sz w:val="32"/>
          <w:szCs w:val="32"/>
          <w:highlight w:val="none"/>
          <w:shd w:val="clear" w:color="auto" w:fill="auto"/>
          <w:lang w:val="en-US" w:eastAsia="zh-CN" w:bidi="ar-SA"/>
        </w:rPr>
        <w:t>，推动在重点商圈、特色商业街区培育首发经济集聚区。培育以社交电商、私域电商、内容电商、即时零售等新模式的数智消费，引导大型商业综合体打造沉浸式体验消费场景。积极引导和提升绿色消费、健康消费、悦己经济、“谷子经济”等新型消费业态。大力发展夜间经济，鼓励商户延时经营，支持周末经济、假日经济与节会经济联动发展。积极布局跨境电商海外仓，推动建设区域性跨境商品进口中心、展示中心、体验中心和交易中心，满足居民高品质外贸商品需求。</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852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suppressLineNumbers w:val="0"/>
              <w:kinsoku/>
              <w:wordWrap/>
              <w:overflowPunct w:val="0"/>
              <w:topLinePunct w:val="0"/>
              <w:autoSpaceDE w:val="0"/>
              <w:autoSpaceDN w:val="0"/>
              <w:bidi w:val="0"/>
              <w:adjustRightInd/>
              <w:snapToGrid w:val="0"/>
              <w:spacing w:before="0" w:beforeAutospacing="0" w:after="0" w:afterLines="0" w:afterAutospacing="0" w:line="480" w:lineRule="exact"/>
              <w:ind w:left="0" w:leftChars="0" w:right="0" w:firstLine="0" w:firstLineChars="0"/>
              <w:jc w:val="center"/>
              <w:textAlignment w:val="auto"/>
              <w:rPr>
                <w:rFonts w:hint="eastAsia" w:ascii="楷体_GB2312" w:hAnsi="楷体_GB2312" w:eastAsia="楷体_GB2312" w:cs="楷体_GB2312"/>
                <w:b w:val="0"/>
                <w:bCs w:val="0"/>
                <w:color w:val="auto"/>
                <w:kern w:val="2"/>
                <w:sz w:val="28"/>
                <w:szCs w:val="28"/>
                <w:highlight w:val="none"/>
                <w:u w:val="none"/>
                <w:lang w:val="en-US" w:eastAsia="zh-CN" w:bidi="ar-SA"/>
              </w:rPr>
            </w:pPr>
            <w:r>
              <w:rPr>
                <w:rFonts w:hint="eastAsia" w:ascii="楷体_GB2312" w:hAnsi="楷体_GB2312" w:eastAsia="楷体_GB2312" w:cs="楷体_GB2312"/>
                <w:b w:val="0"/>
                <w:bCs w:val="0"/>
                <w:color w:val="auto"/>
                <w:kern w:val="2"/>
                <w:sz w:val="28"/>
                <w:szCs w:val="28"/>
                <w:highlight w:val="none"/>
                <w:u w:val="none"/>
                <w:lang w:val="en-US" w:eastAsia="zh-CN" w:bidi="ar-SA"/>
              </w:rPr>
              <w:t>专栏8  夜间经济集聚区</w:t>
            </w:r>
          </w:p>
          <w:p>
            <w:pPr>
              <w:keepNext w:val="0"/>
              <w:keepLines w:val="0"/>
              <w:pageBreakBefore w:val="0"/>
              <w:widowControl w:val="0"/>
              <w:numPr>
                <w:ilvl w:val="0"/>
                <w:numId w:val="0"/>
              </w:numPr>
              <w:suppressLineNumbers w:val="0"/>
              <w:kinsoku/>
              <w:wordWrap/>
              <w:overflowPunct w:val="0"/>
              <w:topLinePunct w:val="0"/>
              <w:autoSpaceDE w:val="0"/>
              <w:autoSpaceDN w:val="0"/>
              <w:bidi w:val="0"/>
              <w:adjustRightInd/>
              <w:snapToGrid w:val="0"/>
              <w:spacing w:before="0" w:beforeAutospacing="0" w:after="0" w:afterLines="0" w:afterAutospacing="0" w:line="480" w:lineRule="exact"/>
              <w:ind w:left="0" w:right="0" w:firstLine="560" w:firstLineChars="200"/>
              <w:jc w:val="left"/>
              <w:textAlignment w:val="auto"/>
              <w:rPr>
                <w:rFonts w:hint="default" w:ascii="Calibri" w:hAnsi="Calibri" w:eastAsia="宋体" w:cs="Times New Roman"/>
                <w:color w:val="auto"/>
                <w:kern w:val="2"/>
                <w:sz w:val="21"/>
                <w:szCs w:val="22"/>
                <w:highlight w:val="none"/>
                <w:u w:val="none"/>
                <w:lang w:val="en-US" w:eastAsia="zh-CN" w:bidi="ar-SA"/>
              </w:rPr>
            </w:pPr>
            <w:r>
              <w:rPr>
                <w:rFonts w:hint="eastAsia" w:ascii="楷体_GB2312" w:hAnsi="楷体_GB2312" w:eastAsia="楷体_GB2312" w:cs="楷体_GB2312"/>
                <w:b w:val="0"/>
                <w:bCs w:val="0"/>
                <w:color w:val="auto"/>
                <w:kern w:val="2"/>
                <w:sz w:val="28"/>
                <w:szCs w:val="28"/>
                <w:highlight w:val="none"/>
                <w:u w:val="none"/>
                <w:lang w:val="en-US" w:eastAsia="zh-CN" w:bidi="ar"/>
              </w:rPr>
              <w:t>世贸广场（东片区），“山大片区”（西片区），“明水古城＋香港街”（北片区），“龙泉国际＋银座商城”（中片区），“大唐白泉驿＋文博中心＋大学城”（南片区）。</w:t>
            </w:r>
          </w:p>
        </w:tc>
      </w:tr>
    </w:tbl>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2"/>
        <w:rPr>
          <w:rFonts w:hint="eastAsia" w:ascii="黑体" w:hAnsi="黑体" w:eastAsia="黑体" w:cs="黑体"/>
          <w:color w:val="auto"/>
          <w:spacing w:val="0"/>
          <w:w w:val="100"/>
          <w:kern w:val="21"/>
          <w:sz w:val="32"/>
          <w:szCs w:val="32"/>
          <w:highlight w:val="none"/>
          <w:lang w:val="en-US" w:eastAsia="zh-CN" w:bidi="ar-SA"/>
        </w:rPr>
      </w:pPr>
      <w:r>
        <w:rPr>
          <w:rFonts w:hint="eastAsia" w:ascii="黑体" w:hAnsi="黑体" w:eastAsia="黑体" w:cs="黑体"/>
          <w:color w:val="auto"/>
          <w:spacing w:val="0"/>
          <w:w w:val="100"/>
          <w:kern w:val="21"/>
          <w:sz w:val="32"/>
          <w:szCs w:val="32"/>
          <w:highlight w:val="none"/>
          <w:lang w:val="en-US" w:eastAsia="zh-CN" w:bidi="ar-SA"/>
        </w:rPr>
        <w:t>二、建设高能级消费载体</w:t>
      </w:r>
    </w:p>
    <w:p>
      <w:pPr>
        <w:pStyle w:val="7"/>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b w:val="0"/>
          <w:bCs w:val="0"/>
          <w:color w:val="auto"/>
          <w:spacing w:val="0"/>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spacing w:val="0"/>
          <w:kern w:val="2"/>
          <w:sz w:val="32"/>
          <w:szCs w:val="32"/>
          <w:highlight w:val="none"/>
          <w:shd w:val="clear" w:color="auto" w:fill="auto"/>
          <w:lang w:val="en-US" w:eastAsia="zh-CN" w:bidi="ar-SA"/>
        </w:rPr>
        <w:t>加快打造地标性消费商圈，按照“1个核心商圈、5个综合商圈、9个区域性商圈”建设原则，招引和推动一批高品质消费载体项目，形成一批集购物、餐饮住宿、休闲于一体的高品质消费场景。提升明水古城核心商圈多业态融合，打造儒商文化发源地为特色的重要消费目的地和“古韵新风”“泉韵章丘”商文旅体验地。加快盘活唐人中心综合体等商业载体，积极推动万达广场项目建设，植入新型消费业态，焕发明水老城区消费活力。以服务居民生活品质为核心，推动和谐广场、东山商业广场、银座商城等大型商业综合体改造升级，丰富消费业态，激发运营活力。以轨道交通8号线全面开通为契机，加快沿线区域TOD开发。依托山东大学龙山校区（创新港），加快海荟广场等重点项目建设，培育商业消费载体，吸引国内一线品牌入驻，打造时尚高端消费集聚区。推动百脉泉一刻钟商圈、文化路一刻钟商圈等区域性商圈特色化发展，打造古城商业步行街、</w:t>
      </w:r>
      <w:r>
        <w:rPr>
          <w:rFonts w:hint="eastAsia" w:ascii="仿宋_GB2312" w:hAnsi="仿宋_GB2312" w:eastAsia="仿宋_GB2312" w:cs="仿宋_GB2312"/>
          <w:b w:val="0"/>
          <w:bCs/>
          <w:color w:val="auto"/>
          <w:sz w:val="32"/>
          <w:szCs w:val="32"/>
          <w:highlight w:val="none"/>
          <w:lang w:val="en-US" w:eastAsia="zh-CN"/>
        </w:rPr>
        <w:t>涧桥</w:t>
      </w:r>
      <w:r>
        <w:rPr>
          <w:rFonts w:hint="eastAsia" w:ascii="仿宋_GB2312" w:hAnsi="仿宋_GB2312" w:eastAsia="仿宋_GB2312" w:cs="仿宋_GB2312"/>
          <w:b w:val="0"/>
          <w:bCs/>
          <w:caps w:val="0"/>
          <w:color w:val="auto"/>
          <w:spacing w:val="0"/>
          <w:kern w:val="2"/>
          <w:sz w:val="32"/>
          <w:szCs w:val="32"/>
          <w:highlight w:val="none"/>
          <w:lang w:val="en-US" w:eastAsia="zh-CN" w:bidi="ar-SA"/>
        </w:rPr>
        <w:t>商业步行街</w:t>
      </w:r>
      <w:r>
        <w:rPr>
          <w:rFonts w:hint="eastAsia" w:ascii="仿宋_GB2312" w:hAnsi="仿宋_GB2312" w:eastAsia="仿宋_GB2312" w:cs="仿宋_GB2312"/>
          <w:b w:val="0"/>
          <w:bCs w:val="0"/>
          <w:color w:val="auto"/>
          <w:spacing w:val="0"/>
          <w:kern w:val="2"/>
          <w:sz w:val="32"/>
          <w:szCs w:val="32"/>
          <w:highlight w:val="none"/>
          <w:shd w:val="clear" w:color="auto" w:fill="auto"/>
          <w:lang w:val="en-US" w:eastAsia="zh-CN" w:bidi="ar-SA"/>
        </w:rPr>
        <w:t>。持续实施一刻钟便民生活圈改造，推动建设家园中心、商贸中心和文体中心，满足居民生活便利性、个性化和公共服务宜居性、多样化的需求。培育一批以民间传统工艺、非物质文化遗产、地标性农产品多业态融合发展的特色商业街区，推动打造“一街一品”差异化特色消费品牌。</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852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numPr>
                <w:ilvl w:val="0"/>
                <w:numId w:val="0"/>
              </w:numPr>
              <w:suppressLineNumbers w:val="0"/>
              <w:kinsoku/>
              <w:wordWrap/>
              <w:overflowPunct w:val="0"/>
              <w:topLinePunct w:val="0"/>
              <w:autoSpaceDE w:val="0"/>
              <w:autoSpaceDN w:val="0"/>
              <w:bidi w:val="0"/>
              <w:adjustRightInd/>
              <w:snapToGrid w:val="0"/>
              <w:spacing w:before="0" w:beforeAutospacing="0" w:after="0" w:afterLines="0" w:afterAutospacing="0" w:line="480" w:lineRule="exact"/>
              <w:ind w:left="0" w:leftChars="0" w:right="0" w:firstLine="0" w:firstLineChars="0"/>
              <w:jc w:val="center"/>
              <w:textAlignment w:val="auto"/>
              <w:rPr>
                <w:rFonts w:hint="eastAsia" w:ascii="楷体_GB2312" w:hAnsi="楷体_GB2312" w:eastAsia="楷体_GB2312" w:cs="楷体_GB2312"/>
                <w:b w:val="0"/>
                <w:bCs w:val="0"/>
                <w:color w:val="auto"/>
                <w:kern w:val="2"/>
                <w:sz w:val="28"/>
                <w:szCs w:val="28"/>
                <w:highlight w:val="none"/>
                <w:u w:val="none"/>
                <w:lang w:val="en-US" w:eastAsia="zh-CN" w:bidi="ar-SA"/>
              </w:rPr>
            </w:pPr>
            <w:r>
              <w:rPr>
                <w:rFonts w:hint="eastAsia" w:ascii="楷体_GB2312" w:hAnsi="楷体_GB2312" w:eastAsia="楷体_GB2312" w:cs="楷体_GB2312"/>
                <w:b w:val="0"/>
                <w:bCs w:val="0"/>
                <w:color w:val="auto"/>
                <w:kern w:val="2"/>
                <w:sz w:val="28"/>
                <w:szCs w:val="28"/>
                <w:highlight w:val="none"/>
                <w:u w:val="none"/>
                <w:lang w:val="en-US" w:eastAsia="zh-CN" w:bidi="ar-SA"/>
              </w:rPr>
              <w:t>专栏9  章丘区“159”商圈体系</w:t>
            </w:r>
          </w:p>
          <w:p>
            <w:pPr>
              <w:keepNext w:val="0"/>
              <w:keepLines w:val="0"/>
              <w:pageBreakBefore w:val="0"/>
              <w:widowControl w:val="0"/>
              <w:numPr>
                <w:ilvl w:val="0"/>
                <w:numId w:val="0"/>
              </w:numPr>
              <w:suppressLineNumbers w:val="0"/>
              <w:kinsoku/>
              <w:wordWrap/>
              <w:overflowPunct w:val="0"/>
              <w:topLinePunct w:val="0"/>
              <w:autoSpaceDE w:val="0"/>
              <w:autoSpaceDN w:val="0"/>
              <w:bidi w:val="0"/>
              <w:adjustRightInd/>
              <w:snapToGrid w:val="0"/>
              <w:spacing w:before="0" w:beforeAutospacing="0" w:after="0" w:afterLines="0" w:afterAutospacing="0" w:line="480" w:lineRule="exact"/>
              <w:ind w:left="0" w:right="0" w:firstLine="560" w:firstLineChars="200"/>
              <w:jc w:val="left"/>
              <w:textAlignment w:val="auto"/>
              <w:rPr>
                <w:rFonts w:hint="eastAsia" w:ascii="楷体_GB2312" w:hAnsi="楷体_GB2312" w:eastAsia="楷体_GB2312" w:cs="楷体_GB2312"/>
                <w:b w:val="0"/>
                <w:bCs w:val="0"/>
                <w:color w:val="auto"/>
                <w:kern w:val="2"/>
                <w:sz w:val="28"/>
                <w:szCs w:val="28"/>
                <w:highlight w:val="none"/>
                <w:u w:val="none"/>
                <w:lang w:val="en-US" w:eastAsia="zh-CN" w:bidi="ar"/>
              </w:rPr>
            </w:pPr>
            <w:r>
              <w:rPr>
                <w:rFonts w:hint="eastAsia" w:ascii="楷体_GB2312" w:hAnsi="楷体_GB2312" w:eastAsia="楷体_GB2312" w:cs="楷体_GB2312"/>
                <w:b w:val="0"/>
                <w:bCs w:val="0"/>
                <w:color w:val="auto"/>
                <w:kern w:val="2"/>
                <w:sz w:val="28"/>
                <w:szCs w:val="28"/>
                <w:highlight w:val="none"/>
                <w:u w:val="none"/>
                <w:lang w:val="en-US" w:eastAsia="zh-CN" w:bidi="ar"/>
              </w:rPr>
              <w:t>1.1个核心商圈：明水古城商圈。</w:t>
            </w:r>
          </w:p>
          <w:p>
            <w:pPr>
              <w:keepNext w:val="0"/>
              <w:keepLines w:val="0"/>
              <w:pageBreakBefore w:val="0"/>
              <w:widowControl w:val="0"/>
              <w:numPr>
                <w:ilvl w:val="0"/>
                <w:numId w:val="0"/>
              </w:numPr>
              <w:suppressLineNumbers w:val="0"/>
              <w:kinsoku/>
              <w:wordWrap/>
              <w:overflowPunct w:val="0"/>
              <w:topLinePunct w:val="0"/>
              <w:autoSpaceDE w:val="0"/>
              <w:autoSpaceDN w:val="0"/>
              <w:bidi w:val="0"/>
              <w:adjustRightInd/>
              <w:snapToGrid w:val="0"/>
              <w:spacing w:before="0" w:beforeAutospacing="0" w:after="0" w:afterLines="0" w:afterAutospacing="0" w:line="480" w:lineRule="exact"/>
              <w:ind w:left="0" w:right="0" w:firstLine="560" w:firstLineChars="200"/>
              <w:jc w:val="left"/>
              <w:textAlignment w:val="auto"/>
              <w:rPr>
                <w:rFonts w:hint="eastAsia" w:ascii="楷体_GB2312" w:hAnsi="楷体_GB2312" w:eastAsia="楷体_GB2312" w:cs="楷体_GB2312"/>
                <w:b w:val="0"/>
                <w:bCs w:val="0"/>
                <w:color w:val="auto"/>
                <w:kern w:val="2"/>
                <w:sz w:val="28"/>
                <w:szCs w:val="28"/>
                <w:highlight w:val="none"/>
                <w:u w:val="none"/>
                <w:lang w:val="en-US" w:eastAsia="zh-CN" w:bidi="ar"/>
              </w:rPr>
            </w:pPr>
            <w:r>
              <w:rPr>
                <w:rFonts w:hint="eastAsia" w:ascii="楷体_GB2312" w:hAnsi="楷体_GB2312" w:eastAsia="楷体_GB2312" w:cs="楷体_GB2312"/>
                <w:b w:val="0"/>
                <w:bCs w:val="0"/>
                <w:color w:val="auto"/>
                <w:kern w:val="2"/>
                <w:sz w:val="28"/>
                <w:szCs w:val="28"/>
                <w:highlight w:val="none"/>
                <w:u w:val="none"/>
                <w:lang w:val="en-US" w:eastAsia="zh-CN" w:bidi="ar"/>
              </w:rPr>
              <w:t>2.5个综合商圈：（1）和谐广场商圈；（2）银座商城商圈；（3）世茂广场商圈；（4）东山商业广场商圈；（5）山大片区商圈。</w:t>
            </w:r>
          </w:p>
          <w:p>
            <w:pPr>
              <w:keepNext w:val="0"/>
              <w:keepLines w:val="0"/>
              <w:pageBreakBefore w:val="0"/>
              <w:widowControl w:val="0"/>
              <w:numPr>
                <w:ilvl w:val="0"/>
                <w:numId w:val="0"/>
              </w:numPr>
              <w:suppressLineNumbers w:val="0"/>
              <w:kinsoku/>
              <w:wordWrap/>
              <w:overflowPunct w:val="0"/>
              <w:topLinePunct w:val="0"/>
              <w:autoSpaceDE w:val="0"/>
              <w:autoSpaceDN w:val="0"/>
              <w:bidi w:val="0"/>
              <w:adjustRightInd/>
              <w:snapToGrid w:val="0"/>
              <w:spacing w:before="0" w:beforeAutospacing="0" w:after="0" w:afterLines="0" w:afterAutospacing="0" w:line="480" w:lineRule="exact"/>
              <w:ind w:left="0" w:right="0" w:firstLine="560" w:firstLineChars="200"/>
              <w:jc w:val="left"/>
              <w:textAlignment w:val="auto"/>
              <w:rPr>
                <w:rFonts w:hint="default" w:ascii="Calibri" w:hAnsi="Calibri" w:eastAsia="宋体" w:cs="Times New Roman"/>
                <w:color w:val="auto"/>
                <w:kern w:val="2"/>
                <w:sz w:val="21"/>
                <w:szCs w:val="22"/>
                <w:highlight w:val="none"/>
                <w:u w:val="none"/>
                <w:lang w:val="en-US" w:eastAsia="zh-CN" w:bidi="ar-SA"/>
              </w:rPr>
            </w:pPr>
            <w:r>
              <w:rPr>
                <w:rFonts w:hint="eastAsia" w:ascii="楷体_GB2312" w:hAnsi="楷体_GB2312" w:eastAsia="楷体_GB2312" w:cs="楷体_GB2312"/>
                <w:b w:val="0"/>
                <w:bCs w:val="0"/>
                <w:color w:val="auto"/>
                <w:kern w:val="2"/>
                <w:sz w:val="28"/>
                <w:szCs w:val="28"/>
                <w:highlight w:val="none"/>
                <w:u w:val="none"/>
                <w:lang w:val="en-US" w:eastAsia="zh-CN" w:bidi="ar"/>
              </w:rPr>
              <w:t>3.9个区域性商圈：（1）百脉泉社区（明水）；（2）文化路社区（双山）：（3）诺贝尔社区（圣井）；（4）龙山社区（龙山）；（5）瑞祥社区（普集）；（6）吴家社区（官庄）；（7）相安社区（相公庄）；（8）刁西社区（刁镇）；（9）兴河为农服务综合体（黄河）。</w:t>
            </w:r>
          </w:p>
        </w:tc>
      </w:tr>
    </w:tbl>
    <w:p>
      <w:pPr>
        <w:keepNext w:val="0"/>
        <w:keepLines w:val="0"/>
        <w:pageBreakBefore w:val="0"/>
        <w:widowControl/>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2"/>
        <w:rPr>
          <w:rFonts w:hint="default" w:ascii="楷体_GB2312" w:hAnsi="楷体_GB2312" w:eastAsia="楷体_GB2312" w:cs="楷体_GB2312"/>
          <w:b w:val="0"/>
          <w:bCs w:val="0"/>
          <w:color w:val="auto"/>
          <w:spacing w:val="0"/>
          <w:kern w:val="2"/>
          <w:sz w:val="32"/>
          <w:szCs w:val="32"/>
          <w:highlight w:val="none"/>
          <w:shd w:val="clear" w:fill="auto"/>
          <w:lang w:val="en-US" w:eastAsia="zh-CN" w:bidi="ar-SA"/>
        </w:rPr>
      </w:pPr>
      <w:r>
        <w:rPr>
          <w:rFonts w:hint="eastAsia" w:ascii="黑体" w:hAnsi="黑体" w:eastAsia="黑体" w:cs="黑体"/>
          <w:color w:val="auto"/>
          <w:spacing w:val="0"/>
          <w:w w:val="100"/>
          <w:kern w:val="21"/>
          <w:sz w:val="32"/>
          <w:szCs w:val="32"/>
          <w:highlight w:val="none"/>
          <w:lang w:val="en-US" w:eastAsia="zh-CN" w:bidi="ar-SA"/>
        </w:rPr>
        <w:t>三、优化提升消费环境</w:t>
      </w:r>
    </w:p>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firstLine="640" w:firstLineChars="200"/>
        <w:jc w:val="both"/>
        <w:textAlignment w:val="auto"/>
        <w:outlineLvl w:val="9"/>
        <w:rPr>
          <w:rFonts w:hint="default" w:ascii="仿宋_GB2312" w:hAnsi="仿宋_GB2312" w:eastAsia="仿宋_GB2312" w:cs="仿宋_GB2312"/>
          <w:b w:val="0"/>
          <w:bCs w:val="0"/>
          <w:color w:val="auto"/>
          <w:spacing w:val="0"/>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spacing w:val="0"/>
          <w:kern w:val="2"/>
          <w:sz w:val="32"/>
          <w:szCs w:val="32"/>
          <w:highlight w:val="none"/>
          <w:shd w:val="clear" w:color="auto" w:fill="auto"/>
          <w:lang w:val="en-US" w:eastAsia="zh-CN" w:bidi="ar-SA"/>
        </w:rPr>
        <w:t>全面优化产品和服务供给品质，鼓励企业参评“好品山东”“泉城好品”和农产品“三品一标”，推动市级、省级“老字号”传承创新，打造一批服务消费“新字号”。建立放心消费培育库，培育一批放心商店、放心市场、放心网店，建立和完善在线纠纷解决机制，探索异地异店无理由退换货机制。引导在全区推广先行赔付制度，指导经营者积极处理消费者合理消费诉求。鼓励社区、商场、景点、平台企业设立消费维权服务站，促进消费纠纷源头解决。持续开展消费教育进农村、进企业、进社区、进校园等消费维权系列宣传活动。建立跨部门联合监管机制，依法严厉打击售卖假冒伪劣产品行为。加强对全区经营主体登记备案、行政许可、行政处罚等信用信息的归集、公示，引导经营主体守信重信。</w:t>
      </w:r>
      <w:r>
        <w:rPr>
          <w:rFonts w:hint="eastAsia" w:ascii="仿宋_GB2312" w:hAnsi="仿宋_GB2312" w:eastAsia="仿宋_GB2312" w:cs="仿宋_GB2312"/>
          <w:color w:val="auto"/>
          <w:sz w:val="32"/>
          <w:szCs w:val="32"/>
          <w:highlight w:val="none"/>
          <w:lang w:val="en-US" w:eastAsia="zh-CN"/>
        </w:rPr>
        <w:t>严格</w:t>
      </w:r>
      <w:r>
        <w:rPr>
          <w:rFonts w:hint="eastAsia" w:ascii="仿宋_GB2312" w:hAnsi="仿宋_GB2312" w:eastAsia="仿宋_GB2312" w:cs="仿宋_GB2312"/>
          <w:color w:val="auto"/>
          <w:sz w:val="32"/>
          <w:szCs w:val="32"/>
          <w:highlight w:val="none"/>
          <w:lang w:eastAsia="zh-CN"/>
        </w:rPr>
        <w:t>落实带薪休假</w:t>
      </w:r>
      <w:r>
        <w:rPr>
          <w:rFonts w:hint="eastAsia" w:ascii="仿宋_GB2312" w:hAnsi="仿宋_GB2312" w:eastAsia="仿宋_GB2312" w:cs="仿宋_GB2312"/>
          <w:color w:val="auto"/>
          <w:sz w:val="32"/>
          <w:szCs w:val="32"/>
          <w:highlight w:val="none"/>
          <w:lang w:val="en-US" w:eastAsia="zh-CN"/>
        </w:rPr>
        <w:t>制度，探索推行</w:t>
      </w:r>
      <w:r>
        <w:rPr>
          <w:rFonts w:hint="eastAsia" w:ascii="仿宋_GB2312" w:hAnsi="仿宋_GB2312" w:eastAsia="仿宋_GB2312" w:cs="仿宋_GB2312"/>
          <w:color w:val="auto"/>
          <w:sz w:val="32"/>
          <w:szCs w:val="32"/>
          <w:highlight w:val="none"/>
          <w:lang w:eastAsia="zh-CN"/>
        </w:rPr>
        <w:t>中小学生春秋假，繁荣发展节假日消费。</w:t>
      </w:r>
    </w:p>
    <w:p>
      <w:pPr>
        <w:keepNext w:val="0"/>
        <w:keepLines w:val="0"/>
        <w:pageBreakBefore w:val="0"/>
        <w:widowControl w:val="0"/>
        <w:kinsoku/>
        <w:wordWrap/>
        <w:overflowPunct/>
        <w:topLinePunct w:val="0"/>
        <w:autoSpaceDE/>
        <w:autoSpaceDN/>
        <w:bidi w:val="0"/>
        <w:adjustRightInd w:val="0"/>
        <w:snapToGrid w:val="0"/>
        <w:spacing w:before="157" w:beforeLines="50" w:beforeAutospacing="0" w:after="157" w:afterLines="50" w:afterAutospacing="0" w:line="560" w:lineRule="exact"/>
        <w:ind w:left="0" w:leftChars="0" w:firstLine="0" w:firstLineChars="0"/>
        <w:jc w:val="center"/>
        <w:textAlignment w:val="auto"/>
        <w:outlineLvl w:val="1"/>
        <w:rPr>
          <w:rFonts w:hint="eastAsia" w:ascii="文星标宋" w:hAnsi="文星标宋" w:eastAsia="文星标宋" w:cs="文星标宋"/>
          <w:bCs/>
          <w:color w:val="auto"/>
          <w:kern w:val="44"/>
          <w:sz w:val="32"/>
          <w:szCs w:val="48"/>
          <w:highlight w:val="none"/>
          <w:lang w:val="en-US" w:eastAsia="zh-CN" w:bidi="ar"/>
        </w:rPr>
      </w:pPr>
      <w:bookmarkStart w:id="45" w:name="_Toc31846"/>
      <w:r>
        <w:rPr>
          <w:rFonts w:hint="eastAsia" w:ascii="文星标宋" w:hAnsi="文星标宋" w:eastAsia="文星标宋" w:cs="文星标宋"/>
          <w:bCs/>
          <w:color w:val="auto"/>
          <w:kern w:val="44"/>
          <w:sz w:val="32"/>
          <w:szCs w:val="48"/>
          <w:highlight w:val="none"/>
          <w:lang w:val="en-US" w:eastAsia="zh-CN" w:bidi="ar"/>
        </w:rPr>
        <w:t xml:space="preserve">第二节  </w:t>
      </w:r>
      <w:bookmarkEnd w:id="44"/>
      <w:r>
        <w:rPr>
          <w:rFonts w:hint="eastAsia" w:ascii="文星标宋" w:hAnsi="文星标宋" w:eastAsia="文星标宋" w:cs="文星标宋"/>
          <w:bCs/>
          <w:color w:val="auto"/>
          <w:kern w:val="44"/>
          <w:sz w:val="32"/>
          <w:szCs w:val="48"/>
          <w:highlight w:val="none"/>
          <w:lang w:val="en-US" w:eastAsia="zh-CN" w:bidi="ar"/>
        </w:rPr>
        <w:t>着力优化投资结构和方向</w:t>
      </w:r>
      <w:bookmarkEnd w:id="45"/>
    </w:p>
    <w:p>
      <w:pPr>
        <w:pStyle w:val="7"/>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outlineLvl w:val="2"/>
        <w:rPr>
          <w:rFonts w:hint="eastAsia" w:ascii="黑体" w:hAnsi="黑体" w:eastAsia="黑体" w:cs="黑体"/>
          <w:b w:val="0"/>
          <w:bCs w:val="0"/>
          <w:color w:val="auto"/>
          <w:spacing w:val="0"/>
          <w:kern w:val="2"/>
          <w:sz w:val="32"/>
          <w:szCs w:val="32"/>
          <w:highlight w:val="none"/>
          <w:shd w:val="clear" w:fill="auto"/>
          <w:lang w:val="en-US" w:eastAsia="zh-CN" w:bidi="ar-SA"/>
        </w:rPr>
      </w:pPr>
      <w:bookmarkStart w:id="46" w:name="_Toc31969"/>
      <w:r>
        <w:rPr>
          <w:rFonts w:hint="eastAsia" w:ascii="黑体" w:hAnsi="黑体" w:eastAsia="黑体" w:cs="黑体"/>
          <w:b w:val="0"/>
          <w:bCs w:val="0"/>
          <w:color w:val="auto"/>
          <w:spacing w:val="0"/>
          <w:kern w:val="2"/>
          <w:sz w:val="32"/>
          <w:szCs w:val="32"/>
          <w:highlight w:val="none"/>
          <w:shd w:val="clear" w:fill="auto"/>
          <w:lang w:val="en-US" w:eastAsia="zh-CN" w:bidi="ar-SA"/>
        </w:rPr>
        <w:t>一、着力提高投资质量效益</w:t>
      </w:r>
    </w:p>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firstLine="640" w:firstLineChars="200"/>
        <w:jc w:val="both"/>
        <w:textAlignment w:val="auto"/>
        <w:outlineLvl w:val="9"/>
        <w:rPr>
          <w:rFonts w:hint="eastAsia" w:ascii="仿宋_GB2312" w:hAnsi="仿宋_GB2312" w:eastAsia="仿宋_GB2312" w:cs="仿宋_GB2312"/>
          <w:b w:val="0"/>
          <w:bCs w:val="0"/>
          <w:color w:val="auto"/>
          <w:spacing w:val="0"/>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spacing w:val="0"/>
          <w:kern w:val="2"/>
          <w:sz w:val="32"/>
          <w:szCs w:val="32"/>
          <w:highlight w:val="none"/>
          <w:shd w:val="clear" w:color="auto" w:fill="auto"/>
          <w:lang w:val="en-US" w:eastAsia="zh-CN" w:bidi="ar-SA"/>
        </w:rPr>
        <w:t>科学论证投资重点方向，加强前瞻性、战略性、破题性项目谋划，以工业投资尤其是制造业投资为重点，稳步提升高新技术产业、战略性新兴产业等投资占比。依托高校教育、人才等资源优势，谋划实施一批产学研项目。精准对接国家各类支持政策，充分发挥政府投资作用，积极争取超长期特别国债、中央预算内投资、地方政府专项债券，加大对基础设施、公共服务、社会民生、生态环境治理、城市环境优化等公益性领域的政府投资力度，做实做细项目前期工作，促进重点项目加快建设和有效投资持续扩大。用好基础设施REITs（不动产投资信托基金）、混合所有制改革等方式，有效盘活存量资产和闲置低效资产。</w:t>
      </w:r>
    </w:p>
    <w:p>
      <w:pPr>
        <w:pStyle w:val="7"/>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outlineLvl w:val="2"/>
        <w:rPr>
          <w:rFonts w:hint="eastAsia" w:ascii="黑体" w:hAnsi="黑体" w:eastAsia="黑体" w:cs="黑体"/>
          <w:b w:val="0"/>
          <w:bCs w:val="0"/>
          <w:color w:val="auto"/>
          <w:spacing w:val="0"/>
          <w:kern w:val="2"/>
          <w:sz w:val="32"/>
          <w:szCs w:val="32"/>
          <w:highlight w:val="none"/>
          <w:shd w:val="clear" w:fill="auto"/>
          <w:lang w:val="en-US" w:eastAsia="zh-CN" w:bidi="ar-SA"/>
        </w:rPr>
      </w:pPr>
      <w:r>
        <w:rPr>
          <w:rFonts w:hint="eastAsia" w:ascii="黑体" w:hAnsi="黑体" w:eastAsia="黑体" w:cs="黑体"/>
          <w:b w:val="0"/>
          <w:bCs w:val="0"/>
          <w:color w:val="auto"/>
          <w:spacing w:val="0"/>
          <w:kern w:val="2"/>
          <w:sz w:val="32"/>
          <w:szCs w:val="32"/>
          <w:highlight w:val="none"/>
          <w:shd w:val="clear" w:fill="auto"/>
          <w:lang w:val="en-US" w:eastAsia="zh-CN" w:bidi="ar-SA"/>
        </w:rPr>
        <w:t>二、大力激发民间投资活力</w:t>
      </w:r>
    </w:p>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firstLine="640" w:firstLineChars="200"/>
        <w:jc w:val="both"/>
        <w:textAlignment w:val="auto"/>
        <w:outlineLvl w:val="9"/>
        <w:rPr>
          <w:rFonts w:hint="default" w:ascii="仿宋_GB2312" w:hAnsi="仿宋_GB2312" w:eastAsia="仿宋_GB2312" w:cs="仿宋_GB2312"/>
          <w:b w:val="0"/>
          <w:bCs w:val="0"/>
          <w:color w:val="auto"/>
          <w:spacing w:val="0"/>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spacing w:val="0"/>
          <w:kern w:val="2"/>
          <w:sz w:val="32"/>
          <w:szCs w:val="32"/>
          <w:highlight w:val="none"/>
          <w:shd w:val="clear" w:color="auto" w:fill="auto"/>
          <w:lang w:val="en-US" w:eastAsia="zh-CN" w:bidi="ar-SA"/>
        </w:rPr>
        <w:t>健全常态化向民间资本推介项目机制，引导支持民间资本参与重大项目和基础设施、科技创新、乡村振兴等重点领域投资。健全政府投资有效带动社会投资的体制机制，有序推进政府和社会资本合作新机制。建立鼓励民间资本参与重大项目建设机制，探索建立区级重点民间投资项目库，聚焦省、市重大工程、重大战略，鼓励民间投资参与工程建设运营。建立区属国有企业与民营企业长效联系机制，积极利用投资补助、贷款贴息等方式，支持符合条件的民间投资项目建设，加大对民间投资的支持力度。深化项目审批制度改革，实行项目环评与规划环评并联审批，积极推行容缺受理，加快民间投资项目核准备案、规划、用地等前期手续办理。</w:t>
      </w:r>
    </w:p>
    <w:p>
      <w:pPr>
        <w:pStyle w:val="7"/>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outlineLvl w:val="2"/>
        <w:rPr>
          <w:rFonts w:hint="default" w:ascii="黑体" w:hAnsi="黑体" w:eastAsia="黑体" w:cs="黑体"/>
          <w:b w:val="0"/>
          <w:bCs w:val="0"/>
          <w:color w:val="auto"/>
          <w:spacing w:val="0"/>
          <w:kern w:val="2"/>
          <w:sz w:val="32"/>
          <w:szCs w:val="32"/>
          <w:highlight w:val="none"/>
          <w:shd w:val="clear" w:fill="auto"/>
          <w:lang w:val="en-US" w:eastAsia="zh-CN" w:bidi="ar-SA"/>
        </w:rPr>
      </w:pPr>
      <w:bookmarkStart w:id="47" w:name="_Toc30892"/>
      <w:r>
        <w:rPr>
          <w:rFonts w:hint="eastAsia" w:ascii="黑体" w:hAnsi="黑体" w:eastAsia="黑体" w:cs="黑体"/>
          <w:b w:val="0"/>
          <w:bCs w:val="0"/>
          <w:color w:val="auto"/>
          <w:spacing w:val="0"/>
          <w:kern w:val="2"/>
          <w:sz w:val="32"/>
          <w:szCs w:val="32"/>
          <w:highlight w:val="none"/>
          <w:shd w:val="clear" w:fill="auto"/>
          <w:lang w:val="en-US" w:eastAsia="zh-CN" w:bidi="ar-SA"/>
        </w:rPr>
        <w:t>三、稳步推进招商引资</w:t>
      </w:r>
      <w:bookmarkEnd w:id="47"/>
    </w:p>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firstLine="640" w:firstLineChars="200"/>
        <w:jc w:val="both"/>
        <w:textAlignment w:val="auto"/>
        <w:outlineLvl w:val="9"/>
        <w:rPr>
          <w:rFonts w:hint="eastAsia"/>
          <w:color w:val="auto"/>
          <w:sz w:val="32"/>
          <w:szCs w:val="32"/>
          <w:highlight w:val="none"/>
          <w:lang w:val="en-US" w:eastAsia="zh-CN"/>
        </w:rPr>
      </w:pPr>
      <w:r>
        <w:rPr>
          <w:rFonts w:hint="eastAsia" w:ascii="仿宋_GB2312" w:hAnsi="仿宋_GB2312" w:eastAsia="仿宋_GB2312" w:cs="仿宋_GB2312"/>
          <w:b w:val="0"/>
          <w:bCs w:val="0"/>
          <w:color w:val="auto"/>
          <w:spacing w:val="0"/>
          <w:kern w:val="2"/>
          <w:sz w:val="32"/>
          <w:szCs w:val="32"/>
          <w:highlight w:val="none"/>
          <w:shd w:val="clear" w:color="auto" w:fill="auto"/>
          <w:lang w:val="en-US" w:eastAsia="zh-CN" w:bidi="ar-SA"/>
        </w:rPr>
        <w:t>持续构建“大招商”格局，充分调动各产业招商部门、街道（镇）、园区平台等招商主体积极性，推动上下联动全员招引，形成招商引资强大合力。大力开展产业链招商，完善汽车、先进材料、专用装备、航空航天和低空经济、新一代信息技术、医药食品及包装、绿色建材与装配式建筑等产业链图谱，精准研判行业领军企业战略调整等前沿动向，锁定一批“链主型”、延链补链强链型项目，实现“无链”生有、“短链”延长、“断链”贯通、“弱链”变强，促进产业链自主可控、稳定高效发展。创新多元化招商模式，立足章丘产业实际，深入开展专业招商、园区招商、链式招商、以商招商，积极探索场景招商、资源配置招商等创新路径。大力推行基金招商，按照“政府引导、市场运作、重点突出、管理规范、风险防控”的原则，建立区级“3+2+2”产业引导基金，积极参与济南市“6＋N”引导基金群，助力全区重点产业领域招大引强。注重营商环境打造，建立健全重点招商项目统筹机制，全方位服务保障项目建设，实现项目从洽谈、签约、落地到开工、投产、达效的全生命周期管理。</w:t>
      </w:r>
    </w:p>
    <w:p>
      <w:pPr>
        <w:keepNext w:val="0"/>
        <w:keepLines w:val="0"/>
        <w:pageBreakBefore w:val="0"/>
        <w:widowControl w:val="0"/>
        <w:kinsoku/>
        <w:wordWrap/>
        <w:overflowPunct/>
        <w:topLinePunct w:val="0"/>
        <w:autoSpaceDE/>
        <w:autoSpaceDN/>
        <w:bidi w:val="0"/>
        <w:adjustRightInd w:val="0"/>
        <w:snapToGrid w:val="0"/>
        <w:spacing w:before="157" w:beforeLines="50" w:beforeAutospacing="0" w:after="157" w:afterLines="50" w:afterAutospacing="0" w:line="560" w:lineRule="exact"/>
        <w:ind w:left="0" w:leftChars="0" w:firstLine="0" w:firstLineChars="0"/>
        <w:jc w:val="center"/>
        <w:textAlignment w:val="auto"/>
        <w:outlineLvl w:val="1"/>
        <w:rPr>
          <w:rFonts w:hint="default" w:ascii="文星标宋" w:hAnsi="文星标宋" w:eastAsia="文星标宋" w:cs="文星标宋"/>
          <w:bCs/>
          <w:color w:val="auto"/>
          <w:kern w:val="44"/>
          <w:sz w:val="32"/>
          <w:szCs w:val="48"/>
          <w:highlight w:val="none"/>
          <w:lang w:val="en-US" w:eastAsia="zh-CN" w:bidi="ar"/>
        </w:rPr>
      </w:pPr>
      <w:bookmarkStart w:id="48" w:name="_Toc30482"/>
      <w:r>
        <w:rPr>
          <w:rFonts w:hint="eastAsia" w:ascii="文星标宋" w:hAnsi="文星标宋" w:eastAsia="文星标宋" w:cs="文星标宋"/>
          <w:bCs/>
          <w:color w:val="auto"/>
          <w:kern w:val="44"/>
          <w:sz w:val="32"/>
          <w:szCs w:val="48"/>
          <w:highlight w:val="none"/>
          <w:lang w:val="en-US" w:eastAsia="zh-CN" w:bidi="ar"/>
        </w:rPr>
        <w:t>第三节  强化基础设施支撑作用</w:t>
      </w:r>
      <w:bookmarkEnd w:id="46"/>
      <w:bookmarkEnd w:id="48"/>
    </w:p>
    <w:p>
      <w:pPr>
        <w:pStyle w:val="7"/>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outlineLvl w:val="2"/>
        <w:rPr>
          <w:rFonts w:hint="eastAsia" w:ascii="黑体" w:hAnsi="黑体" w:eastAsia="黑体" w:cs="黑体"/>
          <w:b w:val="0"/>
          <w:bCs w:val="0"/>
          <w:color w:val="auto"/>
          <w:spacing w:val="0"/>
          <w:kern w:val="2"/>
          <w:sz w:val="32"/>
          <w:szCs w:val="32"/>
          <w:highlight w:val="none"/>
          <w:shd w:val="clear" w:fill="auto"/>
          <w:lang w:val="en-US" w:eastAsia="zh-CN" w:bidi="ar-SA"/>
        </w:rPr>
      </w:pPr>
      <w:r>
        <w:rPr>
          <w:rFonts w:hint="eastAsia" w:ascii="黑体" w:hAnsi="黑体" w:eastAsia="黑体" w:cs="黑体"/>
          <w:b w:val="0"/>
          <w:bCs w:val="0"/>
          <w:color w:val="auto"/>
          <w:spacing w:val="0"/>
          <w:kern w:val="2"/>
          <w:sz w:val="32"/>
          <w:szCs w:val="32"/>
          <w:highlight w:val="none"/>
          <w:shd w:val="clear" w:fill="auto"/>
          <w:lang w:val="en-US" w:eastAsia="zh-CN" w:bidi="ar-SA"/>
        </w:rPr>
        <w:t>一、构建现代化交通基础设施网络</w:t>
      </w:r>
    </w:p>
    <w:p>
      <w:pPr>
        <w:pStyle w:val="7"/>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textAlignment w:val="auto"/>
        <w:rPr>
          <w:rFonts w:hint="eastAsia" w:ascii="仿宋_GB2312" w:hAnsi="仿宋_GB2312" w:eastAsia="仿宋_GB2312" w:cs="仿宋_GB2312"/>
          <w:b w:val="0"/>
          <w:bCs w:val="0"/>
          <w:color w:val="auto"/>
          <w:spacing w:val="0"/>
          <w:kern w:val="2"/>
          <w:sz w:val="32"/>
          <w:szCs w:val="32"/>
          <w:highlight w:val="none"/>
          <w:shd w:val="clear" w:color="auto" w:fill="auto"/>
          <w:lang w:val="en-US" w:eastAsia="zh-CN" w:bidi="ar-SA"/>
        </w:rPr>
      </w:pPr>
      <w:r>
        <w:rPr>
          <w:rFonts w:hint="eastAsia" w:ascii="仿宋_GB2312" w:hAnsi="仿宋_GB2312" w:eastAsia="仿宋_GB2312" w:cs="仿宋_GB2312"/>
          <w:b w:val="0"/>
          <w:bCs/>
          <w:caps w:val="0"/>
          <w:color w:val="auto"/>
          <w:spacing w:val="0"/>
          <w:kern w:val="2"/>
          <w:sz w:val="32"/>
          <w:szCs w:val="32"/>
          <w:highlight w:val="none"/>
          <w:lang w:val="en-US" w:eastAsia="zh-CN" w:bidi="ar-SA"/>
        </w:rPr>
        <w:t>统筹协同推进公路、铁路、水运等综合交通网络建设，加快形成多种运输方式优势互补、高效衔接的供给结构。重点推进章丘至枣庄高速公路（章丘段）、济南都市圈环线南环段（章丘段）、G308文石线章丘水寨至黄家段、G308文石线公铁两用桥及连接线、G309青兰线清照大街至彩龙路段改建工程、G308文石线章丘邹平界至水寨段改建工程、S241临徐线水寨至南河段改建及北延工程、S241临徐线济章黄河大桥及连接线工程等重大项目，谋划寒亭至章丘高速公路（章丘段）项目。强化章丘区铁路干线骨架功能，规划建设黄台电厂配套铁路支线。规划优化地铁8号线到章丘主城区的接驳体系。重点构建小清河国家高等级航道，贯通济南港至潍坊港的水运通道，打造出海出境新走廊。完善章丘港区设施，推动小清河港区连通道路等基础设施加速落地，提升港口建设等级与铁水联运效能。持续深化交通拥堵综合治理，补齐静态交通短板，全力构建运行高效的“交通大脑”。实施“四好农村路”提质增效专项行动，推进农村公路养护、危桥改造及安全防护工程</w:t>
      </w:r>
      <w:r>
        <w:rPr>
          <w:rFonts w:hint="eastAsia" w:ascii="仿宋_GB2312" w:hAnsi="仿宋_GB2312" w:eastAsia="仿宋_GB2312" w:cs="仿宋_GB2312"/>
          <w:b w:val="0"/>
          <w:bCs w:val="0"/>
          <w:color w:val="auto"/>
          <w:spacing w:val="0"/>
          <w:kern w:val="2"/>
          <w:sz w:val="32"/>
          <w:szCs w:val="32"/>
          <w:highlight w:val="none"/>
          <w:shd w:val="clear" w:color="auto" w:fill="auto"/>
          <w:lang w:val="en-US" w:eastAsia="zh-CN" w:bidi="ar-SA"/>
        </w:rPr>
        <w:t>。</w:t>
      </w:r>
    </w:p>
    <w:p>
      <w:pPr>
        <w:pStyle w:val="7"/>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outlineLvl w:val="2"/>
        <w:rPr>
          <w:rFonts w:hint="default" w:ascii="黑体" w:hAnsi="黑体" w:eastAsia="黑体" w:cs="黑体"/>
          <w:b w:val="0"/>
          <w:bCs w:val="0"/>
          <w:color w:val="auto"/>
          <w:spacing w:val="0"/>
          <w:kern w:val="2"/>
          <w:sz w:val="32"/>
          <w:szCs w:val="32"/>
          <w:highlight w:val="none"/>
          <w:shd w:val="clear" w:fill="auto"/>
          <w:lang w:val="en-US" w:eastAsia="zh-CN" w:bidi="ar-SA"/>
        </w:rPr>
      </w:pPr>
      <w:r>
        <w:rPr>
          <w:rFonts w:hint="eastAsia" w:ascii="黑体" w:hAnsi="黑体" w:eastAsia="黑体" w:cs="黑体"/>
          <w:b w:val="0"/>
          <w:bCs w:val="0"/>
          <w:color w:val="auto"/>
          <w:spacing w:val="0"/>
          <w:kern w:val="2"/>
          <w:sz w:val="32"/>
          <w:szCs w:val="32"/>
          <w:highlight w:val="none"/>
          <w:shd w:val="clear" w:fill="auto"/>
          <w:lang w:val="en-US" w:eastAsia="zh-CN" w:bidi="ar-SA"/>
        </w:rPr>
        <w:t>二、完善能源基础设施建设</w:t>
      </w:r>
    </w:p>
    <w:p>
      <w:pPr>
        <w:pStyle w:val="7"/>
        <w:keepNext w:val="0"/>
        <w:keepLines w:val="0"/>
        <w:pageBreakBefore w:val="0"/>
        <w:widowControl w:val="0"/>
        <w:numPr>
          <w:ilvl w:val="0"/>
          <w:numId w:val="0"/>
        </w:numPr>
        <w:kinsoku/>
        <w:wordWrap/>
        <w:overflowPunct/>
        <w:topLinePunct w:val="0"/>
        <w:autoSpaceDE/>
        <w:autoSpaceDN/>
        <w:bidi w:val="0"/>
        <w:adjustRightInd/>
        <w:snapToGrid/>
        <w:spacing w:after="0" w:afterLines="0" w:line="560" w:lineRule="exact"/>
        <w:ind w:left="0" w:leftChars="0" w:firstLine="640" w:firstLineChars="200"/>
        <w:textAlignment w:val="auto"/>
        <w:rPr>
          <w:rFonts w:hint="eastAsia" w:ascii="仿宋_GB2312" w:hAnsi="仿宋_GB2312" w:eastAsia="仿宋_GB2312" w:cs="仿宋_GB2312"/>
          <w:b w:val="0"/>
          <w:bCs w:val="0"/>
          <w:color w:val="auto"/>
          <w:spacing w:val="0"/>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spacing w:val="0"/>
          <w:kern w:val="2"/>
          <w:sz w:val="32"/>
          <w:szCs w:val="32"/>
          <w:highlight w:val="none"/>
          <w:shd w:val="clear" w:color="auto" w:fill="auto"/>
          <w:lang w:val="en-US" w:eastAsia="zh-CN" w:bidi="ar-SA"/>
        </w:rPr>
        <w:t>充分发挥电源企业在构建新型电力系统中的支撑作用，加快一批新型电力项目落地，有效提升调峰保供能力，进一步优化全区能源结构。增加变电站布点，完善网架结构，强化供电区域互供能力建设，完善末端局部环网，提高电网受电能力、输送能力和供电能力。加快能源互联网建设，推动电网数字化改造升级，提高资源配置和服务支撑能力，构建智慧能源系统。鼓励支持新能源项目和电力电厂建设，构建与章丘产业结构相适应的能源布局。按照“因地制宜、快慢互济、经济合理、适度超前”的原则，规范完善新能源汽车充电基础设施建设布局，提升公共场所充电服务能力。加快黄台电厂、大型池式蓄热站、储能、虚拟电厂、</w:t>
      </w:r>
      <w:bookmarkStart w:id="49" w:name="OLE_LINK16"/>
      <w:r>
        <w:rPr>
          <w:rFonts w:hint="eastAsia" w:ascii="仿宋_GB2312" w:hAnsi="仿宋_GB2312" w:eastAsia="仿宋_GB2312" w:cs="仿宋_GB2312"/>
          <w:b w:val="0"/>
          <w:bCs w:val="0"/>
          <w:color w:val="auto"/>
          <w:spacing w:val="0"/>
          <w:kern w:val="2"/>
          <w:sz w:val="32"/>
          <w:szCs w:val="32"/>
          <w:highlight w:val="none"/>
          <w:shd w:val="clear" w:color="auto" w:fill="auto"/>
          <w:lang w:val="en-US" w:eastAsia="zh-CN" w:bidi="ar-SA"/>
        </w:rPr>
        <w:t>绿电直连、源网荷储</w:t>
      </w:r>
      <w:bookmarkEnd w:id="49"/>
      <w:r>
        <w:rPr>
          <w:rFonts w:hint="eastAsia" w:ascii="仿宋_GB2312" w:hAnsi="仿宋_GB2312" w:eastAsia="仿宋_GB2312" w:cs="仿宋_GB2312"/>
          <w:b w:val="0"/>
          <w:bCs w:val="0"/>
          <w:color w:val="auto"/>
          <w:spacing w:val="0"/>
          <w:kern w:val="2"/>
          <w:sz w:val="32"/>
          <w:szCs w:val="32"/>
          <w:highlight w:val="none"/>
          <w:shd w:val="clear" w:color="auto" w:fill="auto"/>
          <w:lang w:val="en-US" w:eastAsia="zh-CN" w:bidi="ar-SA"/>
        </w:rPr>
        <w:t>等配套工程建设，依托全市高压供气“一张网”体系，科学布局区域高压、次高压环网，高效统筹管道气源与LNG调峰气源接入，加快构建“多点接气、高压成环、互联互通”的供气格局，全面提升城乡燃气管网运行效能。</w:t>
      </w:r>
    </w:p>
    <w:p>
      <w:pPr>
        <w:pStyle w:val="7"/>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outlineLvl w:val="2"/>
        <w:rPr>
          <w:rFonts w:hint="eastAsia" w:ascii="楷体_GB2312" w:hAnsi="楷体_GB2312" w:eastAsia="楷体_GB2312" w:cs="楷体_GB2312"/>
          <w:b w:val="0"/>
          <w:bCs w:val="0"/>
          <w:color w:val="auto"/>
          <w:spacing w:val="0"/>
          <w:kern w:val="2"/>
          <w:sz w:val="32"/>
          <w:szCs w:val="32"/>
          <w:highlight w:val="none"/>
          <w:shd w:val="clear" w:color="auto" w:fill="auto"/>
          <w:lang w:val="en-US" w:eastAsia="zh-CN" w:bidi="ar-SA"/>
        </w:rPr>
      </w:pPr>
      <w:r>
        <w:rPr>
          <w:rFonts w:hint="eastAsia" w:ascii="黑体" w:hAnsi="黑体" w:eastAsia="黑体" w:cs="黑体"/>
          <w:b w:val="0"/>
          <w:bCs w:val="0"/>
          <w:color w:val="auto"/>
          <w:spacing w:val="0"/>
          <w:kern w:val="2"/>
          <w:sz w:val="32"/>
          <w:szCs w:val="32"/>
          <w:highlight w:val="none"/>
          <w:shd w:val="clear" w:fill="auto"/>
          <w:lang w:val="en-US" w:eastAsia="zh-CN" w:bidi="ar-SA"/>
        </w:rPr>
        <w:t>三、建设现代化水网体系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color w:val="auto"/>
          <w:sz w:val="32"/>
          <w:szCs w:val="32"/>
          <w:highlight w:val="none"/>
          <w:lang w:val="en-US" w:eastAsia="zh-CN"/>
        </w:rPr>
      </w:pPr>
      <w:r>
        <w:rPr>
          <w:rFonts w:hint="eastAsia" w:ascii="仿宋_GB2312" w:hAnsi="仿宋_GB2312" w:eastAsia="仿宋_GB2312" w:cs="仿宋_GB2312"/>
          <w:b w:val="0"/>
          <w:bCs w:val="0"/>
          <w:color w:val="auto"/>
          <w:spacing w:val="0"/>
          <w:kern w:val="2"/>
          <w:sz w:val="32"/>
          <w:szCs w:val="32"/>
          <w:highlight w:val="none"/>
          <w:shd w:val="clear" w:color="auto" w:fill="auto"/>
          <w:lang w:val="en-US" w:eastAsia="zh-CN" w:bidi="ar-SA"/>
        </w:rPr>
        <w:t>以水系联通等各类水网工程为依托，强化雨洪水、泉水、再生水的统筹调配，实施最严格水资源管理，规范取用水秩序。强化水旱灾害防御，加强防汛物资储备，常态化开展河湖及城区排水系统隐患排查整治。密切关注天气变化，科学研判旱情发展趋势，充分发挥水系连通、抗旱应急水源工程作用，不断提升抗旱能力。</w:t>
      </w:r>
      <w:r>
        <w:rPr>
          <w:rFonts w:hint="eastAsia" w:ascii="仿宋_GB2312" w:hAnsi="仿宋_GB2312" w:eastAsia="仿宋_GB2312" w:cs="仿宋_GB2312"/>
          <w:b w:val="0"/>
          <w:bCs w:val="0"/>
          <w:caps w:val="0"/>
          <w:color w:val="auto"/>
          <w:spacing w:val="0"/>
          <w:kern w:val="2"/>
          <w:sz w:val="32"/>
          <w:szCs w:val="32"/>
          <w:highlight w:val="none"/>
          <w:shd w:val="clear" w:color="auto" w:fill="auto"/>
          <w:lang w:val="en-US" w:eastAsia="zh-CN" w:bidi="ar-SA"/>
        </w:rPr>
        <w:t>推进城乡供水一体化</w:t>
      </w:r>
      <w:r>
        <w:rPr>
          <w:rFonts w:hint="eastAsia" w:ascii="仿宋_GB2312" w:hAnsi="仿宋_GB2312" w:eastAsia="仿宋_GB2312" w:cs="仿宋_GB2312"/>
          <w:b w:val="0"/>
          <w:bCs w:val="0"/>
          <w:color w:val="auto"/>
          <w:spacing w:val="0"/>
          <w:kern w:val="2"/>
          <w:sz w:val="32"/>
          <w:szCs w:val="32"/>
          <w:highlight w:val="none"/>
          <w:shd w:val="clear" w:color="auto" w:fill="auto"/>
          <w:lang w:val="en-US" w:eastAsia="zh-CN" w:bidi="ar-SA"/>
        </w:rPr>
        <w:t>，强化云湖水厂与各街道配水厂联合调度管理运行，完善城乡供水设施建设运维管理模式，形成规模化、专业化、现代化城乡供水保障体系。加快城乡供水管理信息化平台建设，提高城乡公共供水信息化水平和管理服务能力。加快推进供排水基础设施建设，提升污水处理质效。谋划储备一批重大水利设施项目，构建水安全保障体系。</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852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Lines="0" w:afterAutospacing="0" w:line="480" w:lineRule="exact"/>
              <w:ind w:left="0" w:leftChars="0" w:right="0" w:firstLine="0" w:firstLineChars="0"/>
              <w:jc w:val="center"/>
              <w:textAlignment w:val="auto"/>
              <w:rPr>
                <w:rFonts w:hint="eastAsia" w:ascii="楷体_GB2312" w:hAnsi="楷体_GB2312" w:eastAsia="楷体_GB2312" w:cs="楷体_GB2312"/>
                <w:b w:val="0"/>
                <w:bCs w:val="0"/>
                <w:color w:val="auto"/>
                <w:kern w:val="2"/>
                <w:sz w:val="28"/>
                <w:szCs w:val="28"/>
                <w:highlight w:val="none"/>
                <w:u w:val="none"/>
                <w:lang w:val="en-US" w:eastAsia="zh-CN" w:bidi="ar-SA"/>
              </w:rPr>
            </w:pPr>
            <w:r>
              <w:rPr>
                <w:rFonts w:hint="eastAsia" w:ascii="楷体_GB2312" w:hAnsi="楷体_GB2312" w:eastAsia="楷体_GB2312" w:cs="楷体_GB2312"/>
                <w:b w:val="0"/>
                <w:bCs w:val="0"/>
                <w:color w:val="auto"/>
                <w:kern w:val="2"/>
                <w:sz w:val="28"/>
                <w:szCs w:val="28"/>
                <w:highlight w:val="none"/>
                <w:u w:val="none"/>
                <w:lang w:val="en-US" w:eastAsia="zh-CN" w:bidi="ar-SA"/>
              </w:rPr>
              <w:t>专栏10  “十五五”时期重大基础设施项目</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Lines="0" w:afterAutospacing="0" w:line="480" w:lineRule="exact"/>
              <w:ind w:left="0" w:right="0" w:firstLine="560" w:firstLineChars="200"/>
              <w:jc w:val="both"/>
              <w:textAlignment w:val="auto"/>
              <w:rPr>
                <w:rFonts w:hint="eastAsia" w:ascii="楷体_GB2312" w:hAnsi="楷体_GB2312" w:eastAsia="楷体_GB2312" w:cs="楷体_GB2312"/>
                <w:b w:val="0"/>
                <w:bCs w:val="0"/>
                <w:color w:val="auto"/>
                <w:kern w:val="2"/>
                <w:sz w:val="28"/>
                <w:szCs w:val="28"/>
                <w:highlight w:val="none"/>
                <w:u w:val="none"/>
                <w:lang w:val="en-US" w:eastAsia="zh-CN" w:bidi="ar"/>
              </w:rPr>
            </w:pPr>
            <w:r>
              <w:rPr>
                <w:rFonts w:hint="eastAsia" w:ascii="楷体_GB2312" w:hAnsi="楷体_GB2312" w:eastAsia="楷体_GB2312" w:cs="楷体_GB2312"/>
                <w:b w:val="0"/>
                <w:bCs w:val="0"/>
                <w:color w:val="auto"/>
                <w:kern w:val="2"/>
                <w:sz w:val="28"/>
                <w:szCs w:val="28"/>
                <w:highlight w:val="none"/>
                <w:lang w:val="en-US" w:eastAsia="zh-CN" w:bidi="ar"/>
              </w:rPr>
              <w:t>1.</w:t>
            </w:r>
            <w:r>
              <w:rPr>
                <w:rFonts w:hint="eastAsia" w:ascii="楷体_GB2312" w:hAnsi="楷体_GB2312" w:eastAsia="楷体_GB2312" w:cs="楷体_GB2312"/>
                <w:b w:val="0"/>
                <w:bCs w:val="0"/>
                <w:color w:val="auto"/>
                <w:kern w:val="2"/>
                <w:sz w:val="28"/>
                <w:szCs w:val="28"/>
                <w:highlight w:val="none"/>
                <w:u w:val="none"/>
                <w:lang w:val="en-US" w:eastAsia="zh-CN" w:bidi="ar"/>
              </w:rPr>
              <w:t>交通基础设施类：（1）章丘至枣庄高速公路章丘段；（2）小清河章丘港配套物流园区；（3）济南都市圈环线南环段工程章丘段；（4）G309青兰线清照大街至彩龙路段改建工程章丘段；（5）G308文石线水寨至黄家段改建工程；（6）G308文石线黄河公铁两用桥及连接线工程章丘段；（7）庆云至章丘高速公路章丘段；（8）G308文石线章丘邹平界至水寨段改建工程；（9）S241临徐线水寨至南河段改建工程；（10）S241临徐线济章黄河大桥及连接线工程；（11）寒亭至章丘高速公路（章丘段）项目；（12）黄台电厂迁建项目铁路专用线工程；（13）长山大道西延（s102改线）工程；（14）济东智造新城规划一路工程；（15）新航大街东延；（16）刁镇化工产业园污水处理厂项目西侧道路；（17）S241与寒亭至章丘高速连接线；（18）黄台电厂附属道路（龙圣大道）；</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Lines="0" w:afterAutospacing="0" w:line="480" w:lineRule="exact"/>
              <w:ind w:left="0" w:right="0" w:firstLine="560" w:firstLineChars="200"/>
              <w:jc w:val="both"/>
              <w:textAlignment w:val="auto"/>
              <w:rPr>
                <w:rFonts w:hint="eastAsia" w:ascii="楷体_GB2312" w:hAnsi="楷体_GB2312" w:eastAsia="楷体_GB2312" w:cs="楷体_GB2312"/>
                <w:b w:val="0"/>
                <w:bCs w:val="0"/>
                <w:color w:val="auto"/>
                <w:kern w:val="2"/>
                <w:sz w:val="28"/>
                <w:szCs w:val="28"/>
                <w:highlight w:val="none"/>
                <w:u w:val="none"/>
                <w:lang w:val="en-US" w:eastAsia="zh-CN" w:bidi="ar"/>
              </w:rPr>
            </w:pPr>
            <w:r>
              <w:rPr>
                <w:rFonts w:hint="eastAsia" w:ascii="楷体_GB2312" w:hAnsi="楷体_GB2312" w:eastAsia="楷体_GB2312" w:cs="楷体_GB2312"/>
                <w:b w:val="0"/>
                <w:bCs w:val="0"/>
                <w:color w:val="auto"/>
                <w:kern w:val="2"/>
                <w:sz w:val="28"/>
                <w:szCs w:val="28"/>
                <w:highlight w:val="none"/>
                <w:u w:val="none"/>
                <w:lang w:val="en-US" w:eastAsia="zh-CN" w:bidi="ar"/>
              </w:rPr>
              <w:t>2.能源设施类：（1）华能济南黄台2×66万千瓦热电联产迁建项目；（2）章丘区综合能源基础设施项目配套200MW/1000MWh压缩空气储能项目；（3）大型池式蓄热站示范项目；（4）章丘中石油天然气长输管网建设工程；（5）济南圣泉集团股份有限公司先进材料产业园源网荷储一体化项目；（6）济南章丘区云麒新能源有限公司章丘相公庄34.56MW光伏项目；（7）明泉虚拟电厂（山东明泉绿色能源有限公司）；（8）章丘区（浙江衡睿）200MW/400MWh独立储能电站项目；（9）黄河滩区迁建产业高质量发展197MW光伏发电项目；（10）明水输配电运检抢修中心项目；（11）章丘区天然气利用工程建设项目（含刁镇、高官寨、章丘北等调压站）;（12）信标台项目；（13）章丘综合智慧热源项目；（14）济南市章丘100MW/400MWh独立储能电站项目；（15）章丘区协鑫能科400MW/800MWh电化学储能项目；（16）东方旭能200MW/800MWh独立储能电站项目；（17）刁镇北LNG加气站项目；（18）110kV辛寨变电站项目；（19）110kV时东变电站项目；（20）110kV彭刘（化工园）变电站项目；（21）110kV洛川（工业）变电站项目；（22）110kV宁家埠变电站项目（23）110kV文祖变电站项目；（24）110kV苗家输变电工程项目；（25）绣惠南调压站项目；（26）宁家埠调压站项目；（27）220kV双山站项目；（28）文祖调压站及调压柜项目</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Lines="0" w:afterAutospacing="0" w:line="480" w:lineRule="exact"/>
              <w:ind w:left="0" w:right="0" w:firstLine="560" w:firstLineChars="200"/>
              <w:jc w:val="both"/>
              <w:textAlignment w:val="auto"/>
              <w:rPr>
                <w:rFonts w:hint="default" w:ascii="Calibri" w:hAnsi="Calibri" w:eastAsia="宋体" w:cs="Times New Roman"/>
                <w:color w:val="auto"/>
                <w:kern w:val="2"/>
                <w:sz w:val="21"/>
                <w:szCs w:val="22"/>
                <w:highlight w:val="none"/>
                <w:u w:val="none"/>
                <w:lang w:val="en-US" w:eastAsia="zh-CN" w:bidi="ar-SA"/>
              </w:rPr>
            </w:pPr>
            <w:r>
              <w:rPr>
                <w:rFonts w:hint="eastAsia" w:ascii="楷体_GB2312" w:hAnsi="楷体_GB2312" w:eastAsia="楷体_GB2312" w:cs="楷体_GB2312"/>
                <w:b w:val="0"/>
                <w:bCs w:val="0"/>
                <w:color w:val="auto"/>
                <w:kern w:val="2"/>
                <w:sz w:val="28"/>
                <w:szCs w:val="28"/>
                <w:highlight w:val="none"/>
                <w:u w:val="none"/>
                <w:lang w:val="en-US" w:eastAsia="zh-CN" w:bidi="ar"/>
              </w:rPr>
              <w:t>3.其他基础设施类：（1）官庄弓角湾村南建筑石料用灰岩项目；（2）鲍德冶金石灰石西侧区块开发项目；（3）鲍德冶金石灰石熔剂石灰岩附属工程；（4）济南市级纪念林项目；（5）章丘玉皇山公墓项目；（6）章丘民警训练场项目。</w:t>
            </w:r>
          </w:p>
        </w:tc>
      </w:tr>
    </w:tbl>
    <w:p>
      <w:pPr>
        <w:rPr>
          <w:rFonts w:hint="eastAsia" w:ascii="仿宋_GB2312" w:hAnsi="仿宋_GB2312" w:eastAsia="仿宋_GB2312" w:cs="仿宋_GB2312"/>
          <w:bCs/>
          <w:color w:val="auto"/>
          <w:kern w:val="44"/>
          <w:sz w:val="32"/>
          <w:szCs w:val="48"/>
          <w:highlight w:val="none"/>
          <w:lang w:val="en-US" w:eastAsia="zh-CN" w:bidi="ar"/>
        </w:rPr>
      </w:pPr>
      <w:r>
        <w:rPr>
          <w:rFonts w:hint="eastAsia" w:ascii="仿宋_GB2312" w:hAnsi="仿宋_GB2312" w:eastAsia="仿宋_GB2312" w:cs="仿宋_GB2312"/>
          <w:bCs/>
          <w:color w:val="auto"/>
          <w:kern w:val="44"/>
          <w:sz w:val="32"/>
          <w:szCs w:val="48"/>
          <w:highlight w:val="none"/>
          <w:lang w:val="en-US" w:eastAsia="zh-CN" w:bidi="ar"/>
        </w:rPr>
        <w:br w:type="page"/>
      </w:r>
    </w:p>
    <w:p>
      <w:pPr>
        <w:pStyle w:val="8"/>
        <w:keepNext w:val="0"/>
        <w:keepLines w:val="0"/>
        <w:pageBreakBefore w:val="0"/>
        <w:widowControl w:val="0"/>
        <w:numPr>
          <w:ilvl w:val="0"/>
          <w:numId w:val="1"/>
        </w:numPr>
        <w:kinsoku/>
        <w:wordWrap/>
        <w:overflowPunct/>
        <w:topLinePunct w:val="0"/>
        <w:autoSpaceDE/>
        <w:autoSpaceDN/>
        <w:bidi w:val="0"/>
        <w:adjustRightInd/>
        <w:snapToGrid/>
        <w:spacing w:before="313" w:beforeLines="100" w:after="313" w:afterLines="100" w:line="560" w:lineRule="exact"/>
        <w:jc w:val="center"/>
        <w:textAlignment w:val="auto"/>
        <w:outlineLvl w:val="0"/>
        <w:rPr>
          <w:rFonts w:hint="eastAsia" w:ascii="方正小标宋简体" w:hAnsi="方正小标宋简体" w:eastAsia="方正小标宋简体" w:cs="方正小标宋简体"/>
          <w:b w:val="0"/>
          <w:bCs w:val="0"/>
          <w:color w:val="auto"/>
          <w:kern w:val="2"/>
          <w:sz w:val="44"/>
          <w:szCs w:val="44"/>
          <w:highlight w:val="none"/>
          <w:lang w:val="en-US" w:eastAsia="zh-CN" w:bidi="ar-SA"/>
        </w:rPr>
      </w:pPr>
      <w:bookmarkStart w:id="50" w:name="_Toc31970"/>
      <w:r>
        <w:rPr>
          <w:rFonts w:hint="eastAsia" w:ascii="方正小标宋简体" w:hAnsi="方正小标宋简体" w:eastAsia="方正小标宋简体" w:cs="方正小标宋简体"/>
          <w:b w:val="0"/>
          <w:bCs w:val="0"/>
          <w:color w:val="auto"/>
          <w:kern w:val="2"/>
          <w:sz w:val="44"/>
          <w:szCs w:val="44"/>
          <w:highlight w:val="none"/>
          <w:lang w:val="en-US" w:eastAsia="zh-CN" w:bidi="ar-SA"/>
        </w:rPr>
        <w:t>全面深化改革开放，激发高质量</w:t>
      </w:r>
    </w:p>
    <w:p>
      <w:pPr>
        <w:pStyle w:val="8"/>
        <w:keepNext w:val="0"/>
        <w:keepLines w:val="0"/>
        <w:pageBreakBefore w:val="0"/>
        <w:widowControl w:val="0"/>
        <w:numPr>
          <w:ilvl w:val="0"/>
          <w:numId w:val="0"/>
        </w:numPr>
        <w:kinsoku/>
        <w:wordWrap/>
        <w:overflowPunct/>
        <w:topLinePunct w:val="0"/>
        <w:autoSpaceDE/>
        <w:autoSpaceDN/>
        <w:bidi w:val="0"/>
        <w:adjustRightInd/>
        <w:snapToGrid/>
        <w:spacing w:before="313" w:beforeLines="100" w:after="313" w:afterLines="100" w:line="560" w:lineRule="exact"/>
        <w:jc w:val="center"/>
        <w:textAlignment w:val="auto"/>
        <w:outlineLvl w:val="0"/>
        <w:rPr>
          <w:rFonts w:hint="eastAsia" w:ascii="方正小标宋简体" w:hAnsi="方正小标宋简体" w:eastAsia="方正小标宋简体" w:cs="方正小标宋简体"/>
          <w:b w:val="0"/>
          <w:bCs w:val="0"/>
          <w:color w:val="auto"/>
          <w:kern w:val="2"/>
          <w:sz w:val="44"/>
          <w:szCs w:val="44"/>
          <w:highlight w:val="none"/>
          <w:lang w:val="en-US" w:eastAsia="zh-CN" w:bidi="ar-SA"/>
        </w:rPr>
      </w:pPr>
      <w:r>
        <w:rPr>
          <w:rFonts w:hint="eastAsia" w:ascii="方正小标宋简体" w:hAnsi="方正小标宋简体" w:eastAsia="方正小标宋简体" w:cs="方正小标宋简体"/>
          <w:b w:val="0"/>
          <w:bCs w:val="0"/>
          <w:color w:val="auto"/>
          <w:kern w:val="2"/>
          <w:sz w:val="44"/>
          <w:szCs w:val="44"/>
          <w:highlight w:val="none"/>
          <w:lang w:val="en-US" w:eastAsia="zh-CN" w:bidi="ar-SA"/>
        </w:rPr>
        <w:t>发展动力活力</w:t>
      </w:r>
      <w:bookmarkEnd w:id="50"/>
    </w:p>
    <w:p>
      <w:pPr>
        <w:keepNext w:val="0"/>
        <w:keepLines w:val="0"/>
        <w:pageBreakBefore w:val="0"/>
        <w:widowControl w:val="0"/>
        <w:kinsoku/>
        <w:wordWrap/>
        <w:overflowPunct w:val="0"/>
        <w:topLinePunct w:val="0"/>
        <w:autoSpaceDE/>
        <w:autoSpaceDN/>
        <w:bidi w:val="0"/>
        <w:adjustRightInd w:val="0"/>
        <w:snapToGrid w:val="0"/>
        <w:spacing w:beforeAutospacing="0" w:line="560" w:lineRule="exact"/>
        <w:ind w:firstLine="640" w:firstLineChars="200"/>
        <w:textAlignment w:val="auto"/>
        <w:outlineLvl w:val="9"/>
        <w:rPr>
          <w:rFonts w:hint="eastAsia" w:ascii="仿宋_GB2312" w:hAnsi="仿宋_GB2312" w:eastAsia="仿宋_GB2312" w:cs="仿宋_GB2312"/>
          <w:b w:val="0"/>
          <w:bCs w:val="0"/>
          <w:color w:val="auto"/>
          <w:sz w:val="32"/>
          <w:szCs w:val="32"/>
          <w:highlight w:val="none"/>
          <w:lang w:val="en-US" w:eastAsia="zh-CN" w:bidi="ar"/>
        </w:rPr>
      </w:pPr>
      <w:bookmarkStart w:id="51" w:name="OLE_LINK5"/>
      <w:r>
        <w:rPr>
          <w:rFonts w:hint="eastAsia" w:ascii="仿宋_GB2312" w:hAnsi="仿宋_GB2312" w:eastAsia="仿宋_GB2312" w:cs="仿宋_GB2312"/>
          <w:b w:val="0"/>
          <w:bCs w:val="0"/>
          <w:color w:val="auto"/>
          <w:sz w:val="32"/>
          <w:szCs w:val="32"/>
          <w:highlight w:val="none"/>
          <w:lang w:val="en-US" w:eastAsia="zh-CN" w:bidi="ar"/>
        </w:rPr>
        <w:t>坚持深化改革与扩大开放双轮驱动，破除体制机制障碍，优化营商环境，拓展开放合作新空间，为全区高质量发展注入强劲动力与活力。</w:t>
      </w:r>
    </w:p>
    <w:p>
      <w:pPr>
        <w:keepNext w:val="0"/>
        <w:keepLines w:val="0"/>
        <w:pageBreakBefore w:val="0"/>
        <w:widowControl w:val="0"/>
        <w:kinsoku/>
        <w:wordWrap/>
        <w:overflowPunct w:val="0"/>
        <w:topLinePunct w:val="0"/>
        <w:autoSpaceDE/>
        <w:autoSpaceDN/>
        <w:bidi w:val="0"/>
        <w:adjustRightInd w:val="0"/>
        <w:snapToGrid w:val="0"/>
        <w:spacing w:before="157" w:beforeLines="50" w:beforeAutospacing="0" w:after="157" w:afterLines="50" w:line="560" w:lineRule="exact"/>
        <w:ind w:firstLine="0" w:firstLineChars="0"/>
        <w:jc w:val="center"/>
        <w:textAlignment w:val="auto"/>
        <w:outlineLvl w:val="1"/>
        <w:rPr>
          <w:rFonts w:hint="eastAsia" w:ascii="黑体" w:hAnsi="黑体" w:eastAsia="黑体" w:cs="黑体"/>
          <w:b w:val="0"/>
          <w:bCs w:val="0"/>
          <w:color w:val="auto"/>
          <w:sz w:val="32"/>
          <w:szCs w:val="32"/>
          <w:highlight w:val="none"/>
          <w:lang w:val="en-US" w:eastAsia="zh-CN"/>
        </w:rPr>
      </w:pPr>
      <w:bookmarkStart w:id="52" w:name="_Toc21673"/>
      <w:r>
        <w:rPr>
          <w:rFonts w:hint="eastAsia" w:ascii="黑体" w:hAnsi="黑体" w:eastAsia="黑体" w:cs="黑体"/>
          <w:b w:val="0"/>
          <w:bCs w:val="0"/>
          <w:color w:val="auto"/>
          <w:sz w:val="32"/>
          <w:szCs w:val="32"/>
          <w:highlight w:val="none"/>
          <w:lang w:val="en-US" w:eastAsia="zh-CN"/>
        </w:rPr>
        <w:t>第一节  主动服务和融入全国统一大市场建设</w:t>
      </w:r>
      <w:bookmarkEnd w:id="52"/>
    </w:p>
    <w:p>
      <w:pPr>
        <w:keepNext w:val="0"/>
        <w:keepLines w:val="0"/>
        <w:pageBreakBefore w:val="0"/>
        <w:widowControl w:val="0"/>
        <w:kinsoku/>
        <w:wordWrap/>
        <w:overflowPunct w:val="0"/>
        <w:topLinePunct w:val="0"/>
        <w:autoSpaceDE/>
        <w:autoSpaceDN/>
        <w:bidi w:val="0"/>
        <w:adjustRightInd w:val="0"/>
        <w:snapToGrid w:val="0"/>
        <w:spacing w:beforeAutospacing="0" w:line="56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一、改善公平竞争法治环境</w:t>
      </w:r>
    </w:p>
    <w:p>
      <w:pPr>
        <w:keepNext w:val="0"/>
        <w:keepLines w:val="0"/>
        <w:pageBreakBefore w:val="0"/>
        <w:widowControl w:val="0"/>
        <w:kinsoku/>
        <w:wordWrap/>
        <w:overflowPunct w:val="0"/>
        <w:topLinePunct w:val="0"/>
        <w:autoSpaceDE/>
        <w:autoSpaceDN/>
        <w:bidi w:val="0"/>
        <w:adjustRightInd w:val="0"/>
        <w:snapToGrid w:val="0"/>
        <w:spacing w:beforeAutospacing="0" w:line="560" w:lineRule="exact"/>
        <w:ind w:firstLine="640" w:firstLineChars="200"/>
        <w:textAlignment w:val="auto"/>
        <w:outlineLvl w:val="9"/>
        <w:rPr>
          <w:rFonts w:hint="eastAsia" w:ascii="仿宋_GB2312" w:hAnsi="仿宋_GB2312" w:eastAsia="仿宋_GB2312" w:cs="仿宋_GB2312"/>
          <w:b w:val="0"/>
          <w:bCs w:val="0"/>
          <w:color w:val="auto"/>
          <w:kern w:val="2"/>
          <w:sz w:val="32"/>
          <w:szCs w:val="40"/>
          <w:highlight w:val="none"/>
          <w:lang w:val="en-US" w:eastAsia="zh-CN" w:bidi="ar-SA"/>
        </w:rPr>
      </w:pPr>
      <w:r>
        <w:rPr>
          <w:rFonts w:hint="eastAsia" w:ascii="仿宋_GB2312" w:hAnsi="仿宋_GB2312" w:eastAsia="仿宋_GB2312" w:cs="仿宋_GB2312"/>
          <w:i w:val="0"/>
          <w:iCs w:val="0"/>
          <w:caps w:val="0"/>
          <w:color w:val="auto"/>
          <w:spacing w:val="0"/>
          <w:kern w:val="0"/>
          <w:sz w:val="32"/>
          <w:szCs w:val="32"/>
          <w:highlight w:val="none"/>
          <w:shd w:val="clear" w:fill="FFFFFF"/>
          <w:lang w:val="en-US" w:eastAsia="zh-CN" w:bidi="ar"/>
        </w:rPr>
        <w:t>全面实施全国统一的市场准入负面清单制度，破除制约市场竞争的各类障碍和隐性壁垒，推动“非禁即入”普遍落实。健全公平竞争审查机制，加强反垄断和反不正当竞争执法，有效治理侵权假冒、地方保护、行业壁垒和企业垄断。依法平等保护各种所有制企业的产权和自主经营权，建立公平竞争、优胜劣汰机制。</w:t>
      </w: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完善知识产权管理和执法体制，探索建立知识产权快速维权机制。健全事中事后监管机制，建立健全企业信用信息公示和部门信息互联共享机制，建立集中统一的市场监管综合执法体系。加强信用体系建设，</w:t>
      </w:r>
      <w:r>
        <w:rPr>
          <w:rFonts w:hint="eastAsia" w:ascii="仿宋_GB2312" w:hAnsi="仿宋_GB2312" w:eastAsia="仿宋_GB2312" w:cs="仿宋_GB2312"/>
          <w:i w:val="0"/>
          <w:iCs w:val="0"/>
          <w:caps w:val="0"/>
          <w:color w:val="auto"/>
          <w:spacing w:val="0"/>
          <w:kern w:val="0"/>
          <w:sz w:val="32"/>
          <w:szCs w:val="32"/>
          <w:highlight w:val="none"/>
          <w:shd w:val="clear" w:fill="FFFFFF"/>
          <w:lang w:val="en-US" w:eastAsia="zh-CN" w:bidi="ar"/>
        </w:rPr>
        <w:t>积极推进全区政务诚信、商务诚信、社会诚信和司法公信建设，完善信用信息共享平台，健全失信行为认定、失信联合惩戒等机制，切实营造诚实守信的良好社会环境，打造“诚信章丘”。</w:t>
      </w:r>
    </w:p>
    <w:p>
      <w:pPr>
        <w:keepNext w:val="0"/>
        <w:keepLines w:val="0"/>
        <w:pageBreakBefore w:val="0"/>
        <w:widowControl w:val="0"/>
        <w:kinsoku/>
        <w:wordWrap/>
        <w:overflowPunct w:val="0"/>
        <w:topLinePunct w:val="0"/>
        <w:autoSpaceDE/>
        <w:autoSpaceDN/>
        <w:bidi w:val="0"/>
        <w:adjustRightInd w:val="0"/>
        <w:snapToGrid w:val="0"/>
        <w:spacing w:beforeAutospacing="0" w:line="56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二、深化要素市场化配置改革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Courier New" w:eastAsia="仿宋_GB2312" w:cs="Times New Roman"/>
          <w:color w:val="auto"/>
          <w:kern w:val="2"/>
          <w:sz w:val="32"/>
          <w:szCs w:val="24"/>
          <w:highlight w:val="none"/>
          <w:u w:val="none"/>
          <w:lang w:val="en-US" w:eastAsia="zh-CN" w:bidi="ar-SA"/>
        </w:rPr>
      </w:pPr>
      <w:r>
        <w:rPr>
          <w:rFonts w:hint="eastAsia" w:ascii="仿宋_GB2312" w:hAnsi="仿宋_GB2312" w:eastAsia="仿宋_GB2312" w:cs="仿宋_GB2312"/>
          <w:strike w:val="0"/>
          <w:dstrike w:val="0"/>
          <w:color w:val="auto"/>
          <w:kern w:val="2"/>
          <w:sz w:val="32"/>
          <w:szCs w:val="24"/>
          <w:highlight w:val="none"/>
          <w:u w:val="none"/>
          <w:lang w:val="en-US" w:eastAsia="zh-CN" w:bidi="ar-SA"/>
        </w:rPr>
        <w:t>统筹推进土地、劳动力、数据等要素市场化改革，破除体制机制障碍，促进要素自主有序流动，提高资源配置效率，为高质量发展提供制度保障和要素支撑。推进土地管理制度创新，</w:t>
      </w:r>
      <w:r>
        <w:rPr>
          <w:rFonts w:hint="eastAsia" w:ascii="仿宋_GB2312" w:hAnsi="仿宋_GB2312" w:eastAsia="仿宋_GB2312" w:cs="仿宋_GB2312"/>
          <w:color w:val="auto"/>
          <w:kern w:val="2"/>
          <w:sz w:val="32"/>
          <w:szCs w:val="24"/>
          <w:highlight w:val="none"/>
          <w:u w:val="none"/>
          <w:lang w:val="en-US" w:eastAsia="zh-CN" w:bidi="ar-SA"/>
        </w:rPr>
        <w:t>强化土地保障，持续落实“标准地”供给、“亩均效益”评价等改革举措，</w:t>
      </w:r>
      <w:r>
        <w:rPr>
          <w:rFonts w:hint="eastAsia" w:ascii="仿宋_GB2312" w:hAnsi="仿宋_GB2312" w:eastAsia="仿宋_GB2312" w:cs="仿宋_GB2312"/>
          <w:strike w:val="0"/>
          <w:dstrike w:val="0"/>
          <w:color w:val="auto"/>
          <w:kern w:val="2"/>
          <w:sz w:val="32"/>
          <w:szCs w:val="24"/>
          <w:highlight w:val="none"/>
          <w:u w:val="none"/>
          <w:lang w:val="en-US" w:eastAsia="zh-CN" w:bidi="ar-SA"/>
        </w:rPr>
        <w:t>强化全生命周期监管，</w:t>
      </w:r>
      <w:r>
        <w:rPr>
          <w:rFonts w:hint="eastAsia" w:ascii="仿宋_GB2312" w:hAnsi="仿宋_GB2312" w:eastAsia="仿宋_GB2312" w:cs="仿宋_GB2312"/>
          <w:color w:val="auto"/>
          <w:kern w:val="2"/>
          <w:sz w:val="32"/>
          <w:szCs w:val="24"/>
          <w:highlight w:val="none"/>
          <w:u w:val="none"/>
          <w:lang w:val="en-US" w:eastAsia="zh-CN" w:bidi="ar-SA"/>
        </w:rPr>
        <w:t>建立适应新产业、新业态、新模式特点的灵活土地供应机制</w:t>
      </w:r>
      <w:r>
        <w:rPr>
          <w:rFonts w:hint="eastAsia" w:ascii="仿宋_GB2312" w:hAnsi="仿宋_GB2312" w:eastAsia="仿宋_GB2312" w:cs="仿宋_GB2312"/>
          <w:strike w:val="0"/>
          <w:dstrike w:val="0"/>
          <w:color w:val="auto"/>
          <w:kern w:val="2"/>
          <w:sz w:val="32"/>
          <w:szCs w:val="24"/>
          <w:highlight w:val="none"/>
          <w:u w:val="none"/>
          <w:lang w:val="en-US" w:eastAsia="zh-CN" w:bidi="ar-SA"/>
        </w:rPr>
        <w:t>。健全劳动力流动服务体系，建立户籍与公共服务挂钩机制，培育统一人力资源市场，完善人才共享和职业资格衔接制度，促进人才资源高效配置。深化公共资源交易市场化改革，健全要素定价机制，推动土地、矿产等资源由“行政配置”向“市场配置”转型。</w:t>
      </w:r>
      <w:r>
        <w:rPr>
          <w:rFonts w:hint="eastAsia" w:ascii="宋体" w:hAnsi="Courier New" w:eastAsia="仿宋_GB2312" w:cs="仿宋_GB2312"/>
          <w:strike w:val="0"/>
          <w:dstrike w:val="0"/>
          <w:color w:val="auto"/>
          <w:kern w:val="2"/>
          <w:sz w:val="32"/>
          <w:szCs w:val="24"/>
          <w:highlight w:val="none"/>
          <w:u w:val="none"/>
          <w:lang w:val="en-US" w:eastAsia="zh-CN" w:bidi="ar-SA"/>
        </w:rPr>
        <w:t>深化排污权、用能权、用水权等资源环境市场化交易改革，探索碳汇资源价值实现机制，促进绿色要素高效配置。</w:t>
      </w:r>
    </w:p>
    <w:p>
      <w:pPr>
        <w:keepNext w:val="0"/>
        <w:keepLines w:val="0"/>
        <w:pageBreakBefore w:val="0"/>
        <w:widowControl w:val="0"/>
        <w:kinsoku/>
        <w:wordWrap/>
        <w:overflowPunct w:val="0"/>
        <w:topLinePunct w:val="0"/>
        <w:autoSpaceDE/>
        <w:autoSpaceDN/>
        <w:bidi w:val="0"/>
        <w:adjustRightInd w:val="0"/>
        <w:snapToGrid w:val="0"/>
        <w:spacing w:beforeAutospacing="0" w:line="56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三、加快营造一流营商环境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trike w:val="0"/>
          <w:dstrike w:val="0"/>
          <w:color w:val="auto"/>
          <w:kern w:val="2"/>
          <w:sz w:val="32"/>
          <w:szCs w:val="24"/>
          <w:highlight w:val="none"/>
          <w:u w:val="none"/>
          <w:lang w:val="en-US" w:eastAsia="zh-CN" w:bidi="ar-SA"/>
        </w:rPr>
      </w:pPr>
      <w:r>
        <w:rPr>
          <w:rFonts w:hint="eastAsia" w:ascii="仿宋_GB2312" w:hAnsi="仿宋_GB2312" w:eastAsia="仿宋_GB2312" w:cs="仿宋_GB2312"/>
          <w:color w:val="auto"/>
          <w:sz w:val="32"/>
          <w:highlight w:val="none"/>
          <w:u w:val="none"/>
        </w:rPr>
        <w:t>优化政府服务效能，全面推进智慧政务建设，强化数据共享与业务协同，推动更多政务服务事项实现“一网通办、智能秒批、无感审批”</w:t>
      </w:r>
      <w:r>
        <w:rPr>
          <w:rFonts w:hint="eastAsia" w:ascii="仿宋_GB2312" w:hAnsi="仿宋_GB2312" w:eastAsia="仿宋_GB2312" w:cs="仿宋_GB2312"/>
          <w:color w:val="auto"/>
          <w:sz w:val="32"/>
          <w:highlight w:val="none"/>
          <w:u w:val="none"/>
          <w:lang w:eastAsia="zh-CN"/>
        </w:rPr>
        <w:t>，</w:t>
      </w:r>
      <w:r>
        <w:rPr>
          <w:rFonts w:hint="eastAsia" w:ascii="仿宋_GB2312" w:hAnsi="仿宋_GB2312" w:eastAsia="仿宋_GB2312" w:cs="仿宋_GB2312"/>
          <w:color w:val="auto"/>
          <w:sz w:val="32"/>
          <w:highlight w:val="none"/>
          <w:u w:val="none"/>
        </w:rPr>
        <w:t>实现企业群众办事“零跑动”成为常态。完善企业全生命周期服务体系，深化商事制度和工程建设项目审批改革，建立涵盖准入、准营、变更、退出全链条的服务机制，切实降低制度性交易成本。优化“亲清会客厅”政企沟通平台，健全企业诉求“一口受理、闭环解决”机制，持续构建亲清新型政商关系。创新推出经营主体“代位变更”、工业项目“租赁即办证”等改革举措，不断释放改革红利。深化“双随机、一公开”监管，推行“综合查一次”改革，健全审管联动机制，提升监管效能和政务服务水平，增强公共服务的均衡性与可及性。</w:t>
      </w:r>
    </w:p>
    <w:p>
      <w:pPr>
        <w:keepNext w:val="0"/>
        <w:keepLines w:val="0"/>
        <w:pageBreakBefore w:val="0"/>
        <w:widowControl w:val="0"/>
        <w:kinsoku/>
        <w:wordWrap/>
        <w:overflowPunct/>
        <w:topLinePunct w:val="0"/>
        <w:autoSpaceDE/>
        <w:autoSpaceDN/>
        <w:bidi w:val="0"/>
        <w:adjustRightInd w:val="0"/>
        <w:snapToGrid w:val="0"/>
        <w:spacing w:before="157" w:beforeLines="50" w:beforeAutospacing="0" w:after="157" w:afterLines="50" w:afterAutospacing="0" w:line="560" w:lineRule="exact"/>
        <w:ind w:left="0" w:leftChars="0" w:firstLine="0" w:firstLineChars="0"/>
        <w:jc w:val="center"/>
        <w:textAlignment w:val="auto"/>
        <w:outlineLvl w:val="1"/>
        <w:rPr>
          <w:rFonts w:hint="eastAsia" w:ascii="黑体" w:hAnsi="黑体" w:eastAsia="黑体" w:cs="黑体"/>
          <w:bCs/>
          <w:color w:val="auto"/>
          <w:kern w:val="44"/>
          <w:sz w:val="32"/>
          <w:szCs w:val="48"/>
          <w:highlight w:val="none"/>
          <w:lang w:val="en-US" w:eastAsia="zh-CN" w:bidi="ar"/>
        </w:rPr>
      </w:pPr>
      <w:bookmarkStart w:id="53" w:name="_Toc29086"/>
      <w:r>
        <w:rPr>
          <w:rFonts w:hint="eastAsia" w:ascii="黑体" w:hAnsi="黑体" w:eastAsia="黑体" w:cs="黑体"/>
          <w:bCs/>
          <w:color w:val="auto"/>
          <w:kern w:val="44"/>
          <w:sz w:val="32"/>
          <w:szCs w:val="48"/>
          <w:highlight w:val="none"/>
          <w:lang w:val="en-US" w:eastAsia="zh-CN" w:bidi="ar"/>
        </w:rPr>
        <w:t>第二节  统筹突破关键领域改革</w:t>
      </w:r>
      <w:bookmarkEnd w:id="53"/>
    </w:p>
    <w:p>
      <w:pPr>
        <w:keepNext w:val="0"/>
        <w:keepLines w:val="0"/>
        <w:pageBreakBefore w:val="0"/>
        <w:widowControl w:val="0"/>
        <w:kinsoku/>
        <w:wordWrap/>
        <w:overflowPunct w:val="0"/>
        <w:topLinePunct w:val="0"/>
        <w:autoSpaceDE/>
        <w:autoSpaceDN/>
        <w:bidi w:val="0"/>
        <w:adjustRightInd w:val="0"/>
        <w:snapToGrid w:val="0"/>
        <w:spacing w:beforeAutospacing="0" w:line="56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bidi="ar"/>
        </w:rPr>
      </w:pPr>
      <w:bookmarkStart w:id="54" w:name="OLE_LINK1"/>
      <w:r>
        <w:rPr>
          <w:rFonts w:hint="eastAsia" w:ascii="黑体" w:hAnsi="黑体" w:eastAsia="黑体" w:cs="黑体"/>
          <w:b w:val="0"/>
          <w:bCs w:val="0"/>
          <w:color w:val="auto"/>
          <w:sz w:val="32"/>
          <w:szCs w:val="32"/>
          <w:highlight w:val="none"/>
          <w:lang w:val="en-US" w:eastAsia="zh-CN" w:bidi="ar"/>
        </w:rPr>
        <w:t>一、深化国资国企改革</w:t>
      </w:r>
    </w:p>
    <w:p>
      <w:pPr>
        <w:keepNext w:val="0"/>
        <w:keepLines w:val="0"/>
        <w:pageBreakBefore w:val="0"/>
        <w:widowControl w:val="0"/>
        <w:kinsoku/>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kern w:val="2"/>
          <w:sz w:val="32"/>
          <w:szCs w:val="24"/>
          <w:highlight w:val="none"/>
          <w:u w:val="none"/>
          <w:lang w:val="en-US" w:eastAsia="zh-CN" w:bidi="ar-SA"/>
        </w:rPr>
      </w:pPr>
      <w:r>
        <w:rPr>
          <w:rFonts w:hint="eastAsia" w:ascii="仿宋_GB2312" w:hAnsi="仿宋_GB2312" w:eastAsia="仿宋_GB2312" w:cs="仿宋_GB2312"/>
          <w:color w:val="auto"/>
          <w:kern w:val="2"/>
          <w:sz w:val="32"/>
          <w:szCs w:val="24"/>
          <w:highlight w:val="none"/>
          <w:u w:val="none"/>
          <w:lang w:val="en-US" w:eastAsia="zh-CN" w:bidi="ar-SA"/>
        </w:rPr>
        <w:t>推动国有资本做强做优做大，优化国有资本布局，健全完善公司治理结构，增强资本运作能力，全面提升国有经济竞争力。推进国有资本布局优化和结构调整，加大国有资本对片区综合开发、城市更新、产业空间建设等城市综合运营的投资布局，推动国有资本向公共服务和民生保障行业集中，推进国有资本向产业链中高端集聚。推进国有企业战略性重组整合，加强业务同类、资产同质国企重组整合力度，吸引各类社会资本参与国有企业改革，提升国有经济与其他所有制经济的互补性。</w:t>
      </w:r>
      <w:bookmarkEnd w:id="54"/>
      <w:r>
        <w:rPr>
          <w:rFonts w:hint="eastAsia" w:ascii="仿宋_GB2312" w:hAnsi="仿宋_GB2312" w:eastAsia="仿宋_GB2312" w:cs="仿宋_GB2312"/>
          <w:color w:val="auto"/>
          <w:kern w:val="2"/>
          <w:sz w:val="32"/>
          <w:szCs w:val="24"/>
          <w:highlight w:val="none"/>
          <w:u w:val="none"/>
          <w:lang w:val="en-US" w:eastAsia="zh-CN" w:bidi="ar-SA"/>
        </w:rPr>
        <w:t>不断完善国有资产监管体系，推进经营性国有资产集中统一监管，促进形成以管资本为主的国有资产监管体制。</w:t>
      </w:r>
    </w:p>
    <w:p>
      <w:pPr>
        <w:keepNext w:val="0"/>
        <w:keepLines w:val="0"/>
        <w:pageBreakBefore w:val="0"/>
        <w:widowControl w:val="0"/>
        <w:kinsoku/>
        <w:wordWrap/>
        <w:overflowPunct w:val="0"/>
        <w:topLinePunct w:val="0"/>
        <w:autoSpaceDE/>
        <w:autoSpaceDN/>
        <w:bidi w:val="0"/>
        <w:adjustRightInd w:val="0"/>
        <w:snapToGrid w:val="0"/>
        <w:spacing w:beforeAutospacing="0" w:line="560" w:lineRule="exact"/>
        <w:ind w:firstLine="640" w:firstLineChars="200"/>
        <w:textAlignment w:val="auto"/>
        <w:outlineLvl w:val="2"/>
        <w:rPr>
          <w:rFonts w:hint="eastAsia" w:ascii="楷体_GB2312" w:hAnsi="楷体_GB2312" w:eastAsia="楷体_GB2312" w:cs="楷体_GB2312"/>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二、推动民营经济高质量发展</w:t>
      </w:r>
    </w:p>
    <w:p>
      <w:pPr>
        <w:keepNext w:val="0"/>
        <w:keepLines w:val="0"/>
        <w:pageBreakBefore w:val="0"/>
        <w:widowControl w:val="0"/>
        <w:kinsoku/>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kern w:val="2"/>
          <w:sz w:val="32"/>
          <w:szCs w:val="24"/>
          <w:highlight w:val="none"/>
          <w:u w:val="none"/>
          <w:lang w:val="en-US" w:eastAsia="zh-CN" w:bidi="ar-SA"/>
        </w:rPr>
      </w:pPr>
      <w:r>
        <w:rPr>
          <w:rFonts w:hint="eastAsia" w:ascii="仿宋_GB2312" w:hAnsi="仿宋_GB2312" w:eastAsia="仿宋_GB2312" w:cs="仿宋_GB2312"/>
          <w:color w:val="auto"/>
          <w:kern w:val="2"/>
          <w:sz w:val="32"/>
          <w:szCs w:val="24"/>
          <w:highlight w:val="none"/>
          <w:u w:val="none"/>
          <w:lang w:val="en-US" w:eastAsia="zh-CN" w:bidi="ar-SA"/>
        </w:rPr>
        <w:t>优化民营经济发展管理体制，推动民营企业公平准入，对新增经营性基础设施项目和综合利用项目，鼓励民营企业参与，激发民营经济发展活力。大力支持民营企业改造提升、扩规提质，持续推进“个转企”“小升规”，建设优质中小企业梯度培育库，持续壮大民营企业体量。实施要素保障专项行动，持续推动减税降费等纾困政策直达快享，着力破解融资难、用地难、投资难等民营企业发展瓶颈，积极组织开展供需对接活动，拓宽中小企业销售渠道，扩大产品市场占有率。优化金融供给，积极推广“济担一攀登贷”等惠企新政策，加大对制造业等重点产业的信贷投放规模。大力弘扬企业家精神，办好章丘“企业家日”活动，实施新生代企业家能力提升工程，让广大企业家在章丘放心投资、安心创业、舒心生活。</w:t>
      </w:r>
    </w:p>
    <w:p>
      <w:pPr>
        <w:keepNext w:val="0"/>
        <w:keepLines w:val="0"/>
        <w:pageBreakBefore w:val="0"/>
        <w:widowControl w:val="0"/>
        <w:kinsoku/>
        <w:wordWrap/>
        <w:overflowPunct w:val="0"/>
        <w:topLinePunct w:val="0"/>
        <w:autoSpaceDE/>
        <w:autoSpaceDN/>
        <w:bidi w:val="0"/>
        <w:adjustRightInd w:val="0"/>
        <w:snapToGrid w:val="0"/>
        <w:spacing w:beforeAutospacing="0" w:line="56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三、加快财税金融领域改革攻坚</w:t>
      </w:r>
    </w:p>
    <w:p>
      <w:pPr>
        <w:keepNext w:val="0"/>
        <w:keepLines w:val="0"/>
        <w:pageBreakBefore w:val="0"/>
        <w:widowControl w:val="0"/>
        <w:kinsoku/>
        <w:wordWrap/>
        <w:topLinePunct w:val="0"/>
        <w:autoSpaceDE/>
        <w:autoSpaceDN/>
        <w:bidi w:val="0"/>
        <w:adjustRightInd w:val="0"/>
        <w:snapToGrid w:val="0"/>
        <w:spacing w:before="0" w:beforeAutospacing="0" w:afterAutospacing="0" w:line="560" w:lineRule="exact"/>
        <w:ind w:left="0" w:leftChars="0" w:firstLine="640" w:firstLineChars="200"/>
        <w:jc w:val="both"/>
        <w:textAlignment w:val="auto"/>
        <w:outlineLvl w:val="9"/>
        <w:rPr>
          <w:rFonts w:hint="eastAsia" w:ascii="仿宋_GB2312" w:hAnsi="仿宋_GB2312" w:eastAsia="仿宋_GB2312" w:cs="仿宋_GB2312"/>
          <w:color w:val="auto"/>
          <w:kern w:val="2"/>
          <w:sz w:val="32"/>
          <w:szCs w:val="24"/>
          <w:highlight w:val="none"/>
          <w:u w:val="none"/>
          <w:lang w:val="en-US" w:eastAsia="zh-CN" w:bidi="ar-SA"/>
        </w:rPr>
      </w:pPr>
      <w:r>
        <w:rPr>
          <w:rFonts w:hint="eastAsia" w:ascii="仿宋_GB2312" w:hAnsi="仿宋_GB2312" w:eastAsia="仿宋_GB2312" w:cs="仿宋_GB2312"/>
          <w:color w:val="auto"/>
          <w:kern w:val="2"/>
          <w:sz w:val="32"/>
          <w:szCs w:val="24"/>
          <w:highlight w:val="none"/>
          <w:u w:val="none"/>
          <w:lang w:val="en-US" w:eastAsia="zh-CN" w:bidi="ar-SA"/>
        </w:rPr>
        <w:t>稳步推进财政管理改革，完善区与</w:t>
      </w:r>
      <w:r>
        <w:rPr>
          <w:rFonts w:hint="eastAsia" w:ascii="仿宋_GB2312" w:hAnsi="仿宋_GB2312" w:eastAsia="仿宋_GB2312" w:cs="仿宋_GB2312"/>
          <w:bCs w:val="0"/>
          <w:color w:val="auto"/>
          <w:kern w:val="2"/>
          <w:sz w:val="32"/>
          <w:szCs w:val="32"/>
          <w:highlight w:val="none"/>
          <w:u w:val="none"/>
          <w:lang w:val="en-US" w:eastAsia="zh-CN" w:bidi="ar-SA"/>
        </w:rPr>
        <w:t>街道（镇）</w:t>
      </w:r>
      <w:r>
        <w:rPr>
          <w:rFonts w:hint="eastAsia" w:ascii="仿宋_GB2312" w:hAnsi="仿宋_GB2312" w:eastAsia="仿宋_GB2312" w:cs="仿宋_GB2312"/>
          <w:color w:val="auto"/>
          <w:kern w:val="2"/>
          <w:sz w:val="32"/>
          <w:szCs w:val="24"/>
          <w:highlight w:val="none"/>
          <w:u w:val="none"/>
          <w:lang w:val="en-US" w:eastAsia="zh-CN" w:bidi="ar-SA"/>
        </w:rPr>
        <w:t>财政体制，持续优化支出结构，统筹各类财力兜牢“三保”底线，提高财政资源配置效率和使用效益。深化零基预算改革，健全以绩效为核心的财政政策体系和预算管理机制，推动财政资源向重大战略、重点领域和民生实事集中。加强政府债务管理，完善债务风险预警及化解机制，防范化解地方债务风险。全面落实国家减税降费政策，优化税收执法方式和涉税事项办理流程。完善政府投融资评价考核机制，健全项目</w:t>
      </w:r>
      <w:r>
        <w:rPr>
          <w:rFonts w:hint="eastAsia" w:ascii="仿宋_GB2312" w:hAnsi="仿宋_GB2312" w:eastAsia="仿宋_GB2312" w:cs="仿宋_GB2312"/>
          <w:strike w:val="0"/>
          <w:dstrike w:val="0"/>
          <w:color w:val="auto"/>
          <w:kern w:val="2"/>
          <w:sz w:val="32"/>
          <w:szCs w:val="24"/>
          <w:highlight w:val="none"/>
          <w:u w:val="none"/>
          <w:lang w:val="en-US" w:eastAsia="zh-CN" w:bidi="ar-SA"/>
        </w:rPr>
        <w:t>后</w:t>
      </w:r>
      <w:r>
        <w:rPr>
          <w:rFonts w:hint="eastAsia" w:ascii="仿宋_GB2312" w:hAnsi="仿宋_GB2312" w:eastAsia="仿宋_GB2312" w:cs="仿宋_GB2312"/>
          <w:color w:val="auto"/>
          <w:kern w:val="2"/>
          <w:sz w:val="32"/>
          <w:szCs w:val="24"/>
          <w:highlight w:val="none"/>
          <w:u w:val="none"/>
          <w:lang w:val="en-US" w:eastAsia="zh-CN" w:bidi="ar-SA"/>
        </w:rPr>
        <w:t>评价工作机制，加强对政府投资项目的效益评估和成果运用。健全服务实体经济的激励约束机制，提高直接融资比重，发展多元股权融资，加快多层次资本市场发展，培育和壮大耐心资本。</w:t>
      </w:r>
    </w:p>
    <w:p>
      <w:pPr>
        <w:keepNext w:val="0"/>
        <w:keepLines w:val="0"/>
        <w:pageBreakBefore w:val="0"/>
        <w:widowControl w:val="0"/>
        <w:kinsoku/>
        <w:wordWrap/>
        <w:overflowPunct/>
        <w:topLinePunct w:val="0"/>
        <w:autoSpaceDE/>
        <w:autoSpaceDN/>
        <w:bidi w:val="0"/>
        <w:adjustRightInd w:val="0"/>
        <w:snapToGrid w:val="0"/>
        <w:spacing w:before="157" w:beforeLines="50" w:beforeAutospacing="0" w:after="157" w:afterLines="50" w:afterAutospacing="0" w:line="560" w:lineRule="exact"/>
        <w:ind w:left="0" w:leftChars="0" w:firstLine="0" w:firstLineChars="0"/>
        <w:jc w:val="center"/>
        <w:textAlignment w:val="auto"/>
        <w:outlineLvl w:val="1"/>
        <w:rPr>
          <w:rFonts w:hint="eastAsia" w:ascii="黑体" w:hAnsi="黑体" w:eastAsia="黑体" w:cs="黑体"/>
          <w:bCs/>
          <w:color w:val="auto"/>
          <w:kern w:val="44"/>
          <w:sz w:val="32"/>
          <w:szCs w:val="32"/>
          <w:highlight w:val="none"/>
          <w:lang w:val="en-US" w:eastAsia="zh-CN" w:bidi="ar"/>
        </w:rPr>
      </w:pPr>
      <w:bookmarkStart w:id="55" w:name="_Toc19984"/>
      <w:r>
        <w:rPr>
          <w:rFonts w:hint="eastAsia" w:ascii="黑体" w:hAnsi="黑体" w:eastAsia="黑体" w:cs="黑体"/>
          <w:bCs/>
          <w:color w:val="auto"/>
          <w:kern w:val="44"/>
          <w:sz w:val="32"/>
          <w:szCs w:val="32"/>
          <w:highlight w:val="none"/>
          <w:lang w:val="en-US" w:eastAsia="zh-CN" w:bidi="ar"/>
        </w:rPr>
        <w:t>第三节  构建全方位开放新格局</w:t>
      </w:r>
      <w:bookmarkEnd w:id="55"/>
      <w:bookmarkStart w:id="56" w:name="_Toc2982"/>
      <w:bookmarkStart w:id="57" w:name="_Toc1577"/>
      <w:bookmarkStart w:id="58" w:name="_Toc8275"/>
    </w:p>
    <w:bookmarkEnd w:id="56"/>
    <w:bookmarkEnd w:id="57"/>
    <w:bookmarkEnd w:id="58"/>
    <w:p>
      <w:pPr>
        <w:keepNext w:val="0"/>
        <w:keepLines w:val="0"/>
        <w:pageBreakBefore w:val="0"/>
        <w:widowControl w:val="0"/>
        <w:kinsoku/>
        <w:wordWrap/>
        <w:overflowPunct w:val="0"/>
        <w:topLinePunct w:val="0"/>
        <w:autoSpaceDE/>
        <w:autoSpaceDN/>
        <w:bidi w:val="0"/>
        <w:adjustRightInd w:val="0"/>
        <w:snapToGrid w:val="0"/>
        <w:spacing w:beforeAutospacing="0" w:line="56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bidi="ar"/>
        </w:rPr>
      </w:pPr>
      <w:bookmarkStart w:id="59" w:name="_Toc17931"/>
      <w:bookmarkStart w:id="60" w:name="_Toc3581"/>
      <w:bookmarkStart w:id="61" w:name="_Toc14375"/>
      <w:r>
        <w:rPr>
          <w:rFonts w:hint="eastAsia" w:ascii="黑体" w:hAnsi="黑体" w:eastAsia="黑体" w:cs="黑体"/>
          <w:b w:val="0"/>
          <w:bCs w:val="0"/>
          <w:color w:val="auto"/>
          <w:sz w:val="32"/>
          <w:szCs w:val="32"/>
          <w:highlight w:val="none"/>
          <w:lang w:val="en-US" w:eastAsia="zh-CN" w:bidi="ar"/>
        </w:rPr>
        <w:t>一、推动外资外贸提质增效</w:t>
      </w:r>
    </w:p>
    <w:p>
      <w:pPr>
        <w:keepNext w:val="0"/>
        <w:keepLines w:val="0"/>
        <w:pageBreakBefore w:val="0"/>
        <w:widowControl w:val="0"/>
        <w:kinsoku/>
        <w:wordWrap/>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b w:val="0"/>
          <w:bCs w:val="0"/>
          <w:color w:val="auto"/>
          <w:spacing w:val="0"/>
          <w:w w:val="100"/>
          <w:kern w:val="21"/>
          <w:sz w:val="32"/>
          <w:szCs w:val="32"/>
          <w:highlight w:val="none"/>
          <w:u w:val="none"/>
          <w:lang w:val="en-US" w:eastAsia="zh-CN"/>
        </w:rPr>
      </w:pPr>
      <w:r>
        <w:rPr>
          <w:rFonts w:hint="eastAsia" w:ascii="仿宋_GB2312" w:hAnsi="仿宋_GB2312" w:eastAsia="仿宋_GB2312" w:cs="仿宋_GB2312"/>
          <w:b w:val="0"/>
          <w:bCs w:val="0"/>
          <w:color w:val="auto"/>
          <w:spacing w:val="0"/>
          <w:w w:val="100"/>
          <w:kern w:val="21"/>
          <w:sz w:val="32"/>
          <w:szCs w:val="32"/>
          <w:highlight w:val="none"/>
          <w:u w:val="none"/>
          <w:lang w:val="en-US" w:eastAsia="zh-CN"/>
        </w:rPr>
        <w:t>实施更加积极主动的开放战略，创新利用外资方式，扩大高技术产业、先进制造业和现代服务业利用外资规模，鼓励外资设立研发中心和区域总部。培育外贸竞争新优势，巩固法兰、钢球、新材料等特色产品出口，扩大新能源装备等新兴产品出口规模，做大龙山跨境电商产业基地，培育一批跨境电商龙头企业和优秀产业带。深化“一带一路”经贸合作，</w:t>
      </w:r>
      <w:r>
        <w:rPr>
          <w:rFonts w:hint="eastAsia" w:ascii="仿宋_GB2312" w:hAnsi="仿宋_GB2312" w:eastAsia="仿宋_GB2312" w:cs="仿宋_GB2312"/>
          <w:b w:val="0"/>
          <w:bCs/>
          <w:caps w:val="0"/>
          <w:color w:val="auto"/>
          <w:spacing w:val="0"/>
          <w:kern w:val="2"/>
          <w:sz w:val="32"/>
          <w:szCs w:val="32"/>
          <w:highlight w:val="none"/>
          <w:lang w:val="en-US" w:eastAsia="zh-CN" w:bidi="ar-SA"/>
        </w:rPr>
        <w:t>依托市“四港三区”布局，发挥章丘港区通江达海内河航运门户作用，保障至日韩美洲外贸节点建设提质增效</w:t>
      </w:r>
      <w:r>
        <w:rPr>
          <w:rFonts w:hint="eastAsia" w:ascii="仿宋_GB2312" w:hAnsi="仿宋_GB2312" w:eastAsia="仿宋_GB2312" w:cs="仿宋_GB2312"/>
          <w:b w:val="0"/>
          <w:bCs w:val="0"/>
          <w:color w:val="auto"/>
          <w:spacing w:val="0"/>
          <w:w w:val="100"/>
          <w:kern w:val="21"/>
          <w:sz w:val="32"/>
          <w:szCs w:val="32"/>
          <w:highlight w:val="none"/>
          <w:u w:val="none"/>
          <w:lang w:val="en-US" w:eastAsia="zh-CN"/>
        </w:rPr>
        <w:t>。提升企业家的战略眼光和国际视野，鼓励和支持本地特色龙头企业积极拓展全球市场，开展海外创新合作和投融资合作，主动参与全球竞争与合作。</w:t>
      </w:r>
    </w:p>
    <w:p>
      <w:pPr>
        <w:keepNext w:val="0"/>
        <w:keepLines w:val="0"/>
        <w:pageBreakBefore w:val="0"/>
        <w:widowControl w:val="0"/>
        <w:kinsoku/>
        <w:wordWrap/>
        <w:overflowPunct w:val="0"/>
        <w:topLinePunct w:val="0"/>
        <w:autoSpaceDE/>
        <w:autoSpaceDN/>
        <w:bidi w:val="0"/>
        <w:adjustRightInd w:val="0"/>
        <w:snapToGrid w:val="0"/>
        <w:spacing w:beforeAutospacing="0" w:line="56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二、提升对外开放能级</w:t>
      </w:r>
    </w:p>
    <w:p>
      <w:pPr>
        <w:keepNext w:val="0"/>
        <w:keepLines w:val="0"/>
        <w:pageBreakBefore w:val="0"/>
        <w:widowControl w:val="0"/>
        <w:kinsoku/>
        <w:wordWrap/>
        <w:overflowPunct w:val="0"/>
        <w:topLinePunct w:val="0"/>
        <w:autoSpaceDE/>
        <w:autoSpaceDN/>
        <w:bidi w:val="0"/>
        <w:adjustRightInd w:val="0"/>
        <w:snapToGrid w:val="0"/>
        <w:spacing w:beforeAutospacing="0" w:line="560" w:lineRule="exact"/>
        <w:ind w:firstLine="640" w:firstLineChars="200"/>
        <w:textAlignment w:val="auto"/>
        <w:outlineLvl w:val="9"/>
        <w:rPr>
          <w:rFonts w:hint="eastAsia" w:ascii="楷体_GB2312" w:hAnsi="楷体_GB2312" w:eastAsia="楷体_GB2312" w:cs="楷体_GB2312"/>
          <w:b w:val="0"/>
          <w:bCs w:val="0"/>
          <w:color w:val="auto"/>
          <w:sz w:val="32"/>
          <w:szCs w:val="32"/>
          <w:highlight w:val="none"/>
          <w:lang w:val="en-US" w:eastAsia="zh-CN" w:bidi="ar"/>
        </w:rPr>
      </w:pPr>
      <w:r>
        <w:rPr>
          <w:rFonts w:hint="eastAsia" w:ascii="仿宋_GB2312" w:hAnsi="仿宋_GB2312" w:eastAsia="仿宋_GB2312" w:cs="仿宋_GB2312"/>
          <w:b w:val="0"/>
          <w:bCs w:val="0"/>
          <w:color w:val="auto"/>
          <w:spacing w:val="0"/>
          <w:w w:val="100"/>
          <w:kern w:val="21"/>
          <w:sz w:val="32"/>
          <w:szCs w:val="32"/>
          <w:highlight w:val="none"/>
          <w:u w:val="none"/>
          <w:lang w:val="en-US" w:eastAsia="zh-CN"/>
        </w:rPr>
        <w:t>主动融入国际高端合作平台，积极参与跨国公司领导人青岛峰会、</w:t>
      </w:r>
      <w:r>
        <w:rPr>
          <w:rFonts w:hint="eastAsia" w:ascii="仿宋_GB2312" w:hAnsi="仿宋_GB2312" w:eastAsia="仿宋_GB2312" w:cs="仿宋_GB2312"/>
          <w:b w:val="0"/>
          <w:bCs w:val="0"/>
          <w:color w:val="auto"/>
          <w:spacing w:val="0"/>
          <w:w w:val="100"/>
          <w:kern w:val="21"/>
          <w:sz w:val="32"/>
          <w:szCs w:val="32"/>
          <w:highlight w:val="none"/>
          <w:u w:val="none"/>
        </w:rPr>
        <w:t>“对话山东”</w:t>
      </w:r>
      <w:r>
        <w:rPr>
          <w:rFonts w:hint="eastAsia" w:ascii="仿宋_GB2312" w:hAnsi="仿宋_GB2312" w:eastAsia="仿宋_GB2312" w:cs="仿宋_GB2312"/>
          <w:b w:val="0"/>
          <w:bCs w:val="0"/>
          <w:color w:val="auto"/>
          <w:spacing w:val="0"/>
          <w:w w:val="100"/>
          <w:kern w:val="21"/>
          <w:sz w:val="32"/>
          <w:szCs w:val="32"/>
          <w:highlight w:val="none"/>
          <w:u w:val="none"/>
          <w:lang w:val="en-US" w:eastAsia="zh-CN"/>
        </w:rPr>
        <w:t>系列活动、港澳山东周、新加坡山东周等品牌活动，持续加大产业发展、对外文化、科技教育等领域合作力度，不断扩大国际经贸合作</w:t>
      </w:r>
      <w:r>
        <w:rPr>
          <w:rFonts w:hint="eastAsia" w:ascii="仿宋_GB2312" w:hAnsi="仿宋_GB2312" w:eastAsia="仿宋_GB2312" w:cs="仿宋_GB2312"/>
          <w:b w:val="0"/>
          <w:bCs w:val="0"/>
          <w:color w:val="auto"/>
          <w:spacing w:val="0"/>
          <w:w w:val="100"/>
          <w:kern w:val="21"/>
          <w:sz w:val="32"/>
          <w:szCs w:val="32"/>
          <w:highlight w:val="none"/>
          <w:u w:val="none"/>
        </w:rPr>
        <w:t>“</w:t>
      </w:r>
      <w:r>
        <w:rPr>
          <w:rFonts w:hint="eastAsia" w:ascii="仿宋_GB2312" w:hAnsi="仿宋_GB2312" w:eastAsia="仿宋_GB2312" w:cs="仿宋_GB2312"/>
          <w:b w:val="0"/>
          <w:bCs w:val="0"/>
          <w:color w:val="auto"/>
          <w:spacing w:val="0"/>
          <w:w w:val="100"/>
          <w:kern w:val="21"/>
          <w:sz w:val="32"/>
          <w:szCs w:val="32"/>
          <w:highlight w:val="none"/>
          <w:u w:val="none"/>
          <w:lang w:val="en-US" w:eastAsia="zh-CN"/>
        </w:rPr>
        <w:t>朋友圈</w:t>
      </w:r>
      <w:r>
        <w:rPr>
          <w:rFonts w:hint="eastAsia" w:ascii="仿宋_GB2312" w:hAnsi="仿宋_GB2312" w:eastAsia="仿宋_GB2312" w:cs="仿宋_GB2312"/>
          <w:b w:val="0"/>
          <w:bCs w:val="0"/>
          <w:color w:val="auto"/>
          <w:spacing w:val="0"/>
          <w:w w:val="100"/>
          <w:kern w:val="21"/>
          <w:sz w:val="32"/>
          <w:szCs w:val="32"/>
          <w:highlight w:val="none"/>
          <w:u w:val="none"/>
        </w:rPr>
        <w:t>”</w:t>
      </w:r>
      <w:r>
        <w:rPr>
          <w:rFonts w:hint="eastAsia" w:ascii="仿宋_GB2312" w:hAnsi="仿宋_GB2312" w:eastAsia="仿宋_GB2312" w:cs="仿宋_GB2312"/>
          <w:b w:val="0"/>
          <w:bCs w:val="0"/>
          <w:color w:val="auto"/>
          <w:spacing w:val="0"/>
          <w:w w:val="100"/>
          <w:kern w:val="21"/>
          <w:sz w:val="32"/>
          <w:szCs w:val="32"/>
          <w:highlight w:val="none"/>
          <w:u w:val="none"/>
          <w:lang w:val="en-US" w:eastAsia="zh-CN"/>
        </w:rPr>
        <w:t>。发挥明水经济技术开发区开放主平台作用，完善国际交流合作机制，支持企业深度参与全球产业链分工，扩大对外开放水平，提升小清河章丘港区服务功能，加快推动“物流港”向“贸易港”转型升级，主动融入全市“四港三区”建设，打造高能级对外开放平台和外向型产业平台。拓展国际合作新领域，支持企业参与国际标准制定，推动章丘优势产品、技术和服务“走出去”。深化科技、教育、文化、旅游等领域的国际交流，依托龙山文化、清照文化、章丘铁匠等特色文化品牌，举办国际文化交流活动，提升城市国际知名度和软实力。</w:t>
      </w:r>
    </w:p>
    <w:bookmarkEnd w:id="59"/>
    <w:bookmarkEnd w:id="60"/>
    <w:bookmarkEnd w:id="61"/>
    <w:p>
      <w:pPr>
        <w:rPr>
          <w:rFonts w:hint="eastAsia" w:ascii="仿宋_GB2312" w:hAnsi="仿宋_GB2312" w:eastAsia="仿宋_GB2312" w:cs="仿宋_GB2312"/>
          <w:b w:val="0"/>
          <w:bCs w:val="0"/>
          <w:color w:val="auto"/>
          <w:spacing w:val="0"/>
          <w:w w:val="100"/>
          <w:kern w:val="21"/>
          <w:sz w:val="32"/>
          <w:szCs w:val="32"/>
          <w:highlight w:val="none"/>
          <w:u w:val="none"/>
          <w:lang w:val="en-US" w:eastAsia="zh-CN"/>
        </w:rPr>
      </w:pPr>
      <w:r>
        <w:rPr>
          <w:rFonts w:hint="eastAsia" w:ascii="仿宋_GB2312" w:hAnsi="仿宋_GB2312" w:eastAsia="仿宋_GB2312" w:cs="仿宋_GB2312"/>
          <w:b w:val="0"/>
          <w:bCs w:val="0"/>
          <w:color w:val="auto"/>
          <w:spacing w:val="0"/>
          <w:w w:val="100"/>
          <w:kern w:val="21"/>
          <w:sz w:val="32"/>
          <w:szCs w:val="32"/>
          <w:highlight w:val="none"/>
          <w:u w:val="none"/>
          <w:lang w:val="en-US" w:eastAsia="zh-CN"/>
        </w:rPr>
        <w:br w:type="page"/>
      </w:r>
    </w:p>
    <w:bookmarkEnd w:id="51"/>
    <w:p>
      <w:pPr>
        <w:pStyle w:val="8"/>
        <w:keepNext w:val="0"/>
        <w:keepLines w:val="0"/>
        <w:pageBreakBefore w:val="0"/>
        <w:widowControl w:val="0"/>
        <w:numPr>
          <w:ilvl w:val="0"/>
          <w:numId w:val="1"/>
        </w:numPr>
        <w:kinsoku/>
        <w:wordWrap/>
        <w:overflowPunct/>
        <w:topLinePunct w:val="0"/>
        <w:autoSpaceDE/>
        <w:autoSpaceDN/>
        <w:bidi w:val="0"/>
        <w:adjustRightInd/>
        <w:snapToGrid/>
        <w:spacing w:before="313" w:beforeLines="100" w:after="313" w:afterLines="100" w:line="560" w:lineRule="exact"/>
        <w:ind w:left="0" w:leftChars="0" w:firstLine="0" w:firstLineChars="0"/>
        <w:jc w:val="center"/>
        <w:textAlignment w:val="auto"/>
        <w:outlineLvl w:val="0"/>
        <w:rPr>
          <w:rFonts w:hint="eastAsia" w:ascii="方正小标宋简体" w:hAnsi="方正小标宋简体" w:eastAsia="方正小标宋简体" w:cs="方正小标宋简体"/>
          <w:b w:val="0"/>
          <w:bCs w:val="0"/>
          <w:color w:val="auto"/>
          <w:kern w:val="2"/>
          <w:sz w:val="44"/>
          <w:szCs w:val="44"/>
          <w:highlight w:val="none"/>
          <w:u w:val="none"/>
          <w:lang w:val="en-US" w:eastAsia="zh-CN" w:bidi="ar-SA"/>
        </w:rPr>
      </w:pPr>
      <w:bookmarkStart w:id="62" w:name="_Toc32311"/>
      <w:r>
        <w:rPr>
          <w:rFonts w:hint="eastAsia" w:ascii="方正小标宋简体" w:hAnsi="方正小标宋简体" w:eastAsia="方正小标宋简体" w:cs="方正小标宋简体"/>
          <w:b w:val="0"/>
          <w:bCs w:val="0"/>
          <w:color w:val="auto"/>
          <w:kern w:val="2"/>
          <w:sz w:val="44"/>
          <w:szCs w:val="44"/>
          <w:highlight w:val="none"/>
          <w:u w:val="none"/>
          <w:lang w:val="en-US" w:eastAsia="zh-CN" w:bidi="ar-SA"/>
        </w:rPr>
        <w:t>实施以人为本的新型城镇化，</w:t>
      </w:r>
    </w:p>
    <w:p>
      <w:pPr>
        <w:pStyle w:val="8"/>
        <w:keepNext w:val="0"/>
        <w:keepLines w:val="0"/>
        <w:pageBreakBefore w:val="0"/>
        <w:widowControl w:val="0"/>
        <w:numPr>
          <w:ilvl w:val="0"/>
          <w:numId w:val="0"/>
        </w:numPr>
        <w:kinsoku/>
        <w:wordWrap/>
        <w:overflowPunct/>
        <w:topLinePunct w:val="0"/>
        <w:autoSpaceDE/>
        <w:autoSpaceDN/>
        <w:bidi w:val="0"/>
        <w:adjustRightInd/>
        <w:snapToGrid/>
        <w:spacing w:before="313" w:beforeLines="100" w:after="313" w:afterLines="100" w:line="560" w:lineRule="exact"/>
        <w:ind w:leftChars="0"/>
        <w:jc w:val="center"/>
        <w:textAlignment w:val="auto"/>
        <w:outlineLvl w:val="0"/>
        <w:rPr>
          <w:rFonts w:hint="eastAsia" w:ascii="方正小标宋简体" w:hAnsi="方正小标宋简体" w:eastAsia="方正小标宋简体" w:cs="方正小标宋简体"/>
          <w:b w:val="0"/>
          <w:bCs w:val="0"/>
          <w:color w:val="auto"/>
          <w:kern w:val="2"/>
          <w:sz w:val="44"/>
          <w:szCs w:val="44"/>
          <w:highlight w:val="none"/>
          <w:u w:val="none"/>
          <w:lang w:val="en-US" w:eastAsia="zh-CN" w:bidi="ar-SA"/>
        </w:rPr>
      </w:pPr>
      <w:r>
        <w:rPr>
          <w:rFonts w:hint="eastAsia" w:ascii="方正小标宋简体" w:hAnsi="方正小标宋简体" w:eastAsia="方正小标宋简体" w:cs="方正小标宋简体"/>
          <w:b w:val="0"/>
          <w:bCs w:val="0"/>
          <w:color w:val="auto"/>
          <w:kern w:val="2"/>
          <w:sz w:val="44"/>
          <w:szCs w:val="44"/>
          <w:highlight w:val="none"/>
          <w:u w:val="none"/>
          <w:lang w:val="en-US" w:eastAsia="zh-CN" w:bidi="ar-SA"/>
        </w:rPr>
        <w:t>促进区域协调发展</w:t>
      </w:r>
      <w:bookmarkEnd w:id="62"/>
    </w:p>
    <w:p>
      <w:pPr>
        <w:keepNext w:val="0"/>
        <w:keepLines w:val="0"/>
        <w:pageBreakBefore w:val="0"/>
        <w:widowControl w:val="0"/>
        <w:tabs>
          <w:tab w:val="right" w:leader="dot" w:pos="8958"/>
        </w:tabs>
        <w:kinsoku/>
        <w:wordWrap/>
        <w:overflowPunct/>
        <w:topLinePunct w:val="0"/>
        <w:autoSpaceDE/>
        <w:autoSpaceDN/>
        <w:bidi w:val="0"/>
        <w:adjustRightInd/>
        <w:snapToGrid/>
        <w:spacing w:beforeAutospacing="0" w:line="560" w:lineRule="exact"/>
        <w:ind w:firstLine="640" w:firstLineChars="200"/>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坚持以人为本的新型城镇化战略，构建</w:t>
      </w:r>
      <w:r>
        <w:rPr>
          <w:rFonts w:hint="eastAsia" w:eastAsia="仿宋_GB2312" w:asciiTheme="minorAscii" w:hAnsiTheme="minorAscii" w:cstheme="minorBidi"/>
          <w:b w:val="0"/>
          <w:bCs w:val="0"/>
          <w:color w:val="auto"/>
          <w:sz w:val="32"/>
          <w:szCs w:val="32"/>
          <w:highlight w:val="none"/>
          <w:lang w:val="en-US" w:eastAsia="zh-CN"/>
        </w:rPr>
        <w:t>“两城、三片、四廊”城市空间布局</w:t>
      </w:r>
      <w:r>
        <w:rPr>
          <w:rFonts w:hint="default" w:ascii="仿宋_GB2312" w:hAnsi="仿宋_GB2312" w:eastAsia="仿宋_GB2312" w:cs="仿宋_GB2312"/>
          <w:b w:val="0"/>
          <w:bCs w:val="0"/>
          <w:color w:val="auto"/>
          <w:kern w:val="2"/>
          <w:sz w:val="32"/>
          <w:szCs w:val="32"/>
          <w:highlight w:val="none"/>
          <w:lang w:val="en-US" w:eastAsia="zh-CN" w:bidi="ar-SA"/>
        </w:rPr>
        <w:t>，系统推进城市更新、内涵品质提升与安全韧性建设，积极融入</w:t>
      </w:r>
      <w:r>
        <w:rPr>
          <w:rFonts w:hint="eastAsia" w:ascii="仿宋_GB2312" w:hAnsi="仿宋_GB2312" w:eastAsia="仿宋_GB2312" w:cs="仿宋_GB2312"/>
          <w:b w:val="0"/>
          <w:bCs w:val="0"/>
          <w:color w:val="auto"/>
          <w:kern w:val="2"/>
          <w:sz w:val="32"/>
          <w:szCs w:val="32"/>
          <w:highlight w:val="none"/>
          <w:lang w:val="en-US" w:eastAsia="zh-CN" w:bidi="ar-SA"/>
        </w:rPr>
        <w:t>济南</w:t>
      </w:r>
      <w:r>
        <w:rPr>
          <w:rFonts w:hint="default" w:ascii="仿宋_GB2312" w:hAnsi="仿宋_GB2312" w:eastAsia="仿宋_GB2312" w:cs="仿宋_GB2312"/>
          <w:b w:val="0"/>
          <w:bCs w:val="0"/>
          <w:color w:val="auto"/>
          <w:kern w:val="2"/>
          <w:sz w:val="32"/>
          <w:szCs w:val="32"/>
          <w:highlight w:val="none"/>
          <w:lang w:val="en-US" w:eastAsia="zh-CN" w:bidi="ar-SA"/>
        </w:rPr>
        <w:t>都市圈建设，加快打造创新、宜居、美丽、韧性、文明、智慧的现代化人民城市。</w:t>
      </w:r>
    </w:p>
    <w:p>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560" w:lineRule="exact"/>
        <w:ind w:firstLine="0" w:firstLineChars="0"/>
        <w:jc w:val="center"/>
        <w:textAlignment w:val="auto"/>
        <w:outlineLvl w:val="1"/>
        <w:rPr>
          <w:rFonts w:hint="eastAsia" w:ascii="文星标宋" w:hAnsi="文星标宋" w:eastAsia="文星标宋" w:cs="文星标宋"/>
          <w:bCs/>
          <w:color w:val="auto"/>
          <w:kern w:val="0"/>
          <w:sz w:val="32"/>
          <w:szCs w:val="32"/>
          <w:highlight w:val="none"/>
          <w:lang w:val="en-US" w:eastAsia="zh-CN" w:bidi="ar"/>
        </w:rPr>
      </w:pPr>
      <w:bookmarkStart w:id="63" w:name="_Toc12118"/>
      <w:bookmarkStart w:id="64" w:name="_Toc16125"/>
      <w:bookmarkStart w:id="65" w:name="_Toc12404"/>
      <w:r>
        <w:rPr>
          <w:rFonts w:hint="eastAsia" w:ascii="文星标宋" w:hAnsi="文星标宋" w:eastAsia="文星标宋" w:cs="文星标宋"/>
          <w:bCs/>
          <w:color w:val="auto"/>
          <w:kern w:val="0"/>
          <w:sz w:val="32"/>
          <w:szCs w:val="32"/>
          <w:highlight w:val="none"/>
          <w:lang w:val="en-US" w:eastAsia="zh-CN" w:bidi="ar"/>
        </w:rPr>
        <w:t xml:space="preserve">第一节  </w:t>
      </w:r>
      <w:bookmarkEnd w:id="63"/>
      <w:r>
        <w:rPr>
          <w:rFonts w:hint="eastAsia" w:ascii="文星标宋" w:hAnsi="文星标宋" w:eastAsia="文星标宋" w:cs="文星标宋"/>
          <w:bCs/>
          <w:color w:val="auto"/>
          <w:kern w:val="0"/>
          <w:sz w:val="32"/>
          <w:szCs w:val="32"/>
          <w:highlight w:val="none"/>
          <w:lang w:val="en-US" w:eastAsia="zh-CN" w:bidi="ar"/>
        </w:rPr>
        <w:t>实施高水平城市建设行动</w:t>
      </w:r>
      <w:bookmarkEnd w:id="64"/>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一、优化城市空间布局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asciiTheme="minorAscii" w:hAnsiTheme="minorAscii" w:cstheme="minorBidi"/>
          <w:b w:val="0"/>
          <w:bCs w:val="0"/>
          <w:color w:val="auto"/>
          <w:sz w:val="32"/>
          <w:szCs w:val="32"/>
          <w:highlight w:val="none"/>
          <w:lang w:val="en-US" w:eastAsia="zh-CN"/>
        </w:rPr>
      </w:pPr>
      <w:r>
        <w:rPr>
          <w:rFonts w:hint="eastAsia" w:eastAsia="仿宋_GB2312" w:asciiTheme="minorAscii" w:hAnsiTheme="minorAscii" w:cstheme="minorBidi"/>
          <w:b w:val="0"/>
          <w:bCs w:val="0"/>
          <w:color w:val="auto"/>
          <w:sz w:val="32"/>
          <w:szCs w:val="32"/>
          <w:highlight w:val="none"/>
          <w:lang w:val="en-US" w:eastAsia="zh-CN"/>
        </w:rPr>
        <w:t>落实济南市国土空间总体规划，按照“产业集聚、人口集中、资源集约”发展要求，实施精心规划、精品建设、精细管理，加快构建“两城、三片、四廊”国土空间开发保护格局，促进产城人融合发展。“两城”即龙山国际创新城、明水生态文旅城，以绣源河为轴心，东侧实施城市更新，提升老城品质，完善高等级设施，打造明水生态文旅城；西侧推动新城建设，促进产城融合，打造龙山国际创新城。“三片”即根据资源环境承载能力和国土空间开发适宜性评价，统筹农业、生态、城镇空间，划分北部现代农业片区、中部城镇发展片区、南部生态保护片区。“四廊”即围绕科创、智造、文旅、生态四大主题，打造</w:t>
      </w:r>
      <w:r>
        <w:rPr>
          <w:rFonts w:hint="eastAsia" w:ascii="仿宋_GB2312" w:hAnsi="仿宋_GB2312" w:eastAsia="仿宋_GB2312" w:cs="仿宋_GB2312"/>
          <w:color w:val="auto"/>
          <w:spacing w:val="0"/>
          <w:w w:val="100"/>
          <w:kern w:val="21"/>
          <w:sz w:val="32"/>
          <w:szCs w:val="32"/>
          <w:highlight w:val="none"/>
          <w:u w:val="none"/>
          <w:lang w:val="en-US" w:eastAsia="zh-CN" w:bidi="ar-SA"/>
        </w:rPr>
        <w:t>经十东路科创走廊</w:t>
      </w:r>
      <w:r>
        <w:rPr>
          <w:rFonts w:hint="eastAsia" w:eastAsia="仿宋_GB2312" w:asciiTheme="minorAscii" w:hAnsiTheme="minorAscii" w:cstheme="minorBidi"/>
          <w:b w:val="0"/>
          <w:bCs w:val="0"/>
          <w:color w:val="auto"/>
          <w:sz w:val="32"/>
          <w:szCs w:val="32"/>
          <w:highlight w:val="none"/>
          <w:lang w:val="en-US" w:eastAsia="zh-CN"/>
        </w:rPr>
        <w:t>、世纪大道智造走廊、齐鲁古道文旅走廊、黄河生态保护走廊。</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eastAsia="仿宋_GB2312" w:asciiTheme="minorAscii" w:hAnsiTheme="minorAscii" w:cstheme="minorBidi"/>
          <w:b w:val="0"/>
          <w:bCs w:val="0"/>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仿宋_GB2312" w:asciiTheme="minorAscii" w:hAnsiTheme="minorAscii" w:cstheme="minorBidi"/>
          <w:b w:val="0"/>
          <w:bCs w:val="0"/>
          <w:color w:val="auto"/>
          <w:sz w:val="32"/>
          <w:szCs w:val="32"/>
          <w:highlight w:val="none"/>
          <w:lang w:val="en-US" w:eastAsia="zh-CN"/>
        </w:rPr>
      </w:pPr>
      <w:r>
        <w:rPr>
          <w:rFonts w:hint="eastAsia" w:eastAsia="仿宋_GB2312" w:asciiTheme="minorAscii" w:hAnsiTheme="minorAscii" w:cstheme="minorBidi"/>
          <w:b w:val="0"/>
          <w:bCs w:val="0"/>
          <w:color w:val="auto"/>
          <w:sz w:val="32"/>
          <w:szCs w:val="32"/>
          <w:highlight w:val="none"/>
          <w:lang w:val="en-US" w:eastAsia="zh-CN"/>
        </w:rPr>
        <w:drawing>
          <wp:inline distT="0" distB="0" distL="114300" distR="114300">
            <wp:extent cx="5364480" cy="6469380"/>
            <wp:effectExtent l="0" t="0" r="7620" b="7620"/>
            <wp:docPr id="3" name="图片 3" descr="图片"/>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descr="图片"/>
                    <pic:cNvPicPr>
                      <a:picLocks noChangeAspect="true"/>
                    </pic:cNvPicPr>
                  </pic:nvPicPr>
                  <pic:blipFill>
                    <a:blip r:embed="rId9"/>
                    <a:srcRect l="2002" t="6727" r="2421" b="11880"/>
                    <a:stretch>
                      <a:fillRect/>
                    </a:stretch>
                  </pic:blipFill>
                  <pic:spPr>
                    <a:xfrm>
                      <a:off x="0" y="0"/>
                      <a:ext cx="5364480" cy="646938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图1  城市空间布局规划图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二、实施城市更新行动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asciiTheme="minorAscii" w:hAnsiTheme="minorAscii"/>
          <w:color w:val="auto"/>
          <w:sz w:val="32"/>
          <w:szCs w:val="32"/>
          <w:highlight w:val="none"/>
          <w:lang w:val="en-US" w:eastAsia="zh-CN"/>
        </w:rPr>
      </w:pPr>
      <w:r>
        <w:rPr>
          <w:rFonts w:hint="eastAsia" w:eastAsia="仿宋_GB2312" w:asciiTheme="minorAscii" w:hAnsiTheme="minorAscii"/>
          <w:color w:val="auto"/>
          <w:sz w:val="32"/>
          <w:szCs w:val="32"/>
          <w:highlight w:val="none"/>
          <w:lang w:val="en-US" w:eastAsia="zh-CN"/>
        </w:rPr>
        <w:t>制定落实城市更新行动计划和年度实施计划，探索建立存量空间资源提质增效机制，在老城区内集中实施一批特色鲜明、惠及面广、示范带动作用强的以管网改造、户表改造、电梯改造等为主的城市更新项目，促进人居环境改善。推动城市发展由依靠增量开发建设转向存量更新改造，推行以街区为单元的更新实施模式，单元内统筹整体更新、功能提升、综合整治等实施模式。深入开展完整社区建设，推动城市社区嵌入式服务设施建设，推进适老化、适儿化改造，补齐公共服务设施短板，优化综合服务设施布局。注重引入社会资本和各方力量，鼓励市场主体利用老旧厂房等空间资源发展产业空间、公共服务配套，推动低效楼宇升级改造，促进存量空间活力复兴。学习借鉴先进经验模式，盘活利用红线内外、地上地下闲置空间和低效资源，跨项目、跨区域、组团式推进项目实施，探索形成社会投资可持续回报的利益平衡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三、提升城市内涵品质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eastAsia="仿宋_GB2312" w:asciiTheme="minorAscii" w:hAnsiTheme="minorAscii"/>
          <w:color w:val="auto"/>
          <w:sz w:val="32"/>
          <w:szCs w:val="32"/>
          <w:highlight w:val="none"/>
          <w:lang w:val="en-US" w:eastAsia="zh-CN"/>
        </w:rPr>
        <w:t>全面落实国土空间总体规划，严守“三区三线”等底线要求，合理控制全域国土空间开发强度和市域人均城镇建设用地面积，盘活存量建设用地，加强战略留白用地管理。</w:t>
      </w:r>
      <w:r>
        <w:rPr>
          <w:rFonts w:hint="eastAsia" w:eastAsia="仿宋_GB2312" w:asciiTheme="minorAscii" w:hAnsiTheme="minorAscii"/>
          <w:color w:val="auto"/>
          <w:sz w:val="32"/>
          <w:szCs w:val="32"/>
          <w:highlight w:val="none"/>
        </w:rPr>
        <w:t>坚持“公园城市”理念，高品质做好规划设计，推动</w:t>
      </w:r>
      <w:r>
        <w:rPr>
          <w:rFonts w:hint="eastAsia" w:eastAsia="仿宋_GB2312" w:asciiTheme="minorAscii" w:hAnsiTheme="minorAscii"/>
          <w:color w:val="auto"/>
          <w:sz w:val="32"/>
          <w:szCs w:val="32"/>
          <w:highlight w:val="none"/>
          <w:lang w:val="en-US" w:eastAsia="zh-CN"/>
        </w:rPr>
        <w:t>城市</w:t>
      </w:r>
      <w:r>
        <w:rPr>
          <w:rFonts w:hint="eastAsia" w:eastAsia="仿宋_GB2312" w:asciiTheme="minorAscii" w:hAnsiTheme="minorAscii"/>
          <w:color w:val="auto"/>
          <w:sz w:val="32"/>
          <w:szCs w:val="32"/>
          <w:highlight w:val="none"/>
        </w:rPr>
        <w:t>公园建设，串联文旅资源，推动文旅共兴、产业振兴、商业复兴。</w:t>
      </w:r>
      <w:r>
        <w:rPr>
          <w:rFonts w:hint="eastAsia" w:eastAsia="仿宋_GB2312" w:asciiTheme="minorAscii" w:hAnsiTheme="minorAscii"/>
          <w:color w:val="auto"/>
          <w:sz w:val="32"/>
          <w:szCs w:val="32"/>
          <w:highlight w:val="none"/>
          <w:lang w:val="en-US" w:eastAsia="zh-CN"/>
        </w:rPr>
        <w:t>注重提升城市文化品质，充分挖掘和保护城市独特历史文脉、人文地理和自然景观，提升城市文化软实力。</w:t>
      </w:r>
      <w:r>
        <w:rPr>
          <w:rFonts w:hint="eastAsia" w:eastAsia="仿宋_GB2312" w:asciiTheme="minorAscii" w:hAnsiTheme="minorAscii"/>
          <w:color w:val="auto"/>
          <w:sz w:val="32"/>
          <w:szCs w:val="32"/>
          <w:highlight w:val="none"/>
        </w:rPr>
        <w:t>优化公交站点布局，大力推进城市停车场（楼、库）建设，推广应用智慧化停车系统，着力破解“出行难、停车难”。加快完善学校、医院、</w:t>
      </w:r>
      <w:r>
        <w:rPr>
          <w:rFonts w:hint="eastAsia" w:eastAsia="仿宋_GB2312" w:asciiTheme="minorAscii" w:hAnsiTheme="minorAscii"/>
          <w:color w:val="auto"/>
          <w:sz w:val="32"/>
          <w:szCs w:val="32"/>
          <w:highlight w:val="none"/>
          <w:lang w:val="en-US" w:eastAsia="zh-CN"/>
        </w:rPr>
        <w:t>养老托育、文体娱乐</w:t>
      </w:r>
      <w:r>
        <w:rPr>
          <w:rFonts w:hint="eastAsia" w:eastAsia="仿宋_GB2312" w:asciiTheme="minorAscii" w:hAnsiTheme="minorAscii"/>
          <w:color w:val="auto"/>
          <w:sz w:val="32"/>
          <w:szCs w:val="32"/>
          <w:highlight w:val="none"/>
        </w:rPr>
        <w:t>等生活服务设施建设，推进城市与周边城镇基础设施连接和公共服务共享，提升区域辐射带动功能。</w:t>
      </w:r>
      <w:r>
        <w:rPr>
          <w:rFonts w:hint="eastAsia" w:ascii="仿宋_GB2312" w:hAnsi="仿宋_GB2312" w:eastAsia="仿宋_GB2312" w:cs="仿宋_GB2312"/>
          <w:color w:val="auto"/>
          <w:sz w:val="32"/>
          <w:szCs w:val="32"/>
          <w:highlight w:val="none"/>
          <w:lang w:val="en-US" w:eastAsia="zh-CN"/>
        </w:rPr>
        <w:t>推行</w:t>
      </w:r>
      <w:r>
        <w:rPr>
          <w:rFonts w:hint="eastAsia" w:ascii="仿宋_GB2312" w:hAnsi="仿宋_GB2312" w:eastAsia="仿宋_GB2312" w:cs="仿宋_GB2312"/>
          <w:color w:val="auto"/>
          <w:sz w:val="32"/>
          <w:szCs w:val="32"/>
          <w:highlight w:val="none"/>
        </w:rPr>
        <w:t>生活垃圾分类和资源化利用制度，加快形成生活垃圾分类全过程管理系统，逐步提升城乡生活垃圾分类质量，</w:t>
      </w:r>
      <w:r>
        <w:rPr>
          <w:rFonts w:hint="eastAsia" w:ascii="仿宋_GB2312" w:hAnsi="仿宋_GB2312" w:eastAsia="仿宋_GB2312" w:cs="仿宋_GB2312"/>
          <w:color w:val="auto"/>
          <w:sz w:val="32"/>
          <w:szCs w:val="32"/>
          <w:highlight w:val="none"/>
          <w:lang w:val="en-US" w:eastAsia="zh-CN"/>
        </w:rPr>
        <w:t>到2030年</w:t>
      </w:r>
      <w:r>
        <w:rPr>
          <w:rFonts w:hint="eastAsia" w:ascii="仿宋_GB2312" w:hAnsi="仿宋_GB2312" w:eastAsia="仿宋_GB2312" w:cs="仿宋_GB2312"/>
          <w:color w:val="auto"/>
          <w:sz w:val="32"/>
          <w:szCs w:val="32"/>
          <w:highlight w:val="none"/>
        </w:rPr>
        <w:t>城</w:t>
      </w:r>
      <w:r>
        <w:rPr>
          <w:rFonts w:hint="eastAsia" w:ascii="仿宋_GB2312" w:hAnsi="仿宋_GB2312" w:eastAsia="仿宋_GB2312" w:cs="仿宋_GB2312"/>
          <w:color w:val="auto"/>
          <w:sz w:val="32"/>
          <w:szCs w:val="32"/>
          <w:highlight w:val="none"/>
          <w:lang w:val="en-US" w:eastAsia="zh-CN"/>
        </w:rPr>
        <w:t>区</w:t>
      </w:r>
      <w:r>
        <w:rPr>
          <w:rFonts w:hint="eastAsia" w:ascii="仿宋_GB2312" w:hAnsi="仿宋_GB2312" w:eastAsia="仿宋_GB2312" w:cs="仿宋_GB2312"/>
          <w:color w:val="auto"/>
          <w:sz w:val="32"/>
          <w:szCs w:val="32"/>
          <w:highlight w:val="none"/>
        </w:rPr>
        <w:t>生活垃圾回收利用率达到</w:t>
      </w:r>
      <w:r>
        <w:rPr>
          <w:rFonts w:hint="eastAsia" w:ascii="仿宋_GB2312" w:hAnsi="仿宋_GB2312" w:eastAsia="仿宋_GB2312" w:cs="仿宋_GB2312"/>
          <w:color w:val="auto"/>
          <w:sz w:val="32"/>
          <w:szCs w:val="32"/>
          <w:highlight w:val="none"/>
          <w:lang w:val="en-US" w:eastAsia="zh-CN"/>
        </w:rPr>
        <w:t>42</w:t>
      </w:r>
      <w:r>
        <w:rPr>
          <w:rFonts w:hint="eastAsia" w:ascii="仿宋_GB2312" w:hAnsi="仿宋_GB2312" w:eastAsia="仿宋_GB2312" w:cs="仿宋_GB2312"/>
          <w:color w:val="auto"/>
          <w:sz w:val="32"/>
          <w:szCs w:val="32"/>
          <w:highlight w:val="none"/>
        </w:rPr>
        <w:t>%以上。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四、增强城市安全韧性</w:t>
      </w:r>
    </w:p>
    <w:p>
      <w:pPr>
        <w:pStyle w:val="7"/>
        <w:keepNext w:val="0"/>
        <w:keepLines w:val="0"/>
        <w:pageBreakBefore w:val="0"/>
        <w:widowControl w:val="0"/>
        <w:numPr>
          <w:ilvl w:val="0"/>
          <w:numId w:val="0"/>
        </w:numPr>
        <w:kinsoku/>
        <w:wordWrap/>
        <w:overflowPunct/>
        <w:autoSpaceDE/>
        <w:autoSpaceDN/>
        <w:bidi w:val="0"/>
        <w:adjustRightInd/>
        <w:snapToGrid/>
        <w:spacing w:after="0" w:afterLines="-2147483648" w:afterAutospacing="0" w:line="560" w:lineRule="exact"/>
        <w:ind w:firstLine="640" w:firstLineChars="200"/>
        <w:textAlignment w:val="auto"/>
        <w:rPr>
          <w:rFonts w:hint="eastAsia" w:ascii="仿宋_GB2312" w:hAnsi="仿宋_GB2312" w:eastAsia="仿宋_GB2312" w:cs="仿宋_GB2312"/>
          <w:b w:val="0"/>
          <w:bCs w:val="0"/>
          <w:color w:val="auto"/>
          <w:kern w:val="2"/>
          <w:sz w:val="32"/>
          <w:szCs w:val="40"/>
          <w:highlight w:val="none"/>
          <w:lang w:val="en-US" w:eastAsia="zh-CN" w:bidi="ar-SA"/>
        </w:rPr>
      </w:pPr>
      <w:r>
        <w:rPr>
          <w:rFonts w:hint="eastAsia" w:ascii="仿宋_GB2312" w:hAnsi="仿宋_GB2312" w:eastAsia="仿宋_GB2312" w:cs="仿宋_GB2312"/>
          <w:b w:val="0"/>
          <w:bCs w:val="0"/>
          <w:color w:val="auto"/>
          <w:kern w:val="2"/>
          <w:sz w:val="32"/>
          <w:szCs w:val="40"/>
          <w:highlight w:val="none"/>
          <w:lang w:val="en-US" w:eastAsia="zh-CN" w:bidi="ar-SA"/>
        </w:rPr>
        <w:t>以城乡基础设施提档升级为抓手，重点完善交通、物流、通信等骨干网络，推进智慧化监测预警系统建设，强化农村路网、管网与城区的协同联动，提升极端天气、地质灾害等突发状况下的基础设施抗灾保通能力。</w:t>
      </w:r>
      <w:r>
        <w:rPr>
          <w:rFonts w:hint="eastAsia" w:ascii="仿宋_GB2312" w:hAnsi="仿宋_GB2312" w:eastAsia="仿宋_GB2312" w:cs="仿宋_GB2312"/>
          <w:color w:val="auto"/>
          <w:sz w:val="32"/>
          <w:szCs w:val="32"/>
          <w:highlight w:val="none"/>
        </w:rPr>
        <w:t>加快水利基础设施网络建设，提升防洪排涝能力。完善城乡一体给排水管网，提升供水保障和污水处理能力。制定实施能效提升计划，严格控制能源消费总量，提高清洁能源使用率。</w:t>
      </w:r>
      <w:r>
        <w:rPr>
          <w:rFonts w:hint="eastAsia" w:ascii="仿宋_GB2312" w:hAnsi="仿宋_GB2312" w:eastAsia="仿宋_GB2312" w:cs="仿宋_GB2312"/>
          <w:b w:val="0"/>
          <w:bCs w:val="0"/>
          <w:color w:val="auto"/>
          <w:kern w:val="2"/>
          <w:sz w:val="32"/>
          <w:szCs w:val="40"/>
          <w:highlight w:val="none"/>
          <w:lang w:val="en-US" w:eastAsia="zh-CN" w:bidi="ar-SA"/>
        </w:rPr>
        <w:t>强化重点产业园区安全生产监管与应急处置能力，夯实产业系统抗风险根基。</w:t>
      </w:r>
      <w:r>
        <w:rPr>
          <w:rFonts w:hint="eastAsia" w:ascii="仿宋_GB2312" w:hAnsi="仿宋_GB2312" w:eastAsia="仿宋_GB2312" w:cs="仿宋_GB2312"/>
          <w:color w:val="auto"/>
          <w:sz w:val="32"/>
          <w:szCs w:val="32"/>
          <w:highlight w:val="none"/>
        </w:rPr>
        <w:t>统筹规划中心城区地上地下空间开发，完善城区防空减灾工程体系。</w:t>
      </w:r>
      <w:r>
        <w:rPr>
          <w:rFonts w:hint="eastAsia" w:ascii="仿宋_GB2312" w:hAnsi="仿宋_GB2312" w:eastAsia="仿宋_GB2312" w:cs="仿宋_GB2312"/>
          <w:b w:val="0"/>
          <w:bCs w:val="0"/>
          <w:color w:val="auto"/>
          <w:kern w:val="2"/>
          <w:sz w:val="32"/>
          <w:szCs w:val="40"/>
          <w:highlight w:val="none"/>
          <w:lang w:val="en-US" w:eastAsia="zh-CN" w:bidi="ar-SA"/>
        </w:rPr>
        <w:t>健全“平急两用”公共空间与应急管理指挥体系，推动城市韧性建设与城乡融合、产业升级、生态保护深度衔接，全面提升应对各类风险挑战的综合能力，为高质量发展筑牢安全屏障。</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outlineLvl w:val="1"/>
        <w:rPr>
          <w:rFonts w:hint="eastAsia" w:ascii="文星标宋" w:hAnsi="文星标宋" w:eastAsia="文星标宋" w:cs="文星标宋"/>
          <w:bCs/>
          <w:color w:val="auto"/>
          <w:kern w:val="0"/>
          <w:sz w:val="32"/>
          <w:szCs w:val="32"/>
          <w:highlight w:val="none"/>
          <w:u w:val="none"/>
          <w:lang w:val="en-US" w:eastAsia="zh-CN" w:bidi="ar"/>
        </w:rPr>
      </w:pPr>
      <w:bookmarkStart w:id="66" w:name="_Toc25581"/>
      <w:r>
        <w:rPr>
          <w:rFonts w:hint="eastAsia" w:ascii="文星标宋" w:hAnsi="文星标宋" w:eastAsia="文星标宋" w:cs="文星标宋"/>
          <w:bCs/>
          <w:color w:val="auto"/>
          <w:kern w:val="0"/>
          <w:sz w:val="32"/>
          <w:szCs w:val="32"/>
          <w:highlight w:val="none"/>
          <w:u w:val="none"/>
          <w:lang w:val="en-US" w:eastAsia="zh-CN" w:bidi="ar"/>
        </w:rPr>
        <w:t>第二节  全力推进数智章丘建设</w:t>
      </w:r>
      <w:bookmarkEnd w:id="66"/>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一、提升政务服务效能</w:t>
      </w:r>
    </w:p>
    <w:p>
      <w:pPr>
        <w:keepNext w:val="0"/>
        <w:keepLines w:val="0"/>
        <w:pageBreakBefore w:val="0"/>
        <w:widowControl w:val="0"/>
        <w:kinsoku/>
        <w:wordWrap/>
        <w:overflowPunct/>
        <w:topLinePunct w:val="0"/>
        <w:autoSpaceDE/>
        <w:autoSpaceDN/>
        <w:bidi w:val="0"/>
        <w:adjustRightInd/>
        <w:snapToGrid/>
        <w:spacing w:before="0" w:beforeAutospacing="0" w:afterAutospacing="0" w:line="560" w:lineRule="exact"/>
        <w:ind w:firstLine="640" w:firstLineChars="200"/>
        <w:jc w:val="left"/>
        <w:textAlignment w:val="auto"/>
        <w:outlineLvl w:val="9"/>
        <w:rPr>
          <w:rFonts w:hint="eastAsia" w:ascii="仿宋_GB2312" w:hAnsi="仿宋_GB2312" w:eastAsia="仿宋_GB2312" w:cs="仿宋_GB2312"/>
          <w:bCs w:val="0"/>
          <w:color w:val="auto"/>
          <w:kern w:val="2"/>
          <w:sz w:val="32"/>
          <w:szCs w:val="32"/>
          <w:highlight w:val="none"/>
          <w:u w:val="none"/>
          <w:lang w:val="en-US" w:eastAsia="zh-CN" w:bidi="ar-SA"/>
        </w:rPr>
      </w:pPr>
      <w:r>
        <w:rPr>
          <w:rFonts w:hint="eastAsia" w:ascii="仿宋_GB2312" w:hAnsi="仿宋_GB2312" w:eastAsia="仿宋_GB2312" w:cs="仿宋_GB2312"/>
          <w:bCs w:val="0"/>
          <w:color w:val="auto"/>
          <w:kern w:val="2"/>
          <w:sz w:val="32"/>
          <w:szCs w:val="32"/>
          <w:highlight w:val="none"/>
          <w:u w:val="none"/>
          <w:lang w:val="en-US" w:eastAsia="zh-CN" w:bidi="ar-SA"/>
        </w:rPr>
        <w:t>加快构建统一高效的数字化政务体系，推进办文、办公、办事、督办全覆盖，实现政府运行全流程在线化、智能化。完善智能决策支持系统，强化经济运行监测分析，提升数据实时性和分析结果可视化能力，提高政府科学决策水平。建立健全分析计算模型，打通应急、防汛等系统，推动风险隐患实时监测、及时预警和自动推送。加快政务数据标准化建设，开展公共数据资源普查、规范公共数据资源目录。深化“一窗受理”“一链办理”服务，拓展“网上办”“云勘验”等便民举措。推动“互联网＋政务服务”向基层延伸，实现区、街道（镇）、村（社区）政务服务三级全覆盖。推进“无证明城市”建设，提升数字惠民利企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二、打造智慧宜居环境</w:t>
      </w:r>
    </w:p>
    <w:p>
      <w:pPr>
        <w:keepNext w:val="0"/>
        <w:keepLines w:val="0"/>
        <w:pageBreakBefore w:val="0"/>
        <w:widowControl w:val="0"/>
        <w:kinsoku/>
        <w:wordWrap/>
        <w:overflowPunct/>
        <w:topLinePunct w:val="0"/>
        <w:autoSpaceDE/>
        <w:autoSpaceDN/>
        <w:bidi w:val="0"/>
        <w:adjustRightInd/>
        <w:snapToGrid/>
        <w:spacing w:before="0" w:beforeAutospacing="0" w:afterAutospacing="0" w:line="560" w:lineRule="exact"/>
        <w:ind w:firstLine="640" w:firstLineChars="200"/>
        <w:jc w:val="both"/>
        <w:textAlignment w:val="auto"/>
        <w:outlineLvl w:val="9"/>
        <w:rPr>
          <w:rFonts w:hint="eastAsia" w:ascii="仿宋_GB2312" w:hAnsi="仿宋_GB2312" w:eastAsia="仿宋_GB2312" w:cs="仿宋_GB2312"/>
          <w:bCs w:val="0"/>
          <w:color w:val="auto"/>
          <w:kern w:val="2"/>
          <w:sz w:val="32"/>
          <w:szCs w:val="32"/>
          <w:highlight w:val="none"/>
          <w:u w:val="none"/>
          <w:lang w:val="en-US" w:eastAsia="zh-CN" w:bidi="ar-SA"/>
        </w:rPr>
      </w:pPr>
      <w:r>
        <w:rPr>
          <w:rFonts w:hint="eastAsia" w:ascii="仿宋_GB2312" w:hAnsi="仿宋_GB2312" w:eastAsia="仿宋_GB2312" w:cs="仿宋_GB2312"/>
          <w:bCs w:val="0"/>
          <w:color w:val="auto"/>
          <w:kern w:val="2"/>
          <w:sz w:val="32"/>
          <w:szCs w:val="32"/>
          <w:highlight w:val="none"/>
          <w:u w:val="none"/>
          <w:lang w:val="en-US" w:eastAsia="zh-CN" w:bidi="ar-SA"/>
        </w:rPr>
        <w:t>全面提升城市治理现代化水平，加快</w:t>
      </w:r>
      <w:bookmarkStart w:id="67" w:name="OLE_LINK2"/>
      <w:r>
        <w:rPr>
          <w:rFonts w:hint="eastAsia" w:ascii="仿宋_GB2312" w:hAnsi="仿宋_GB2312" w:eastAsia="仿宋_GB2312" w:cs="仿宋_GB2312"/>
          <w:bCs w:val="0"/>
          <w:color w:val="auto"/>
          <w:kern w:val="2"/>
          <w:sz w:val="32"/>
          <w:szCs w:val="32"/>
          <w:highlight w:val="none"/>
          <w:u w:val="none"/>
          <w:lang w:val="en-US" w:eastAsia="zh-CN" w:bidi="ar-SA"/>
        </w:rPr>
        <w:t>城市人工智能物联网化</w:t>
      </w:r>
      <w:bookmarkEnd w:id="67"/>
      <w:r>
        <w:rPr>
          <w:rFonts w:hint="eastAsia" w:ascii="仿宋_GB2312" w:hAnsi="仿宋_GB2312" w:eastAsia="仿宋_GB2312" w:cs="仿宋_GB2312"/>
          <w:bCs w:val="0"/>
          <w:color w:val="auto"/>
          <w:kern w:val="2"/>
          <w:sz w:val="32"/>
          <w:szCs w:val="32"/>
          <w:highlight w:val="none"/>
          <w:u w:val="none"/>
          <w:lang w:val="en-US" w:eastAsia="zh-CN" w:bidi="ar-SA"/>
        </w:rPr>
        <w:t>和“实景三维章丘”建设，增强全域感知能力。强化智慧中枢功能，</w:t>
      </w:r>
      <w:bookmarkStart w:id="68" w:name="_Toc28251"/>
      <w:bookmarkStart w:id="69" w:name="_Toc181"/>
      <w:bookmarkStart w:id="70" w:name="_Toc116292448"/>
      <w:r>
        <w:rPr>
          <w:rFonts w:hint="eastAsia" w:ascii="仿宋_GB2312" w:hAnsi="仿宋_GB2312" w:eastAsia="仿宋_GB2312" w:cs="仿宋_GB2312"/>
          <w:bCs w:val="0"/>
          <w:color w:val="auto"/>
          <w:kern w:val="2"/>
          <w:sz w:val="32"/>
          <w:szCs w:val="32"/>
          <w:highlight w:val="none"/>
          <w:u w:val="none"/>
          <w:lang w:val="en-US" w:eastAsia="zh-CN" w:bidi="ar-SA"/>
        </w:rPr>
        <w:t>提升一体化综合指挥水平</w:t>
      </w:r>
      <w:bookmarkEnd w:id="68"/>
      <w:bookmarkEnd w:id="69"/>
      <w:bookmarkEnd w:id="70"/>
      <w:r>
        <w:rPr>
          <w:rFonts w:hint="eastAsia" w:ascii="仿宋_GB2312" w:hAnsi="仿宋_GB2312" w:eastAsia="仿宋_GB2312" w:cs="仿宋_GB2312"/>
          <w:bCs w:val="0"/>
          <w:color w:val="auto"/>
          <w:kern w:val="2"/>
          <w:sz w:val="32"/>
          <w:szCs w:val="32"/>
          <w:highlight w:val="none"/>
          <w:u w:val="none"/>
          <w:lang w:val="en-US" w:eastAsia="zh-CN" w:bidi="ar-SA"/>
        </w:rPr>
        <w:t>，实现应急事件即时研判、现场调度、远程指挥、快速落实，提升社会治理效能。创新社会治理模式，建立健全大数据辅助科学决策和精准治理机制，实现线上线下双向互动和无缝衔接。围绕教育、医疗、就业等重点社会领域，打造一批典型数字化应用场景，基本建成全生命周期数字化惠民服务体系。加快建设数字乡村，夯实乡村信息网络基础设施支撑，提升乡村治理智慧化水平，缩小城乡数字鸿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三、夯实数智转型支撑</w:t>
      </w:r>
    </w:p>
    <w:p>
      <w:pPr>
        <w:keepNext w:val="0"/>
        <w:keepLines w:val="0"/>
        <w:pageBreakBefore w:val="0"/>
        <w:widowControl w:val="0"/>
        <w:kinsoku/>
        <w:wordWrap/>
        <w:overflowPunct/>
        <w:topLinePunct w:val="0"/>
        <w:autoSpaceDE/>
        <w:autoSpaceDN/>
        <w:bidi w:val="0"/>
        <w:adjustRightInd/>
        <w:snapToGrid/>
        <w:spacing w:before="0" w:beforeAutospacing="0" w:afterAutospacing="0" w:line="560" w:lineRule="exact"/>
        <w:ind w:firstLine="640" w:firstLineChars="200"/>
        <w:jc w:val="left"/>
        <w:textAlignment w:val="auto"/>
        <w:outlineLvl w:val="9"/>
        <w:rPr>
          <w:rFonts w:hint="eastAsia" w:ascii="仿宋_GB2312" w:hAnsi="仿宋_GB2312" w:eastAsia="仿宋_GB2312" w:cs="仿宋_GB2312"/>
          <w:bCs w:val="0"/>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rPr>
        <w:t>持续推动5G、千兆光网和数据中心等基础设施建设部署，加大对“双千兆”网络建设的支持力度，提升网络基础设施保障能力，进一步加固数字基础设施的承载底座</w:t>
      </w:r>
      <w:r>
        <w:rPr>
          <w:rFonts w:hint="eastAsia" w:ascii="仿宋_GB2312" w:hAnsi="仿宋_GB2312" w:eastAsia="仿宋_GB2312" w:cs="仿宋_GB2312"/>
          <w:bCs w:val="0"/>
          <w:color w:val="auto"/>
          <w:kern w:val="2"/>
          <w:sz w:val="32"/>
          <w:szCs w:val="32"/>
          <w:highlight w:val="none"/>
          <w:u w:val="none"/>
          <w:lang w:val="en-US" w:eastAsia="zh-CN" w:bidi="ar-SA"/>
        </w:rPr>
        <w:t>。提升</w:t>
      </w:r>
      <w:r>
        <w:rPr>
          <w:rFonts w:hint="eastAsia" w:ascii="仿宋_GB2312" w:hAnsi="仿宋_GB2312" w:eastAsia="仿宋_GB2312" w:cs="仿宋_GB2312"/>
          <w:color w:val="auto"/>
          <w:sz w:val="32"/>
          <w:szCs w:val="32"/>
          <w:highlight w:val="none"/>
          <w:u w:val="none"/>
        </w:rPr>
        <w:t>互联网协议第6版</w:t>
      </w:r>
      <w:r>
        <w:rPr>
          <w:rFonts w:hint="eastAsia" w:ascii="仿宋_GB2312" w:hAnsi="仿宋_GB2312" w:eastAsia="仿宋_GB2312" w:cs="仿宋_GB2312"/>
          <w:bCs w:val="0"/>
          <w:color w:val="auto"/>
          <w:kern w:val="2"/>
          <w:sz w:val="32"/>
          <w:szCs w:val="32"/>
          <w:highlight w:val="none"/>
          <w:u w:val="none"/>
          <w:lang w:val="en-US" w:eastAsia="zh-CN" w:bidi="ar-SA"/>
        </w:rPr>
        <w:t>（IPv6）端到端贯通能力，实现</w:t>
      </w:r>
      <w:bookmarkStart w:id="71" w:name="OLE_LINK7"/>
      <w:r>
        <w:rPr>
          <w:rFonts w:hint="eastAsia" w:ascii="仿宋_GB2312" w:hAnsi="仿宋_GB2312" w:eastAsia="仿宋_GB2312" w:cs="仿宋_GB2312"/>
          <w:bCs w:val="0"/>
          <w:color w:val="auto"/>
          <w:kern w:val="2"/>
          <w:sz w:val="32"/>
          <w:szCs w:val="32"/>
          <w:highlight w:val="none"/>
          <w:u w:val="none"/>
          <w:lang w:val="en-US" w:eastAsia="zh-CN" w:bidi="ar-SA"/>
        </w:rPr>
        <w:t>IPv6</w:t>
      </w:r>
      <w:bookmarkEnd w:id="71"/>
      <w:r>
        <w:rPr>
          <w:rFonts w:hint="eastAsia" w:ascii="仿宋_GB2312" w:hAnsi="仿宋_GB2312" w:eastAsia="仿宋_GB2312" w:cs="仿宋_GB2312"/>
          <w:bCs w:val="0"/>
          <w:color w:val="auto"/>
          <w:kern w:val="2"/>
          <w:sz w:val="32"/>
          <w:szCs w:val="32"/>
          <w:highlight w:val="none"/>
          <w:u w:val="none"/>
          <w:lang w:val="en-US" w:eastAsia="zh-CN" w:bidi="ar-SA"/>
        </w:rPr>
        <w:t>用户规模和业务流量双增长。加快建设上下级联动、左右互通、高速连接、智能分发的章丘一体化大数据平台，</w:t>
      </w:r>
      <w:r>
        <w:rPr>
          <w:rFonts w:hint="eastAsia" w:ascii="仿宋_GB2312" w:hAnsi="仿宋_GB2312" w:eastAsia="仿宋_GB2312" w:cs="仿宋_GB2312"/>
          <w:color w:val="auto"/>
          <w:kern w:val="2"/>
          <w:sz w:val="32"/>
          <w:szCs w:val="32"/>
          <w:highlight w:val="none"/>
          <w:lang w:val="en-US" w:eastAsia="zh-CN"/>
        </w:rPr>
        <w:t>支持</w:t>
      </w:r>
      <w:r>
        <w:rPr>
          <w:rFonts w:hint="eastAsia" w:ascii="仿宋_GB2312" w:hAnsi="仿宋_GB2312" w:eastAsia="仿宋_GB2312" w:cs="仿宋_GB2312"/>
          <w:color w:val="auto"/>
          <w:kern w:val="2"/>
          <w:sz w:val="32"/>
          <w:szCs w:val="32"/>
          <w:highlight w:val="none"/>
        </w:rPr>
        <w:t>发展规模适中、集约绿色的数据中心</w:t>
      </w:r>
      <w:r>
        <w:rPr>
          <w:rFonts w:hint="eastAsia" w:ascii="仿宋_GB2312" w:hAnsi="仿宋_GB2312" w:eastAsia="仿宋_GB2312" w:cs="仿宋_GB2312"/>
          <w:bCs w:val="0"/>
          <w:color w:val="auto"/>
          <w:kern w:val="2"/>
          <w:sz w:val="32"/>
          <w:szCs w:val="32"/>
          <w:highlight w:val="none"/>
          <w:u w:val="none"/>
          <w:lang w:val="en-US" w:eastAsia="zh-CN" w:bidi="ar-SA"/>
        </w:rPr>
        <w:t>。完善网络安全防护体系，确保关键信息基础设施安全稳定运行。</w:t>
      </w:r>
    </w:p>
    <w:p>
      <w:pPr>
        <w:keepNext w:val="0"/>
        <w:keepLines w:val="0"/>
        <w:pageBreakBefore w:val="0"/>
        <w:widowControl w:val="0"/>
        <w:kinsoku/>
        <w:wordWrap/>
        <w:overflowPunct/>
        <w:topLinePunct w:val="0"/>
        <w:autoSpaceDE/>
        <w:autoSpaceDN/>
        <w:bidi w:val="0"/>
        <w:adjustRightInd/>
        <w:snapToGrid/>
        <w:spacing w:after="157" w:afterLines="50" w:line="560" w:lineRule="exact"/>
        <w:ind w:left="0" w:leftChars="0" w:firstLine="0" w:firstLineChars="0"/>
        <w:jc w:val="center"/>
        <w:textAlignment w:val="auto"/>
        <w:outlineLvl w:val="1"/>
        <w:rPr>
          <w:rFonts w:hint="eastAsia" w:ascii="文星标宋" w:hAnsi="文星标宋" w:eastAsia="文星标宋" w:cs="文星标宋"/>
          <w:bCs/>
          <w:color w:val="auto"/>
          <w:kern w:val="0"/>
          <w:sz w:val="32"/>
          <w:szCs w:val="32"/>
          <w:highlight w:val="none"/>
          <w:lang w:val="en-US" w:eastAsia="zh-CN" w:bidi="ar"/>
        </w:rPr>
      </w:pPr>
      <w:bookmarkStart w:id="72" w:name="_Toc28294"/>
      <w:r>
        <w:rPr>
          <w:rFonts w:hint="eastAsia" w:ascii="文星标宋" w:hAnsi="文星标宋" w:eastAsia="文星标宋" w:cs="文星标宋"/>
          <w:bCs/>
          <w:color w:val="auto"/>
          <w:kern w:val="0"/>
          <w:sz w:val="32"/>
          <w:szCs w:val="32"/>
          <w:highlight w:val="none"/>
          <w:u w:val="none"/>
          <w:lang w:val="en-US" w:eastAsia="zh-CN" w:bidi="ar"/>
        </w:rPr>
        <w:t xml:space="preserve">第三节  </w:t>
      </w:r>
      <w:bookmarkStart w:id="73" w:name="_Toc28482"/>
      <w:bookmarkStart w:id="74" w:name="_Toc1350"/>
      <w:r>
        <w:rPr>
          <w:rFonts w:hint="eastAsia" w:ascii="文星标宋" w:hAnsi="文星标宋" w:eastAsia="文星标宋" w:cs="文星标宋"/>
          <w:bCs/>
          <w:color w:val="auto"/>
          <w:kern w:val="0"/>
          <w:sz w:val="32"/>
          <w:szCs w:val="32"/>
          <w:highlight w:val="none"/>
          <w:lang w:val="en-US" w:eastAsia="zh-CN" w:bidi="ar"/>
        </w:rPr>
        <w:t>强化区域协调联动</w:t>
      </w:r>
      <w:bookmarkEnd w:id="72"/>
      <w:bookmarkEnd w:id="73"/>
      <w:bookmarkEnd w:id="74"/>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一、积极融入济南核心区</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b w:val="0"/>
          <w:bCs w:val="0"/>
          <w:color w:val="auto"/>
          <w:spacing w:val="0"/>
          <w:w w:val="100"/>
          <w:kern w:val="21"/>
          <w:sz w:val="32"/>
          <w:szCs w:val="32"/>
          <w:highlight w:val="none"/>
          <w:u w:val="none"/>
          <w:lang w:eastAsia="zh-CN"/>
        </w:rPr>
      </w:pPr>
      <w:r>
        <w:rPr>
          <w:rFonts w:hint="eastAsia" w:ascii="仿宋_GB2312" w:hAnsi="仿宋_GB2312" w:eastAsia="仿宋_GB2312" w:cs="仿宋_GB2312"/>
          <w:b w:val="0"/>
          <w:bCs w:val="0"/>
          <w:color w:val="auto"/>
          <w:spacing w:val="0"/>
          <w:w w:val="100"/>
          <w:kern w:val="21"/>
          <w:sz w:val="32"/>
          <w:szCs w:val="32"/>
          <w:highlight w:val="none"/>
          <w:u w:val="none"/>
          <w:lang w:eastAsia="zh-CN"/>
        </w:rPr>
        <w:t>紧扣济南</w:t>
      </w:r>
      <w:r>
        <w:rPr>
          <w:rFonts w:hint="eastAsia" w:ascii="仿宋_GB2312" w:hAnsi="仿宋_GB2312" w:eastAsia="仿宋_GB2312" w:cs="仿宋_GB2312"/>
          <w:b w:val="0"/>
          <w:bCs w:val="0"/>
          <w:color w:val="auto"/>
          <w:spacing w:val="0"/>
          <w:w w:val="100"/>
          <w:kern w:val="21"/>
          <w:sz w:val="32"/>
          <w:szCs w:val="32"/>
          <w:highlight w:val="none"/>
          <w:u w:val="none"/>
          <w:lang w:val="en-US" w:eastAsia="zh-CN"/>
        </w:rPr>
        <w:t>区域</w:t>
      </w:r>
      <w:r>
        <w:rPr>
          <w:rFonts w:hint="eastAsia" w:ascii="仿宋_GB2312" w:hAnsi="仿宋_GB2312" w:eastAsia="仿宋_GB2312" w:cs="仿宋_GB2312"/>
          <w:b w:val="0"/>
          <w:bCs w:val="0"/>
          <w:color w:val="auto"/>
          <w:spacing w:val="0"/>
          <w:w w:val="100"/>
          <w:kern w:val="21"/>
          <w:sz w:val="32"/>
          <w:szCs w:val="32"/>
          <w:highlight w:val="none"/>
          <w:u w:val="none"/>
          <w:lang w:eastAsia="zh-CN"/>
        </w:rPr>
        <w:t>战略布局，强化与济南核心区在国土空间规划、产业布局</w:t>
      </w:r>
      <w:r>
        <w:rPr>
          <w:rFonts w:hint="eastAsia" w:ascii="仿宋_GB2312" w:hAnsi="仿宋_GB2312" w:eastAsia="仿宋_GB2312" w:cs="仿宋_GB2312"/>
          <w:b w:val="0"/>
          <w:bCs w:val="0"/>
          <w:color w:val="auto"/>
          <w:spacing w:val="0"/>
          <w:w w:val="100"/>
          <w:kern w:val="21"/>
          <w:sz w:val="32"/>
          <w:szCs w:val="32"/>
          <w:highlight w:val="none"/>
          <w:u w:val="none"/>
          <w:lang w:val="en-US" w:eastAsia="zh-CN"/>
        </w:rPr>
        <w:t>规划</w:t>
      </w:r>
      <w:r>
        <w:rPr>
          <w:rFonts w:hint="eastAsia" w:ascii="仿宋_GB2312" w:hAnsi="仿宋_GB2312" w:eastAsia="仿宋_GB2312" w:cs="仿宋_GB2312"/>
          <w:b w:val="0"/>
          <w:bCs w:val="0"/>
          <w:color w:val="auto"/>
          <w:spacing w:val="0"/>
          <w:w w:val="100"/>
          <w:kern w:val="21"/>
          <w:sz w:val="32"/>
          <w:szCs w:val="32"/>
          <w:highlight w:val="none"/>
          <w:u w:val="none"/>
          <w:lang w:eastAsia="zh-CN"/>
        </w:rPr>
        <w:t>等方面的全方位衔接，推动章丘</w:t>
      </w:r>
      <w:r>
        <w:rPr>
          <w:rFonts w:hint="eastAsia" w:ascii="仿宋_GB2312" w:hAnsi="仿宋_GB2312" w:eastAsia="仿宋_GB2312" w:cs="仿宋_GB2312"/>
          <w:b w:val="0"/>
          <w:bCs w:val="0"/>
          <w:color w:val="auto"/>
          <w:spacing w:val="0"/>
          <w:w w:val="100"/>
          <w:kern w:val="21"/>
          <w:sz w:val="32"/>
          <w:szCs w:val="32"/>
          <w:highlight w:val="none"/>
          <w:u w:val="none"/>
          <w:lang w:val="en-US" w:eastAsia="zh-CN"/>
        </w:rPr>
        <w:t>与济南核心区</w:t>
      </w:r>
      <w:r>
        <w:rPr>
          <w:rFonts w:hint="eastAsia" w:ascii="仿宋_GB2312" w:hAnsi="仿宋_GB2312" w:eastAsia="仿宋_GB2312" w:cs="仿宋_GB2312"/>
          <w:b w:val="0"/>
          <w:bCs w:val="0"/>
          <w:color w:val="auto"/>
          <w:spacing w:val="0"/>
          <w:w w:val="100"/>
          <w:kern w:val="21"/>
          <w:sz w:val="32"/>
          <w:szCs w:val="32"/>
          <w:highlight w:val="none"/>
          <w:u w:val="none"/>
          <w:lang w:eastAsia="zh-CN"/>
        </w:rPr>
        <w:t>在基础设施互联互通、产业协同创新发展、公共服务共建共享等领域深度融合。</w:t>
      </w:r>
      <w:r>
        <w:rPr>
          <w:rFonts w:hint="eastAsia" w:ascii="仿宋_GB2312" w:hAnsi="仿宋_GB2312" w:eastAsia="仿宋_GB2312" w:cs="仿宋_GB2312"/>
          <w:b w:val="0"/>
          <w:bCs w:val="0"/>
          <w:color w:val="auto"/>
          <w:spacing w:val="0"/>
          <w:w w:val="100"/>
          <w:kern w:val="21"/>
          <w:sz w:val="32"/>
          <w:szCs w:val="32"/>
          <w:highlight w:val="none"/>
          <w:u w:val="none"/>
          <w:lang w:val="en-US" w:eastAsia="zh-CN"/>
        </w:rPr>
        <w:t>服务保障</w:t>
      </w:r>
      <w:r>
        <w:rPr>
          <w:rFonts w:hint="eastAsia" w:ascii="仿宋_GB2312" w:hAnsi="仿宋_GB2312" w:eastAsia="仿宋_GB2312" w:cs="仿宋_GB2312"/>
          <w:b w:val="0"/>
          <w:bCs w:val="0"/>
          <w:color w:val="auto"/>
          <w:spacing w:val="0"/>
          <w:w w:val="100"/>
          <w:kern w:val="21"/>
          <w:sz w:val="32"/>
          <w:szCs w:val="32"/>
          <w:highlight w:val="none"/>
          <w:u w:val="none"/>
          <w:lang w:eastAsia="zh-CN"/>
        </w:rPr>
        <w:t>轨道交通、城市快速路等重大基础设施建设，完善与中心城区连接的高快速路网系统，</w:t>
      </w:r>
      <w:r>
        <w:rPr>
          <w:rFonts w:hint="eastAsia" w:ascii="仿宋_GB2312" w:hAnsi="仿宋_GB2312" w:eastAsia="仿宋_GB2312" w:cs="仿宋_GB2312"/>
          <w:b w:val="0"/>
          <w:bCs w:val="0"/>
          <w:color w:val="auto"/>
          <w:spacing w:val="0"/>
          <w:w w:val="100"/>
          <w:kern w:val="21"/>
          <w:sz w:val="32"/>
          <w:szCs w:val="32"/>
          <w:highlight w:val="none"/>
          <w:u w:val="none"/>
          <w:lang w:val="en-US" w:eastAsia="zh-CN"/>
        </w:rPr>
        <w:t>构建与中心城区核心节点的“</w:t>
      </w:r>
      <w:r>
        <w:rPr>
          <w:rFonts w:hint="eastAsia" w:ascii="仿宋_GB2312" w:hAnsi="仿宋_GB2312" w:eastAsia="仿宋_GB2312" w:cs="仿宋_GB2312"/>
          <w:b w:val="0"/>
          <w:bCs w:val="0"/>
          <w:color w:val="auto"/>
          <w:spacing w:val="0"/>
          <w:w w:val="100"/>
          <w:kern w:val="21"/>
          <w:sz w:val="32"/>
          <w:szCs w:val="32"/>
          <w:highlight w:val="none"/>
          <w:u w:val="none"/>
          <w:lang w:eastAsia="zh-CN"/>
        </w:rPr>
        <w:t>半小时通勤圈</w:t>
      </w:r>
      <w:r>
        <w:rPr>
          <w:rFonts w:hint="eastAsia" w:ascii="仿宋_GB2312" w:hAnsi="仿宋_GB2312" w:eastAsia="仿宋_GB2312" w:cs="仿宋_GB2312"/>
          <w:b w:val="0"/>
          <w:bCs w:val="0"/>
          <w:color w:val="auto"/>
          <w:spacing w:val="0"/>
          <w:w w:val="100"/>
          <w:kern w:val="21"/>
          <w:sz w:val="32"/>
          <w:szCs w:val="32"/>
          <w:highlight w:val="none"/>
          <w:u w:val="none"/>
          <w:lang w:val="en-US" w:eastAsia="zh-CN"/>
        </w:rPr>
        <w:t>”。</w:t>
      </w:r>
      <w:r>
        <w:rPr>
          <w:rFonts w:hint="eastAsia" w:ascii="仿宋_GB2312" w:hAnsi="仿宋_GB2312" w:eastAsia="仿宋_GB2312" w:cs="仿宋_GB2312"/>
          <w:b w:val="0"/>
          <w:bCs/>
          <w:caps w:val="0"/>
          <w:color w:val="auto"/>
          <w:spacing w:val="0"/>
          <w:kern w:val="2"/>
          <w:sz w:val="32"/>
          <w:szCs w:val="32"/>
          <w:highlight w:val="none"/>
          <w:lang w:val="en-US" w:eastAsia="zh-CN" w:bidi="ar-SA"/>
        </w:rPr>
        <w:t>加强与起步区、临空经济区、陆港经济区协调联动，推动形成章丘北部临港产业集聚片区、港产城融合示范片区。</w:t>
      </w:r>
      <w:r>
        <w:rPr>
          <w:rFonts w:hint="eastAsia" w:ascii="仿宋_GB2312" w:hAnsi="仿宋_GB2312" w:eastAsia="仿宋_GB2312" w:cs="仿宋_GB2312"/>
          <w:b w:val="0"/>
          <w:bCs w:val="0"/>
          <w:color w:val="auto"/>
          <w:spacing w:val="0"/>
          <w:w w:val="100"/>
          <w:kern w:val="21"/>
          <w:sz w:val="32"/>
          <w:szCs w:val="32"/>
          <w:highlight w:val="none"/>
          <w:u w:val="none"/>
          <w:lang w:val="en-US" w:eastAsia="zh-CN"/>
        </w:rPr>
        <w:t>积极承接产业转移和功能疏解，围绕智能制造、新材料等优势产业领域，推动产业链上下游整合和跨区域布局，打造区域性产业承载区和功能拓展区。推进公共服务同城化发展，加快实现教育、医疗、社保等公共服务与核心区标准统一、制度衔接。积极引进济南优质教育资源，推动中小学集团化办学和教师轮岗交流。推动社保卡在公共交通、文化旅游等领域“一卡通”应用，提升居民生活便利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二、全面融入济南都市圈建设</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b w:val="0"/>
          <w:bCs w:val="0"/>
          <w:color w:val="auto"/>
          <w:spacing w:val="0"/>
          <w:w w:val="100"/>
          <w:kern w:val="21"/>
          <w:sz w:val="32"/>
          <w:szCs w:val="32"/>
          <w:highlight w:val="none"/>
          <w:u w:val="none"/>
        </w:rPr>
      </w:pPr>
      <w:bookmarkStart w:id="75" w:name="OLE_LINK17"/>
      <w:r>
        <w:rPr>
          <w:rFonts w:hint="eastAsia" w:ascii="仿宋_GB2312" w:hAnsi="仿宋_GB2312" w:eastAsia="仿宋_GB2312" w:cs="仿宋_GB2312"/>
          <w:b w:val="0"/>
          <w:bCs w:val="0"/>
          <w:color w:val="auto"/>
          <w:spacing w:val="0"/>
          <w:w w:val="100"/>
          <w:kern w:val="21"/>
          <w:sz w:val="32"/>
          <w:szCs w:val="32"/>
          <w:highlight w:val="none"/>
          <w:u w:val="none"/>
        </w:rPr>
        <w:t>紧抓济南新旧动能转换起步区</w:t>
      </w:r>
      <w:r>
        <w:rPr>
          <w:rFonts w:hint="eastAsia" w:ascii="仿宋_GB2312" w:hAnsi="仿宋_GB2312" w:eastAsia="仿宋_GB2312" w:cs="仿宋_GB2312"/>
          <w:b w:val="0"/>
          <w:bCs w:val="0"/>
          <w:color w:val="auto"/>
          <w:spacing w:val="0"/>
          <w:w w:val="100"/>
          <w:kern w:val="21"/>
          <w:sz w:val="32"/>
          <w:szCs w:val="32"/>
          <w:highlight w:val="none"/>
          <w:u w:val="none"/>
          <w:lang w:eastAsia="zh-CN"/>
        </w:rPr>
        <w:t>、</w:t>
      </w:r>
      <w:r>
        <w:rPr>
          <w:rFonts w:hint="eastAsia" w:ascii="仿宋_GB2312" w:hAnsi="仿宋_GB2312" w:eastAsia="仿宋_GB2312" w:cs="仿宋_GB2312"/>
          <w:b w:val="0"/>
          <w:bCs w:val="0"/>
          <w:color w:val="auto"/>
          <w:spacing w:val="0"/>
          <w:w w:val="100"/>
          <w:kern w:val="21"/>
          <w:sz w:val="32"/>
          <w:szCs w:val="32"/>
          <w:highlight w:val="none"/>
          <w:u w:val="none"/>
          <w:lang w:val="en-US" w:eastAsia="zh-CN"/>
        </w:rPr>
        <w:t>济南高新区</w:t>
      </w:r>
      <w:r>
        <w:rPr>
          <w:rFonts w:hint="eastAsia" w:ascii="仿宋_GB2312" w:hAnsi="仿宋_GB2312" w:eastAsia="仿宋_GB2312" w:cs="仿宋_GB2312"/>
          <w:b w:val="0"/>
          <w:bCs w:val="0"/>
          <w:color w:val="auto"/>
          <w:spacing w:val="0"/>
          <w:w w:val="100"/>
          <w:kern w:val="21"/>
          <w:sz w:val="32"/>
          <w:szCs w:val="32"/>
          <w:highlight w:val="none"/>
          <w:u w:val="none"/>
        </w:rPr>
        <w:t>产业</w:t>
      </w:r>
      <w:r>
        <w:rPr>
          <w:rFonts w:hint="eastAsia" w:ascii="仿宋_GB2312" w:hAnsi="仿宋_GB2312" w:eastAsia="仿宋_GB2312" w:cs="仿宋_GB2312"/>
          <w:b w:val="0"/>
          <w:bCs w:val="0"/>
          <w:color w:val="auto"/>
          <w:spacing w:val="0"/>
          <w:w w:val="100"/>
          <w:kern w:val="21"/>
          <w:sz w:val="32"/>
          <w:szCs w:val="32"/>
          <w:highlight w:val="none"/>
          <w:u w:val="none"/>
          <w:lang w:val="en-US" w:eastAsia="zh-CN"/>
        </w:rPr>
        <w:t>辐射</w:t>
      </w:r>
      <w:bookmarkEnd w:id="75"/>
      <w:r>
        <w:rPr>
          <w:rFonts w:hint="eastAsia" w:ascii="仿宋_GB2312" w:hAnsi="仿宋_GB2312" w:eastAsia="仿宋_GB2312" w:cs="仿宋_GB2312"/>
          <w:b w:val="0"/>
          <w:bCs w:val="0"/>
          <w:color w:val="auto"/>
          <w:spacing w:val="0"/>
          <w:w w:val="100"/>
          <w:kern w:val="21"/>
          <w:sz w:val="32"/>
          <w:szCs w:val="32"/>
          <w:highlight w:val="none"/>
          <w:u w:val="none"/>
        </w:rPr>
        <w:t>有利时机，围绕新能源汽车、</w:t>
      </w:r>
      <w:r>
        <w:rPr>
          <w:rFonts w:hint="eastAsia" w:ascii="仿宋_GB2312" w:hAnsi="仿宋_GB2312" w:eastAsia="仿宋_GB2312" w:cs="仿宋_GB2312"/>
          <w:b w:val="0"/>
          <w:bCs w:val="0"/>
          <w:color w:val="auto"/>
          <w:spacing w:val="0"/>
          <w:w w:val="100"/>
          <w:kern w:val="21"/>
          <w:sz w:val="32"/>
          <w:szCs w:val="32"/>
          <w:highlight w:val="none"/>
          <w:u w:val="none"/>
          <w:lang w:val="en-US" w:eastAsia="zh-CN"/>
        </w:rPr>
        <w:t>先进材料</w:t>
      </w:r>
      <w:r>
        <w:rPr>
          <w:rFonts w:hint="eastAsia" w:ascii="仿宋_GB2312" w:hAnsi="仿宋_GB2312" w:eastAsia="仿宋_GB2312" w:cs="仿宋_GB2312"/>
          <w:b w:val="0"/>
          <w:bCs w:val="0"/>
          <w:color w:val="auto"/>
          <w:spacing w:val="0"/>
          <w:w w:val="100"/>
          <w:kern w:val="21"/>
          <w:sz w:val="32"/>
          <w:szCs w:val="32"/>
          <w:highlight w:val="none"/>
          <w:u w:val="none"/>
        </w:rPr>
        <w:t>、</w:t>
      </w:r>
      <w:r>
        <w:rPr>
          <w:rFonts w:hint="eastAsia" w:ascii="仿宋_GB2312" w:hAnsi="仿宋_GB2312" w:eastAsia="仿宋_GB2312" w:cs="仿宋_GB2312"/>
          <w:b w:val="0"/>
          <w:bCs w:val="0"/>
          <w:color w:val="auto"/>
          <w:spacing w:val="0"/>
          <w:w w:val="100"/>
          <w:kern w:val="21"/>
          <w:sz w:val="32"/>
          <w:szCs w:val="32"/>
          <w:highlight w:val="none"/>
          <w:u w:val="none"/>
          <w:lang w:val="en-US" w:eastAsia="zh-CN"/>
        </w:rPr>
        <w:t>航空航天和低空经济</w:t>
      </w:r>
      <w:r>
        <w:rPr>
          <w:rFonts w:hint="eastAsia" w:ascii="仿宋_GB2312" w:hAnsi="仿宋_GB2312" w:eastAsia="仿宋_GB2312" w:cs="仿宋_GB2312"/>
          <w:b w:val="0"/>
          <w:bCs w:val="0"/>
          <w:color w:val="auto"/>
          <w:spacing w:val="0"/>
          <w:w w:val="100"/>
          <w:kern w:val="21"/>
          <w:sz w:val="32"/>
          <w:szCs w:val="32"/>
          <w:highlight w:val="none"/>
          <w:u w:val="none"/>
        </w:rPr>
        <w:t>等产业，招引落地一批带动能力强、发展前景广的大项目、好项目，协同推进优势产业配套成链</w:t>
      </w:r>
      <w:r>
        <w:rPr>
          <w:rFonts w:hint="eastAsia" w:ascii="仿宋_GB2312" w:hAnsi="仿宋_GB2312" w:eastAsia="仿宋_GB2312" w:cs="仿宋_GB2312"/>
          <w:b w:val="0"/>
          <w:bCs w:val="0"/>
          <w:color w:val="auto"/>
          <w:spacing w:val="0"/>
          <w:w w:val="100"/>
          <w:kern w:val="21"/>
          <w:sz w:val="32"/>
          <w:szCs w:val="32"/>
          <w:highlight w:val="none"/>
          <w:u w:val="none"/>
          <w:lang w:eastAsia="zh-CN"/>
        </w:rPr>
        <w:t>，做强济南都市圈现代化强区</w:t>
      </w:r>
      <w:r>
        <w:rPr>
          <w:rFonts w:hint="eastAsia" w:ascii="仿宋_GB2312" w:hAnsi="仿宋_GB2312" w:eastAsia="仿宋_GB2312" w:cs="仿宋_GB2312"/>
          <w:b w:val="0"/>
          <w:bCs w:val="0"/>
          <w:color w:val="auto"/>
          <w:spacing w:val="0"/>
          <w:w w:val="100"/>
          <w:kern w:val="21"/>
          <w:sz w:val="32"/>
          <w:szCs w:val="32"/>
          <w:highlight w:val="none"/>
          <w:u w:val="none"/>
        </w:rPr>
        <w:t>。围绕</w:t>
      </w:r>
      <w:r>
        <w:rPr>
          <w:rFonts w:hint="eastAsia" w:ascii="仿宋_GB2312" w:hAnsi="仿宋_GB2312" w:eastAsia="仿宋_GB2312" w:cs="仿宋_GB2312"/>
          <w:b w:val="0"/>
          <w:bCs w:val="0"/>
          <w:color w:val="auto"/>
          <w:spacing w:val="0"/>
          <w:w w:val="100"/>
          <w:kern w:val="21"/>
          <w:sz w:val="32"/>
          <w:szCs w:val="32"/>
          <w:highlight w:val="none"/>
          <w:u w:val="none"/>
          <w:lang w:val="en-US" w:eastAsia="zh-CN"/>
        </w:rPr>
        <w:t>商贸流通</w:t>
      </w:r>
      <w:r>
        <w:rPr>
          <w:rFonts w:hint="eastAsia" w:ascii="仿宋_GB2312" w:hAnsi="仿宋_GB2312" w:eastAsia="仿宋_GB2312" w:cs="仿宋_GB2312"/>
          <w:b w:val="0"/>
          <w:bCs w:val="0"/>
          <w:color w:val="auto"/>
          <w:spacing w:val="0"/>
          <w:w w:val="100"/>
          <w:kern w:val="21"/>
          <w:sz w:val="32"/>
          <w:szCs w:val="32"/>
          <w:highlight w:val="none"/>
          <w:u w:val="none"/>
        </w:rPr>
        <w:t>、医养健康、现代金融、科技服务、“两业”融合、数字经济等方面，加大产业发展培育力度，带动全区现代服务业发展。推进重点毗邻区域协同发展</w:t>
      </w:r>
      <w:r>
        <w:rPr>
          <w:rFonts w:hint="eastAsia" w:ascii="仿宋_GB2312" w:hAnsi="仿宋_GB2312" w:eastAsia="仿宋_GB2312" w:cs="仿宋_GB2312"/>
          <w:b w:val="0"/>
          <w:bCs w:val="0"/>
          <w:color w:val="auto"/>
          <w:spacing w:val="0"/>
          <w:w w:val="100"/>
          <w:kern w:val="21"/>
          <w:sz w:val="32"/>
          <w:szCs w:val="32"/>
          <w:highlight w:val="none"/>
          <w:u w:val="none"/>
          <w:lang w:eastAsia="zh-CN"/>
        </w:rPr>
        <w:t>、</w:t>
      </w:r>
      <w:r>
        <w:rPr>
          <w:rFonts w:hint="eastAsia" w:ascii="仿宋_GB2312" w:hAnsi="仿宋_GB2312" w:eastAsia="仿宋_GB2312" w:cs="仿宋_GB2312"/>
          <w:b w:val="0"/>
          <w:bCs w:val="0"/>
          <w:color w:val="auto"/>
          <w:spacing w:val="0"/>
          <w:w w:val="100"/>
          <w:kern w:val="21"/>
          <w:sz w:val="32"/>
          <w:szCs w:val="32"/>
          <w:highlight w:val="none"/>
          <w:u w:val="none"/>
        </w:rPr>
        <w:t>先行先试，积极探索“章丘区—邹平市—周村区”一体化发展路径，以产业园区为载体</w:t>
      </w:r>
      <w:r>
        <w:rPr>
          <w:rFonts w:hint="eastAsia" w:ascii="仿宋_GB2312" w:hAnsi="仿宋_GB2312" w:eastAsia="仿宋_GB2312" w:cs="仿宋_GB2312"/>
          <w:b w:val="0"/>
          <w:bCs w:val="0"/>
          <w:color w:val="auto"/>
          <w:spacing w:val="0"/>
          <w:w w:val="100"/>
          <w:kern w:val="21"/>
          <w:sz w:val="32"/>
          <w:szCs w:val="32"/>
          <w:highlight w:val="none"/>
          <w:u w:val="none"/>
          <w:lang w:eastAsia="zh-CN"/>
        </w:rPr>
        <w:t>，</w:t>
      </w:r>
      <w:r>
        <w:rPr>
          <w:rFonts w:hint="eastAsia" w:ascii="仿宋_GB2312" w:hAnsi="仿宋_GB2312" w:eastAsia="仿宋_GB2312" w:cs="仿宋_GB2312"/>
          <w:b w:val="0"/>
          <w:bCs w:val="0"/>
          <w:color w:val="auto"/>
          <w:spacing w:val="0"/>
          <w:w w:val="100"/>
          <w:kern w:val="21"/>
          <w:sz w:val="32"/>
          <w:szCs w:val="32"/>
          <w:highlight w:val="none"/>
          <w:u w:val="none"/>
        </w:rPr>
        <w:t>促进明水经济技术开发区、邹平经济技术开发区、周村经济开发区等园区联动协作</w:t>
      </w:r>
      <w:r>
        <w:rPr>
          <w:rFonts w:hint="eastAsia" w:ascii="仿宋_GB2312" w:hAnsi="仿宋_GB2312" w:eastAsia="仿宋_GB2312" w:cs="仿宋_GB2312"/>
          <w:b w:val="0"/>
          <w:bCs w:val="0"/>
          <w:color w:val="auto"/>
          <w:spacing w:val="0"/>
          <w:w w:val="100"/>
          <w:kern w:val="21"/>
          <w:sz w:val="32"/>
          <w:szCs w:val="32"/>
          <w:highlight w:val="none"/>
          <w:u w:val="none"/>
          <w:lang w:eastAsia="zh-CN"/>
        </w:rPr>
        <w:t>，</w:t>
      </w:r>
      <w:r>
        <w:rPr>
          <w:rFonts w:hint="eastAsia" w:ascii="仿宋_GB2312" w:hAnsi="仿宋_GB2312" w:eastAsia="仿宋_GB2312" w:cs="仿宋_GB2312"/>
          <w:b w:val="0"/>
          <w:bCs w:val="0"/>
          <w:color w:val="auto"/>
          <w:spacing w:val="0"/>
          <w:w w:val="100"/>
          <w:kern w:val="21"/>
          <w:sz w:val="32"/>
          <w:szCs w:val="32"/>
          <w:highlight w:val="none"/>
          <w:u w:val="none"/>
          <w:lang w:val="en-US" w:eastAsia="zh-CN"/>
        </w:rPr>
        <w:t>合力</w:t>
      </w:r>
      <w:r>
        <w:rPr>
          <w:rFonts w:hint="eastAsia" w:ascii="仿宋_GB2312" w:hAnsi="仿宋_GB2312" w:eastAsia="仿宋_GB2312" w:cs="仿宋_GB2312"/>
          <w:b w:val="0"/>
          <w:bCs w:val="0"/>
          <w:color w:val="auto"/>
          <w:spacing w:val="0"/>
          <w:w w:val="100"/>
          <w:kern w:val="21"/>
          <w:sz w:val="32"/>
          <w:szCs w:val="32"/>
          <w:highlight w:val="none"/>
          <w:u w:val="none"/>
        </w:rPr>
        <w:t>打造</w:t>
      </w:r>
      <w:r>
        <w:rPr>
          <w:rFonts w:hint="eastAsia" w:ascii="仿宋_GB2312" w:hAnsi="仿宋_GB2312" w:eastAsia="仿宋_GB2312" w:cs="仿宋_GB2312"/>
          <w:b w:val="0"/>
          <w:bCs w:val="0"/>
          <w:color w:val="auto"/>
          <w:spacing w:val="0"/>
          <w:w w:val="100"/>
          <w:kern w:val="21"/>
          <w:sz w:val="32"/>
          <w:szCs w:val="32"/>
          <w:highlight w:val="none"/>
          <w:u w:val="none"/>
          <w:lang w:eastAsia="zh-CN"/>
        </w:rPr>
        <w:t>专用装备</w:t>
      </w:r>
      <w:r>
        <w:rPr>
          <w:rFonts w:hint="eastAsia" w:ascii="仿宋_GB2312" w:hAnsi="仿宋_GB2312" w:eastAsia="仿宋_GB2312" w:cs="仿宋_GB2312"/>
          <w:b w:val="0"/>
          <w:bCs w:val="0"/>
          <w:color w:val="auto"/>
          <w:spacing w:val="0"/>
          <w:w w:val="100"/>
          <w:kern w:val="21"/>
          <w:sz w:val="32"/>
          <w:szCs w:val="32"/>
          <w:highlight w:val="none"/>
          <w:u w:val="none"/>
        </w:rPr>
        <w:t>、新能源</w:t>
      </w:r>
      <w:r>
        <w:rPr>
          <w:rFonts w:hint="eastAsia" w:ascii="仿宋_GB2312" w:hAnsi="仿宋_GB2312" w:eastAsia="仿宋_GB2312" w:cs="仿宋_GB2312"/>
          <w:b w:val="0"/>
          <w:bCs w:val="0"/>
          <w:color w:val="auto"/>
          <w:spacing w:val="0"/>
          <w:w w:val="100"/>
          <w:kern w:val="21"/>
          <w:sz w:val="32"/>
          <w:szCs w:val="32"/>
          <w:highlight w:val="none"/>
          <w:u w:val="none"/>
          <w:lang w:eastAsia="zh-CN"/>
        </w:rPr>
        <w:t>、</w:t>
      </w:r>
      <w:r>
        <w:rPr>
          <w:rFonts w:hint="eastAsia" w:ascii="仿宋_GB2312" w:hAnsi="仿宋_GB2312" w:eastAsia="仿宋_GB2312" w:cs="仿宋_GB2312"/>
          <w:b w:val="0"/>
          <w:bCs w:val="0"/>
          <w:color w:val="auto"/>
          <w:spacing w:val="0"/>
          <w:w w:val="100"/>
          <w:kern w:val="21"/>
          <w:sz w:val="32"/>
          <w:szCs w:val="32"/>
          <w:highlight w:val="none"/>
          <w:u w:val="none"/>
        </w:rPr>
        <w:t>新材料、生物医药等具有全国影响力的产业集群。找准与圈内城市在职业教育、高等教育、义务教育等领域结合点、切入点，通过与名校及教育集团联合办学等方式，吸引优质教育资源落户</w:t>
      </w:r>
      <w:r>
        <w:rPr>
          <w:rFonts w:hint="eastAsia" w:ascii="仿宋_GB2312" w:hAnsi="仿宋_GB2312" w:eastAsia="仿宋_GB2312" w:cs="仿宋_GB2312"/>
          <w:b w:val="0"/>
          <w:bCs w:val="0"/>
          <w:color w:val="auto"/>
          <w:spacing w:val="0"/>
          <w:w w:val="100"/>
          <w:kern w:val="21"/>
          <w:sz w:val="32"/>
          <w:szCs w:val="32"/>
          <w:highlight w:val="none"/>
          <w:u w:val="none"/>
          <w:lang w:val="en-US" w:eastAsia="zh-CN"/>
        </w:rPr>
        <w:t>章丘</w:t>
      </w:r>
      <w:r>
        <w:rPr>
          <w:rFonts w:hint="eastAsia" w:ascii="仿宋_GB2312" w:hAnsi="仿宋_GB2312" w:eastAsia="仿宋_GB2312" w:cs="仿宋_GB2312"/>
          <w:b w:val="0"/>
          <w:bCs w:val="0"/>
          <w:color w:val="auto"/>
          <w:spacing w:val="0"/>
          <w:w w:val="100"/>
          <w:kern w:val="21"/>
          <w:sz w:val="32"/>
          <w:szCs w:val="32"/>
          <w:highlight w:val="none"/>
          <w:u w:val="none"/>
        </w:rPr>
        <w:t>。</w:t>
      </w:r>
    </w:p>
    <w:p>
      <w:pPr>
        <w:keepNext w:val="0"/>
        <w:keepLines w:val="0"/>
        <w:pageBreakBefore w:val="0"/>
        <w:widowControl w:val="0"/>
        <w:numPr>
          <w:ilvl w:val="0"/>
          <w:numId w:val="2"/>
        </w:numPr>
        <w:kinsoku/>
        <w:wordWrap/>
        <w:overflowPunct/>
        <w:topLinePunct/>
        <w:autoSpaceDE/>
        <w:autoSpaceDN/>
        <w:bidi w:val="0"/>
        <w:adjustRightInd/>
        <w:snapToGrid/>
        <w:spacing w:line="560" w:lineRule="exact"/>
        <w:ind w:firstLine="640" w:firstLineChars="200"/>
        <w:textAlignment w:val="auto"/>
        <w:outlineLvl w:val="2"/>
        <w:rPr>
          <w:rFonts w:hint="eastAsia" w:ascii="黑体" w:hAnsi="黑体" w:eastAsia="黑体" w:cs="黑体"/>
          <w:b w:val="0"/>
          <w:bCs w:val="0"/>
          <w:color w:val="auto"/>
          <w:spacing w:val="0"/>
          <w:w w:val="100"/>
          <w:kern w:val="21"/>
          <w:sz w:val="32"/>
          <w:szCs w:val="32"/>
          <w:highlight w:val="none"/>
          <w:u w:val="none"/>
          <w:lang w:val="en-US" w:eastAsia="zh-CN"/>
        </w:rPr>
      </w:pPr>
      <w:r>
        <w:rPr>
          <w:rFonts w:hint="eastAsia" w:ascii="黑体" w:hAnsi="黑体" w:eastAsia="黑体" w:cs="黑体"/>
          <w:b w:val="0"/>
          <w:bCs w:val="0"/>
          <w:color w:val="auto"/>
          <w:spacing w:val="0"/>
          <w:w w:val="100"/>
          <w:kern w:val="21"/>
          <w:sz w:val="32"/>
          <w:szCs w:val="32"/>
          <w:highlight w:val="none"/>
          <w:u w:val="none"/>
          <w:lang w:eastAsia="zh-CN"/>
        </w:rPr>
        <w:t>推动更大范围区域</w:t>
      </w:r>
      <w:r>
        <w:rPr>
          <w:rFonts w:hint="eastAsia" w:ascii="黑体" w:hAnsi="黑体" w:eastAsia="黑体" w:cs="黑体"/>
          <w:b w:val="0"/>
          <w:bCs w:val="0"/>
          <w:color w:val="auto"/>
          <w:spacing w:val="0"/>
          <w:w w:val="100"/>
          <w:kern w:val="21"/>
          <w:sz w:val="32"/>
          <w:szCs w:val="32"/>
          <w:highlight w:val="none"/>
          <w:u w:val="none"/>
          <w:lang w:val="en-US" w:eastAsia="zh-CN"/>
        </w:rPr>
        <w:t>协作</w:t>
      </w:r>
    </w:p>
    <w:p>
      <w:pPr>
        <w:keepNext w:val="0"/>
        <w:keepLines w:val="0"/>
        <w:pageBreakBefore w:val="0"/>
        <w:widowControl w:val="0"/>
        <w:kinsoku/>
        <w:wordWrap/>
        <w:overflowPunct/>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pacing w:val="0"/>
          <w:w w:val="100"/>
          <w:kern w:val="21"/>
          <w:sz w:val="32"/>
          <w:szCs w:val="32"/>
          <w:highlight w:val="none"/>
          <w:u w:val="none"/>
          <w:lang w:val="en-US" w:eastAsia="zh-CN"/>
        </w:rPr>
      </w:pPr>
      <w:r>
        <w:rPr>
          <w:rFonts w:hint="eastAsia" w:ascii="仿宋_GB2312" w:hAnsi="仿宋_GB2312" w:eastAsia="仿宋_GB2312" w:cs="仿宋_GB2312"/>
          <w:b w:val="0"/>
          <w:bCs w:val="0"/>
          <w:color w:val="auto"/>
          <w:spacing w:val="0"/>
          <w:w w:val="100"/>
          <w:kern w:val="21"/>
          <w:sz w:val="32"/>
          <w:szCs w:val="32"/>
          <w:highlight w:val="none"/>
          <w:u w:val="none"/>
        </w:rPr>
        <w:t>主动承接京津冀产业转移</w:t>
      </w:r>
      <w:r>
        <w:rPr>
          <w:rFonts w:hint="eastAsia" w:ascii="仿宋_GB2312" w:hAnsi="仿宋_GB2312" w:eastAsia="仿宋_GB2312" w:cs="仿宋_GB2312"/>
          <w:b w:val="0"/>
          <w:bCs w:val="0"/>
          <w:color w:val="auto"/>
          <w:spacing w:val="0"/>
          <w:w w:val="100"/>
          <w:kern w:val="21"/>
          <w:sz w:val="32"/>
          <w:szCs w:val="32"/>
          <w:highlight w:val="none"/>
          <w:u w:val="none"/>
          <w:lang w:eastAsia="zh-CN"/>
        </w:rPr>
        <w:t>，</w:t>
      </w:r>
      <w:r>
        <w:rPr>
          <w:rFonts w:hint="eastAsia" w:ascii="仿宋_GB2312" w:hAnsi="仿宋_GB2312" w:eastAsia="仿宋_GB2312" w:cs="仿宋_GB2312"/>
          <w:b w:val="0"/>
          <w:bCs w:val="0"/>
          <w:color w:val="auto"/>
          <w:spacing w:val="0"/>
          <w:w w:val="100"/>
          <w:kern w:val="21"/>
          <w:sz w:val="32"/>
          <w:szCs w:val="32"/>
          <w:highlight w:val="none"/>
          <w:u w:val="none"/>
        </w:rPr>
        <w:t>深度参与京津冀产业分工协作，深化新一代信息技术、</w:t>
      </w:r>
      <w:r>
        <w:rPr>
          <w:rFonts w:hint="eastAsia" w:ascii="仿宋_GB2312" w:hAnsi="仿宋_GB2312" w:eastAsia="仿宋_GB2312" w:cs="仿宋_GB2312"/>
          <w:b w:val="0"/>
          <w:bCs w:val="0"/>
          <w:color w:val="auto"/>
          <w:spacing w:val="0"/>
          <w:w w:val="100"/>
          <w:kern w:val="21"/>
          <w:sz w:val="32"/>
          <w:szCs w:val="32"/>
          <w:highlight w:val="none"/>
          <w:u w:val="none"/>
          <w:lang w:val="en-US" w:eastAsia="zh-CN"/>
        </w:rPr>
        <w:t>医药食品及包装</w:t>
      </w:r>
      <w:r>
        <w:rPr>
          <w:rFonts w:hint="eastAsia" w:ascii="仿宋_GB2312" w:hAnsi="仿宋_GB2312" w:eastAsia="仿宋_GB2312" w:cs="仿宋_GB2312"/>
          <w:b w:val="0"/>
          <w:bCs w:val="0"/>
          <w:color w:val="auto"/>
          <w:spacing w:val="0"/>
          <w:w w:val="100"/>
          <w:kern w:val="21"/>
          <w:sz w:val="32"/>
          <w:szCs w:val="32"/>
          <w:highlight w:val="none"/>
          <w:u w:val="none"/>
        </w:rPr>
        <w:t>等产业领域合作，强化延链补链强链专项招引，着力打造关联度高、承载能力强的新兴产业平台集群。加强与青岛都市圈相关城市交流合作，深化明水经济技术开发区—青岛经济技术开发区合作交流，加快推进济南青开创新科技产业园项目建设，构建优势互补、错位发展的都市圈产业协同格局，</w:t>
      </w:r>
      <w:r>
        <w:rPr>
          <w:rFonts w:hint="eastAsia" w:ascii="仿宋_GB2312" w:hAnsi="仿宋_GB2312" w:eastAsia="仿宋_GB2312" w:cs="仿宋_GB2312"/>
          <w:b w:val="0"/>
          <w:bCs w:val="0"/>
          <w:color w:val="auto"/>
          <w:spacing w:val="0"/>
          <w:w w:val="100"/>
          <w:kern w:val="21"/>
          <w:sz w:val="32"/>
          <w:szCs w:val="32"/>
          <w:highlight w:val="none"/>
          <w:u w:val="none"/>
          <w:lang w:val="en-US" w:eastAsia="zh-CN"/>
        </w:rPr>
        <w:t>加快</w:t>
      </w:r>
      <w:r>
        <w:rPr>
          <w:rFonts w:hint="eastAsia" w:ascii="仿宋_GB2312" w:hAnsi="仿宋_GB2312" w:eastAsia="仿宋_GB2312" w:cs="仿宋_GB2312"/>
          <w:b w:val="0"/>
          <w:bCs w:val="0"/>
          <w:color w:val="auto"/>
          <w:spacing w:val="0"/>
          <w:w w:val="100"/>
          <w:kern w:val="21"/>
          <w:sz w:val="32"/>
          <w:szCs w:val="32"/>
          <w:highlight w:val="none"/>
          <w:u w:val="none"/>
        </w:rPr>
        <w:t>融入济青郑都市圈“三圈”联动。</w:t>
      </w:r>
      <w:r>
        <w:rPr>
          <w:rFonts w:hint="eastAsia" w:ascii="仿宋_GB2312" w:hAnsi="仿宋_GB2312" w:eastAsia="仿宋_GB2312" w:cs="仿宋_GB2312"/>
          <w:b w:val="0"/>
          <w:bCs w:val="0"/>
          <w:color w:val="auto"/>
          <w:spacing w:val="0"/>
          <w:w w:val="100"/>
          <w:kern w:val="21"/>
          <w:sz w:val="32"/>
          <w:szCs w:val="32"/>
          <w:highlight w:val="none"/>
          <w:u w:val="none"/>
          <w:lang w:eastAsia="zh-CN"/>
        </w:rPr>
        <w:t>优化沿黄空间功能，</w:t>
      </w:r>
      <w:r>
        <w:rPr>
          <w:rFonts w:hint="eastAsia" w:ascii="仿宋_GB2312" w:hAnsi="仿宋_GB2312" w:eastAsia="仿宋_GB2312" w:cs="仿宋_GB2312"/>
          <w:b w:val="0"/>
          <w:bCs w:val="0"/>
          <w:color w:val="auto"/>
          <w:spacing w:val="0"/>
          <w:w w:val="100"/>
          <w:kern w:val="21"/>
          <w:sz w:val="32"/>
          <w:szCs w:val="32"/>
          <w:highlight w:val="none"/>
          <w:u w:val="none"/>
          <w:lang w:val="en-US" w:eastAsia="zh-CN"/>
        </w:rPr>
        <w:t>积极参与</w:t>
      </w:r>
      <w:r>
        <w:rPr>
          <w:rFonts w:hint="eastAsia" w:ascii="仿宋_GB2312" w:hAnsi="仿宋_GB2312" w:eastAsia="仿宋_GB2312" w:cs="仿宋_GB2312"/>
          <w:b w:val="0"/>
          <w:bCs w:val="0"/>
          <w:color w:val="auto"/>
          <w:spacing w:val="0"/>
          <w:w w:val="100"/>
          <w:kern w:val="21"/>
          <w:sz w:val="32"/>
          <w:szCs w:val="32"/>
          <w:highlight w:val="none"/>
          <w:u w:val="none"/>
          <w:lang w:eastAsia="zh-CN"/>
        </w:rPr>
        <w:t>黄河生态走廊与特色产业发展带建设，对接黄河流域自贸试验区联盟平台，深度融入黄河流域对外开放大局。</w:t>
      </w:r>
      <w:r>
        <w:rPr>
          <w:rFonts w:hint="eastAsia" w:ascii="仿宋_GB2312" w:hAnsi="仿宋_GB2312" w:eastAsia="仿宋_GB2312" w:cs="仿宋_GB2312"/>
          <w:b w:val="0"/>
          <w:bCs w:val="0"/>
          <w:color w:val="auto"/>
          <w:spacing w:val="0"/>
          <w:w w:val="100"/>
          <w:kern w:val="21"/>
          <w:sz w:val="32"/>
          <w:szCs w:val="32"/>
          <w:highlight w:val="none"/>
          <w:u w:val="none"/>
        </w:rPr>
        <w:t>主动深化与长三角、</w:t>
      </w:r>
      <w:r>
        <w:rPr>
          <w:rFonts w:hint="eastAsia" w:ascii="仿宋_GB2312" w:hAnsi="仿宋_GB2312" w:eastAsia="仿宋_GB2312" w:cs="仿宋_GB2312"/>
          <w:b w:val="0"/>
          <w:bCs w:val="0"/>
          <w:color w:val="auto"/>
          <w:spacing w:val="0"/>
          <w:w w:val="100"/>
          <w:kern w:val="21"/>
          <w:sz w:val="32"/>
          <w:szCs w:val="32"/>
          <w:highlight w:val="none"/>
          <w:u w:val="none"/>
          <w:lang w:val="en-US" w:eastAsia="zh-CN"/>
        </w:rPr>
        <w:t>粤港澳大湾区</w:t>
      </w:r>
      <w:r>
        <w:rPr>
          <w:rFonts w:hint="eastAsia" w:ascii="仿宋_GB2312" w:hAnsi="仿宋_GB2312" w:eastAsia="仿宋_GB2312" w:cs="仿宋_GB2312"/>
          <w:b w:val="0"/>
          <w:bCs w:val="0"/>
          <w:color w:val="auto"/>
          <w:spacing w:val="0"/>
          <w:w w:val="100"/>
          <w:kern w:val="21"/>
          <w:sz w:val="32"/>
          <w:szCs w:val="32"/>
          <w:highlight w:val="none"/>
          <w:u w:val="none"/>
        </w:rPr>
        <w:t>等地区的交流沟通，聚焦重点产业领域，加强产业链合作，推进一批区域互联共建项目。坚持和完善东西部协作制度，按照优势互补、双向赋能原则，深化产业合作、人才对接、医疗教育对口</w:t>
      </w:r>
      <w:r>
        <w:rPr>
          <w:rFonts w:hint="eastAsia" w:ascii="仿宋_GB2312" w:hAnsi="仿宋_GB2312" w:eastAsia="仿宋_GB2312" w:cs="仿宋_GB2312"/>
          <w:b w:val="0"/>
          <w:bCs w:val="0"/>
          <w:color w:val="auto"/>
          <w:spacing w:val="0"/>
          <w:w w:val="100"/>
          <w:kern w:val="21"/>
          <w:sz w:val="32"/>
          <w:szCs w:val="32"/>
          <w:highlight w:val="none"/>
          <w:u w:val="none"/>
          <w:lang w:eastAsia="zh-CN"/>
        </w:rPr>
        <w:t>帮扶</w:t>
      </w:r>
      <w:r>
        <w:rPr>
          <w:rFonts w:hint="eastAsia" w:ascii="仿宋_GB2312" w:hAnsi="仿宋_GB2312" w:eastAsia="仿宋_GB2312" w:cs="仿宋_GB2312"/>
          <w:b w:val="0"/>
          <w:bCs w:val="0"/>
          <w:color w:val="auto"/>
          <w:spacing w:val="0"/>
          <w:w w:val="100"/>
          <w:kern w:val="21"/>
          <w:sz w:val="32"/>
          <w:szCs w:val="32"/>
          <w:highlight w:val="none"/>
          <w:u w:val="none"/>
        </w:rPr>
        <w:t>等多领域协作交流，推动东西部协作工作取得新的更大成效。</w:t>
      </w:r>
    </w:p>
    <w:p>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0" w:firstLineChars="0"/>
        <w:jc w:val="left"/>
        <w:textAlignment w:val="auto"/>
        <w:outlineLvl w:val="9"/>
        <w:rPr>
          <w:rFonts w:hint="default" w:ascii="仿宋_GB2312" w:hAnsi="仿宋_GB2312" w:eastAsia="仿宋_GB2312" w:cs="仿宋_GB2312"/>
          <w:bCs w:val="0"/>
          <w:color w:val="auto"/>
          <w:kern w:val="2"/>
          <w:sz w:val="32"/>
          <w:szCs w:val="32"/>
          <w:highlight w:val="none"/>
          <w:u w:val="none"/>
          <w:lang w:val="en-US" w:eastAsia="zh-CN" w:bidi="ar-SA"/>
        </w:rPr>
      </w:pPr>
      <w:r>
        <w:rPr>
          <w:rFonts w:hint="default" w:ascii="仿宋_GB2312" w:hAnsi="仿宋_GB2312" w:eastAsia="仿宋_GB2312" w:cs="仿宋_GB2312"/>
          <w:bCs w:val="0"/>
          <w:color w:val="auto"/>
          <w:kern w:val="2"/>
          <w:sz w:val="32"/>
          <w:szCs w:val="32"/>
          <w:highlight w:val="none"/>
          <w:u w:val="none"/>
          <w:lang w:val="en-US" w:eastAsia="zh-CN" w:bidi="ar-SA"/>
        </w:rPr>
        <w:br w:type="page"/>
      </w:r>
    </w:p>
    <w:p>
      <w:pPr>
        <w:pStyle w:val="8"/>
        <w:keepNext w:val="0"/>
        <w:keepLines w:val="0"/>
        <w:pageBreakBefore w:val="0"/>
        <w:widowControl w:val="0"/>
        <w:kinsoku/>
        <w:wordWrap/>
        <w:overflowPunct/>
        <w:topLinePunct w:val="0"/>
        <w:autoSpaceDE/>
        <w:autoSpaceDN/>
        <w:bidi w:val="0"/>
        <w:adjustRightInd/>
        <w:snapToGrid/>
        <w:spacing w:before="313" w:beforeLines="100" w:beforeAutospacing="0" w:after="313" w:afterLines="100" w:afterAutospacing="0"/>
        <w:ind w:firstLineChars="200"/>
        <w:jc w:val="center"/>
        <w:textAlignment w:val="auto"/>
        <w:outlineLvl w:val="0"/>
        <w:rPr>
          <w:rFonts w:hint="eastAsia" w:ascii="方正小标宋简体" w:hAnsi="方正小标宋简体" w:eastAsia="方正小标宋简体" w:cs="方正小标宋简体"/>
          <w:bCs w:val="0"/>
          <w:color w:val="auto"/>
          <w:kern w:val="2"/>
          <w:sz w:val="44"/>
          <w:szCs w:val="44"/>
          <w:highlight w:val="none"/>
          <w:u w:val="none"/>
          <w:lang w:val="en-US" w:eastAsia="zh-CN" w:bidi="ar-SA"/>
        </w:rPr>
      </w:pPr>
      <w:bookmarkStart w:id="76" w:name="_Toc21087"/>
      <w:bookmarkStart w:id="77" w:name="_Toc5357"/>
      <w:bookmarkStart w:id="78" w:name="_Toc11593"/>
      <w:r>
        <w:rPr>
          <w:rFonts w:hint="eastAsia" w:ascii="方正小标宋简体" w:hAnsi="方正小标宋简体" w:eastAsia="方正小标宋简体" w:cs="方正小标宋简体"/>
          <w:bCs w:val="0"/>
          <w:color w:val="auto"/>
          <w:kern w:val="2"/>
          <w:sz w:val="44"/>
          <w:szCs w:val="44"/>
          <w:highlight w:val="none"/>
          <w:u w:val="none"/>
          <w:lang w:val="en-US" w:eastAsia="zh-CN" w:bidi="ar-SA"/>
        </w:rPr>
        <w:t>第八章  加快农业农村现代化，扎实推进乡村全面振兴</w:t>
      </w:r>
      <w:bookmarkEnd w:id="76"/>
      <w:bookmarkEnd w:id="77"/>
      <w:bookmarkEnd w:id="78"/>
    </w:p>
    <w:p>
      <w:pPr>
        <w:keepNext w:val="0"/>
        <w:keepLines w:val="0"/>
        <w:pageBreakBefore w:val="0"/>
        <w:widowControl w:val="0"/>
        <w:kinsoku/>
        <w:wordWrap/>
        <w:overflowPunct w:val="0"/>
        <w:topLinePunct w:val="0"/>
        <w:autoSpaceDE/>
        <w:autoSpaceDN/>
        <w:bidi w:val="0"/>
        <w:spacing w:line="600" w:lineRule="exact"/>
        <w:ind w:firstLine="640" w:firstLineChars="200"/>
        <w:textAlignment w:val="auto"/>
        <w:rPr>
          <w:rFonts w:hint="eastAsia" w:ascii="仿宋_GB2312" w:hAnsi="仿宋_GB2312" w:eastAsia="仿宋_GB2312" w:cs="Times New Roman"/>
          <w:color w:val="auto"/>
          <w:sz w:val="32"/>
          <w:szCs w:val="24"/>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放大</w:t>
      </w:r>
      <w:r>
        <w:rPr>
          <w:rFonts w:hint="eastAsia" w:ascii="仿宋_GB2312" w:hAnsi="仿宋_GB2312" w:eastAsia="仿宋_GB2312" w:cs="仿宋_GB2312"/>
          <w:color w:val="auto"/>
          <w:sz w:val="32"/>
          <w:szCs w:val="32"/>
          <w:highlight w:val="none"/>
          <w:lang w:val="en-US" w:eastAsia="zh-CN"/>
        </w:rPr>
        <w:t>国家乡村振兴示范县</w:t>
      </w:r>
      <w:r>
        <w:rPr>
          <w:rFonts w:hint="eastAsia" w:ascii="仿宋_GB2312" w:hAnsi="仿宋_GB2312" w:eastAsia="仿宋_GB2312" w:cs="仿宋_GB2312"/>
          <w:b w:val="0"/>
          <w:bCs/>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省级现代农业强县</w:t>
      </w:r>
      <w:r>
        <w:rPr>
          <w:rFonts w:hint="eastAsia" w:ascii="仿宋_GB2312" w:hAnsi="仿宋_GB2312" w:eastAsia="仿宋_GB2312" w:cs="仿宋_GB2312"/>
          <w:b w:val="0"/>
          <w:bCs/>
          <w:color w:val="auto"/>
          <w:sz w:val="32"/>
          <w:szCs w:val="32"/>
          <w:highlight w:val="none"/>
          <w:lang w:val="en-US" w:eastAsia="zh-CN"/>
        </w:rPr>
        <w:t>优势</w:t>
      </w:r>
      <w:r>
        <w:rPr>
          <w:rFonts w:hint="eastAsia" w:ascii="仿宋_GB2312" w:hAnsi="仿宋_GB2312" w:eastAsia="仿宋_GB2312" w:cs="Times New Roman"/>
          <w:color w:val="auto"/>
          <w:sz w:val="32"/>
          <w:szCs w:val="24"/>
          <w:highlight w:val="none"/>
          <w:lang w:val="en-US" w:eastAsia="zh-CN"/>
        </w:rPr>
        <w:t>，统筹推进高质高效现代农业发展、宜居宜业和美乡村建设、城乡融合体制机制创新，实施乡村振兴“十链强基、百村示范、千人领航”高质量发展工程，夯实“三农”发展根基，构建“农业强、农村美、农民富”的全新发展格局。</w:t>
      </w:r>
    </w:p>
    <w:p>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600" w:lineRule="exact"/>
        <w:ind w:left="0" w:leftChars="0" w:firstLine="0" w:firstLineChars="0"/>
        <w:jc w:val="center"/>
        <w:textAlignment w:val="auto"/>
        <w:outlineLvl w:val="1"/>
        <w:rPr>
          <w:rFonts w:hint="eastAsia" w:ascii="文星标宋" w:hAnsi="文星标宋" w:eastAsia="文星标宋" w:cs="文星标宋"/>
          <w:b w:val="0"/>
          <w:bCs/>
          <w:color w:val="auto"/>
          <w:kern w:val="0"/>
          <w:sz w:val="32"/>
          <w:szCs w:val="32"/>
          <w:highlight w:val="none"/>
          <w:lang w:val="en-US" w:eastAsia="zh-CN" w:bidi="ar"/>
        </w:rPr>
      </w:pPr>
      <w:bookmarkStart w:id="79" w:name="_Toc30673"/>
      <w:r>
        <w:rPr>
          <w:rFonts w:hint="eastAsia" w:ascii="文星标宋" w:hAnsi="文星标宋" w:eastAsia="文星标宋" w:cs="文星标宋"/>
          <w:b w:val="0"/>
          <w:bCs/>
          <w:color w:val="auto"/>
          <w:kern w:val="0"/>
          <w:sz w:val="32"/>
          <w:szCs w:val="32"/>
          <w:highlight w:val="none"/>
          <w:lang w:val="en-US" w:eastAsia="zh-CN" w:bidi="ar"/>
        </w:rPr>
        <w:t xml:space="preserve">第一节  </w:t>
      </w:r>
      <w:bookmarkEnd w:id="65"/>
      <w:r>
        <w:rPr>
          <w:rFonts w:hint="eastAsia" w:ascii="文星标宋" w:hAnsi="文星标宋" w:eastAsia="文星标宋" w:cs="文星标宋"/>
          <w:b w:val="0"/>
          <w:bCs/>
          <w:color w:val="auto"/>
          <w:kern w:val="0"/>
          <w:sz w:val="32"/>
          <w:szCs w:val="32"/>
          <w:highlight w:val="none"/>
          <w:lang w:val="en-US" w:eastAsia="zh-CN" w:bidi="ar"/>
        </w:rPr>
        <w:t>提升农业综合生产能力和质量效益</w:t>
      </w:r>
      <w:bookmarkEnd w:id="79"/>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rPr>
      </w:pPr>
      <w:bookmarkStart w:id="80" w:name="_Toc40"/>
      <w:r>
        <w:rPr>
          <w:rFonts w:hint="eastAsia" w:ascii="黑体" w:hAnsi="黑体" w:eastAsia="黑体" w:cs="黑体"/>
          <w:b w:val="0"/>
          <w:bCs w:val="0"/>
          <w:color w:val="auto"/>
          <w:sz w:val="32"/>
          <w:szCs w:val="32"/>
          <w:highlight w:val="none"/>
          <w:lang w:val="en-US" w:eastAsia="zh-CN"/>
        </w:rPr>
        <w:t>一、全方位夯实粮食安全根基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trike w:val="0"/>
          <w:dstrike w:val="0"/>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严守国家粮食安全底线，严把耕地保护红线，深入实施主要粮油作物“双提双减”促大面积单产提升行动，</w:t>
      </w:r>
      <w:r>
        <w:rPr>
          <w:rFonts w:hint="eastAsia" w:ascii="仿宋_GB2312" w:hAnsi="仿宋_GB2312" w:eastAsia="仿宋_GB2312" w:cs="仿宋_GB2312"/>
          <w:b w:val="0"/>
          <w:bCs w:val="0"/>
          <w:color w:val="auto"/>
          <w:sz w:val="32"/>
          <w:szCs w:val="32"/>
          <w:highlight w:val="none"/>
          <w:lang w:val="en-US" w:eastAsia="zh-CN"/>
        </w:rPr>
        <w:t>促进良种良田良机良法集成增效，加强农业防灾减灾能力建设，持续做好农作物病虫害监测和防控工作，高质量完成高标准农田建设任务，强化农机设施装备支撑，推动主要农作物生产全程机械化，</w:t>
      </w:r>
      <w:r>
        <w:rPr>
          <w:rFonts w:hint="eastAsia" w:ascii="仿宋_GB2312" w:hAnsi="仿宋_GB2312" w:eastAsia="仿宋_GB2312" w:cs="仿宋_GB2312"/>
          <w:color w:val="auto"/>
          <w:sz w:val="32"/>
          <w:szCs w:val="32"/>
          <w:highlight w:val="none"/>
          <w:lang w:val="en-US" w:eastAsia="zh-CN"/>
        </w:rPr>
        <w:t>稳定粮食播种面积，主攻单产和品质提升，实现粮食稳产丰产，确保粮食播种面积稳定在161万亩左右，粮食总产稳定在</w:t>
      </w:r>
      <w:r>
        <w:rPr>
          <w:rFonts w:hint="eastAsia" w:ascii="仿宋_GB2312" w:hAnsi="仿宋_GB2312" w:eastAsia="仿宋_GB2312" w:cs="仿宋_GB2312"/>
          <w:b w:val="0"/>
          <w:bCs w:val="0"/>
          <w:strike w:val="0"/>
          <w:dstrike w:val="0"/>
          <w:color w:val="auto"/>
          <w:sz w:val="32"/>
          <w:szCs w:val="32"/>
          <w:highlight w:val="none"/>
          <w:lang w:val="en-US" w:eastAsia="zh-CN"/>
        </w:rPr>
        <w:t>64万吨</w:t>
      </w:r>
      <w:r>
        <w:rPr>
          <w:rFonts w:hint="eastAsia" w:ascii="仿宋_GB2312" w:hAnsi="仿宋_GB2312" w:eastAsia="仿宋_GB2312" w:cs="仿宋_GB2312"/>
          <w:color w:val="auto"/>
          <w:sz w:val="32"/>
          <w:szCs w:val="32"/>
          <w:highlight w:val="none"/>
          <w:lang w:val="en-US" w:eastAsia="zh-CN"/>
        </w:rPr>
        <w:t>以上。</w:t>
      </w:r>
      <w:r>
        <w:rPr>
          <w:rFonts w:hint="eastAsia" w:ascii="仿宋_GB2312" w:hAnsi="仿宋_GB2312" w:eastAsia="仿宋_GB2312" w:cs="仿宋_GB2312"/>
          <w:b w:val="0"/>
          <w:bCs w:val="0"/>
          <w:strike w:val="0"/>
          <w:dstrike w:val="0"/>
          <w:color w:val="auto"/>
          <w:sz w:val="32"/>
          <w:szCs w:val="32"/>
          <w:highlight w:val="none"/>
          <w:lang w:val="en-US" w:eastAsia="zh-CN"/>
        </w:rPr>
        <w:t>因地制宜发展农业新质生产力，扩大人工智能、低空经济、智慧农业等应用场景。</w:t>
      </w:r>
      <w:r>
        <w:rPr>
          <w:rFonts w:hint="eastAsia" w:ascii="仿宋_GB2312" w:hAnsi="仿宋_GB2312" w:eastAsia="仿宋_GB2312" w:cs="仿宋_GB2312"/>
          <w:b w:val="0"/>
          <w:bCs w:val="0"/>
          <w:strike w:val="0"/>
          <w:dstrike w:val="0"/>
          <w:color w:val="auto"/>
          <w:sz w:val="32"/>
          <w:szCs w:val="32"/>
          <w:highlight w:val="none"/>
          <w:lang w:eastAsia="zh-CN"/>
        </w:rPr>
        <w:t>深入实施种业振兴行动，</w:t>
      </w:r>
      <w:r>
        <w:rPr>
          <w:rFonts w:hint="eastAsia" w:ascii="仿宋_GB2312" w:hAnsi="仿宋_GB2312" w:eastAsia="仿宋_GB2312" w:cs="仿宋_GB2312"/>
          <w:color w:val="auto"/>
          <w:sz w:val="32"/>
          <w:szCs w:val="32"/>
          <w:highlight w:val="none"/>
        </w:rPr>
        <w:t>依托省市农科院、齐鲁师范等科研基地平台，打造种业研发高地，力争2030年</w:t>
      </w:r>
      <w:r>
        <w:rPr>
          <w:rFonts w:hint="eastAsia" w:ascii="仿宋_GB2312" w:hAnsi="仿宋_GB2312" w:eastAsia="仿宋_GB2312" w:cs="仿宋_GB2312"/>
          <w:b w:val="0"/>
          <w:bCs w:val="0"/>
          <w:color w:val="auto"/>
          <w:sz w:val="32"/>
          <w:szCs w:val="32"/>
          <w:highlight w:val="none"/>
        </w:rPr>
        <w:t>建成</w:t>
      </w:r>
      <w:r>
        <w:rPr>
          <w:rFonts w:hint="eastAsia" w:ascii="仿宋_GB2312" w:hAnsi="仿宋_GB2312" w:eastAsia="仿宋_GB2312" w:cs="仿宋_GB2312"/>
          <w:b w:val="0"/>
          <w:bCs w:val="0"/>
          <w:color w:val="auto"/>
          <w:sz w:val="32"/>
          <w:szCs w:val="32"/>
          <w:highlight w:val="none"/>
          <w:lang w:val="en-US" w:eastAsia="zh-CN"/>
        </w:rPr>
        <w:t>3</w:t>
      </w:r>
      <w:r>
        <w:rPr>
          <w:rFonts w:hint="eastAsia" w:ascii="仿宋_GB2312" w:hAnsi="仿宋_GB2312" w:eastAsia="仿宋_GB2312" w:cs="仿宋_GB2312"/>
          <w:b w:val="0"/>
          <w:bCs w:val="0"/>
          <w:color w:val="auto"/>
          <w:sz w:val="32"/>
          <w:szCs w:val="32"/>
          <w:highlight w:val="none"/>
        </w:rPr>
        <w:t>万亩标准化良种繁育基地</w:t>
      </w:r>
      <w:r>
        <w:rPr>
          <w:rFonts w:hint="eastAsia" w:ascii="仿宋_GB2312" w:hAnsi="仿宋_GB2312" w:eastAsia="仿宋_GB2312" w:cs="仿宋_GB2312"/>
          <w:b w:val="0"/>
          <w:bCs w:val="0"/>
          <w:color w:val="auto"/>
          <w:sz w:val="32"/>
          <w:szCs w:val="32"/>
          <w:highlight w:val="none"/>
          <w:lang w:eastAsia="zh-CN"/>
        </w:rPr>
        <w:t>，配套智能灌溉、无人机植保等设施，实现良种覆盖率100%。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二、加强粮食和物资储备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严格落实粮食安全责任制，强化储备粮管理，增强粮食安全和战略应急物资储备。加强山东供销济南智慧农贸城信息化建设和应用，推进科技储粮、绿色储粮，提升粮库智能化、信息化水平。坚持政府主导、社会共建、多元互补，健全实物和产能、政府和企业储备相结合的储备机制，优化重要物资产能保障和区域布局，分类分级落实储备责任，完善储备模式，创新储备管理机制。加强与科研院所合作，提升农作物加工水平，打造章丘粮食品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楷体_GB2312" w:hAnsi="楷体_GB2312" w:eastAsia="楷体_GB2312" w:cs="楷体_GB2312"/>
          <w:b w:val="0"/>
          <w:bCs w:val="0"/>
          <w:strike w:val="0"/>
          <w:dstrike w:val="0"/>
          <w:color w:val="auto"/>
          <w:spacing w:val="0"/>
          <w:kern w:val="2"/>
          <w:sz w:val="32"/>
          <w:szCs w:val="32"/>
          <w:highlight w:val="none"/>
          <w:lang w:val="en-US" w:eastAsia="zh-CN" w:bidi="ar-SA"/>
        </w:rPr>
      </w:pPr>
      <w:r>
        <w:rPr>
          <w:rFonts w:hint="eastAsia" w:ascii="楷体_GB2312" w:hAnsi="楷体_GB2312" w:eastAsia="楷体_GB2312" w:cs="楷体_GB2312"/>
          <w:b w:val="0"/>
          <w:bCs w:val="0"/>
          <w:strike w:val="0"/>
          <w:dstrike w:val="0"/>
          <w:color w:val="auto"/>
          <w:spacing w:val="0"/>
          <w:kern w:val="2"/>
          <w:sz w:val="32"/>
          <w:szCs w:val="32"/>
          <w:highlight w:val="none"/>
          <w:lang w:val="en-US" w:eastAsia="zh-CN" w:bidi="ar-SA"/>
        </w:rPr>
        <w:t>三、持续增强重要农产品供给保障能力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trike w:val="0"/>
          <w:dstrike w:val="0"/>
          <w:color w:val="auto"/>
          <w:spacing w:val="0"/>
          <w:kern w:val="2"/>
          <w:sz w:val="32"/>
          <w:szCs w:val="32"/>
          <w:highlight w:val="none"/>
          <w:lang w:val="en-US" w:eastAsia="zh-CN" w:bidi="ar-SA"/>
        </w:rPr>
      </w:pPr>
      <w:r>
        <w:rPr>
          <w:rFonts w:hint="eastAsia" w:ascii="仿宋_GB2312" w:hAnsi="仿宋_GB2312" w:eastAsia="仿宋_GB2312" w:cs="仿宋_GB2312"/>
          <w:b w:val="0"/>
          <w:bCs w:val="0"/>
          <w:strike w:val="0"/>
          <w:dstrike w:val="0"/>
          <w:color w:val="auto"/>
          <w:spacing w:val="0"/>
          <w:kern w:val="2"/>
          <w:sz w:val="32"/>
          <w:szCs w:val="32"/>
          <w:highlight w:val="none"/>
          <w:lang w:val="en-US" w:eastAsia="zh-CN" w:bidi="ar-SA"/>
        </w:rPr>
        <w:t>坚持农林牧渔业并举，构建多元化食物供给体系。加强蔬菜、食用菌标准化基地建设，发展林下经济和立体复合种植，推进现代畜牧业和现代渔业高质量发展，因地制宜发展现代设施农业。瓜果菜菌、鱼肉蛋奶产量分别稳定在220万吨、12万吨以上，实现农林牧渔业稳定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四、全链条做强特色产业发展引擎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trike w:val="0"/>
          <w:dstrike w:val="0"/>
          <w:color w:val="auto"/>
          <w:spacing w:val="0"/>
          <w:kern w:val="2"/>
          <w:sz w:val="32"/>
          <w:szCs w:val="32"/>
          <w:highlight w:val="none"/>
          <w:lang w:val="en-US" w:eastAsia="zh-CN" w:bidi="ar-SA"/>
        </w:rPr>
      </w:pPr>
      <w:r>
        <w:rPr>
          <w:rFonts w:hint="eastAsia" w:ascii="仿宋_GB2312" w:hAnsi="仿宋_GB2312" w:eastAsia="仿宋_GB2312" w:cs="仿宋_GB2312"/>
          <w:b w:val="0"/>
          <w:bCs w:val="0"/>
          <w:strike w:val="0"/>
          <w:dstrike w:val="0"/>
          <w:color w:val="auto"/>
          <w:spacing w:val="0"/>
          <w:kern w:val="2"/>
          <w:sz w:val="32"/>
          <w:szCs w:val="32"/>
          <w:highlight w:val="none"/>
          <w:lang w:val="en-US" w:eastAsia="zh-CN" w:bidi="ar-SA"/>
        </w:rPr>
        <w:t>实施“一村一业、一村一策”和</w:t>
      </w:r>
      <w:r>
        <w:rPr>
          <w:rFonts w:hint="eastAsia" w:ascii="仿宋_GB2312" w:hAnsi="仿宋_GB2312" w:eastAsia="仿宋_GB2312" w:cs="仿宋_GB2312"/>
          <w:b w:val="0"/>
          <w:bCs w:val="0"/>
          <w:strike w:val="0"/>
          <w:dstrike w:val="0"/>
          <w:color w:val="auto"/>
          <w:sz w:val="32"/>
          <w:szCs w:val="32"/>
          <w:highlight w:val="none"/>
          <w:lang w:val="en-US" w:eastAsia="zh-CN"/>
        </w:rPr>
        <w:t>农业产业“接二连三”工程，</w:t>
      </w:r>
      <w:r>
        <w:rPr>
          <w:rFonts w:hint="eastAsia" w:ascii="仿宋_GB2312" w:hAnsi="仿宋_GB2312" w:eastAsia="仿宋_GB2312" w:cs="仿宋_GB2312"/>
          <w:b w:val="0"/>
          <w:bCs w:val="0"/>
          <w:color w:val="auto"/>
          <w:sz w:val="32"/>
          <w:szCs w:val="32"/>
          <w:highlight w:val="none"/>
          <w:lang w:val="en-US" w:eastAsia="zh-CN"/>
        </w:rPr>
        <w:t>招商谋划现代设施农业、农产品精深加工、三产融合发展等项目。</w:t>
      </w:r>
      <w:r>
        <w:rPr>
          <w:rFonts w:hint="eastAsia" w:ascii="仿宋_GB2312" w:hAnsi="仿宋_GB2312" w:eastAsia="仿宋_GB2312" w:cs="仿宋_GB2312"/>
          <w:b w:val="0"/>
          <w:bCs w:val="0"/>
          <w:strike w:val="0"/>
          <w:dstrike w:val="0"/>
          <w:color w:val="auto"/>
          <w:spacing w:val="0"/>
          <w:kern w:val="2"/>
          <w:sz w:val="32"/>
          <w:szCs w:val="32"/>
          <w:highlight w:val="none"/>
          <w:lang w:val="en-US" w:eastAsia="zh-CN" w:bidi="ar-SA"/>
        </w:rPr>
        <w:t>巩固章丘大葱核心种植区规模，扩大鲍家芹菜、高官甜瓜、珍稀菌菇等特色瓜菜种植规模。推动高端畜牧产业发展，打造章丘鸡蛋、特色黑猪、章丘蜂蜜、章丘肉牛四大产业链，构建高端畜牧产业体系。</w:t>
      </w:r>
      <w:r>
        <w:rPr>
          <w:rFonts w:hint="eastAsia" w:ascii="仿宋_GB2312" w:hAnsi="仿宋_GB2312" w:eastAsia="仿宋_GB2312" w:cs="仿宋_GB2312"/>
          <w:color w:val="auto"/>
          <w:sz w:val="32"/>
          <w:szCs w:val="32"/>
          <w:highlight w:val="none"/>
        </w:rPr>
        <w:t>以章丘绣惠锦鲤产业园区为主体，打造锦鲤产业融合发展区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 w:val="0"/>
          <w:bCs w:val="0"/>
          <w:strike w:val="0"/>
          <w:dstrike w:val="0"/>
          <w:color w:val="auto"/>
          <w:spacing w:val="0"/>
          <w:kern w:val="2"/>
          <w:sz w:val="32"/>
          <w:szCs w:val="32"/>
          <w:highlight w:val="none"/>
          <w:lang w:val="en-US" w:eastAsia="zh-CN" w:bidi="ar-SA"/>
        </w:rPr>
        <w:t>加快发展种苗、食用菌产业，推广集约化嫁接育苗技术，建设食用菌菌种三级扩繁体系（母种—原种—栽培种）。</w:t>
      </w:r>
    </w:p>
    <w:p>
      <w:pPr>
        <w:pStyle w:val="19"/>
        <w:rPr>
          <w:rFonts w:hint="eastAsia"/>
          <w:color w:val="auto"/>
          <w:highlight w:val="none"/>
          <w:lang w:val="en-US" w:eastAsia="zh-CN"/>
        </w:rPr>
      </w:pPr>
    </w:p>
    <w:tbl>
      <w:tblPr>
        <w:tblStyle w:val="16"/>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noWrap w:val="0"/>
            <w:vAlign w:val="top"/>
          </w:tcPr>
          <w:p>
            <w:pPr>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Lines="-2147483648" w:afterAutospacing="0" w:line="480" w:lineRule="exact"/>
              <w:ind w:left="0" w:right="0" w:firstLine="0" w:firstLineChars="0"/>
              <w:jc w:val="center"/>
              <w:textAlignment w:val="auto"/>
              <w:outlineLvl w:val="9"/>
              <w:rPr>
                <w:rFonts w:hint="eastAsia" w:ascii="楷体_GB2312" w:hAnsi="楷体_GB2312" w:eastAsia="楷体_GB2312" w:cs="楷体_GB2312"/>
                <w:color w:val="auto"/>
                <w:sz w:val="28"/>
                <w:szCs w:val="28"/>
                <w:highlight w:val="none"/>
                <w:lang w:val="zh-CN" w:eastAsia="zh-CN"/>
              </w:rPr>
            </w:pPr>
            <w:r>
              <w:rPr>
                <w:rFonts w:hint="eastAsia" w:ascii="楷体_GB2312" w:hAnsi="楷体_GB2312" w:eastAsia="楷体_GB2312" w:cs="楷体_GB2312"/>
                <w:b w:val="0"/>
                <w:bCs w:val="0"/>
                <w:color w:val="auto"/>
                <w:sz w:val="28"/>
                <w:szCs w:val="28"/>
                <w:highlight w:val="none"/>
                <w:lang w:val="zh-CN"/>
              </w:rPr>
              <w:t>专栏</w:t>
            </w:r>
            <w:r>
              <w:rPr>
                <w:rFonts w:hint="eastAsia" w:ascii="楷体_GB2312" w:hAnsi="楷体_GB2312" w:eastAsia="楷体_GB2312" w:cs="楷体_GB2312"/>
                <w:b w:val="0"/>
                <w:bCs w:val="0"/>
                <w:color w:val="auto"/>
                <w:sz w:val="28"/>
                <w:szCs w:val="28"/>
                <w:highlight w:val="none"/>
                <w:lang w:val="zh-CN" w:eastAsia="zh-CN"/>
              </w:rPr>
              <w:t>1</w:t>
            </w:r>
            <w:r>
              <w:rPr>
                <w:rFonts w:hint="eastAsia" w:ascii="楷体_GB2312" w:hAnsi="楷体_GB2312" w:eastAsia="楷体_GB2312" w:cs="楷体_GB2312"/>
                <w:b w:val="0"/>
                <w:bCs w:val="0"/>
                <w:color w:val="auto"/>
                <w:sz w:val="28"/>
                <w:szCs w:val="28"/>
                <w:highlight w:val="none"/>
                <w:lang w:val="en-US" w:eastAsia="zh-CN"/>
              </w:rPr>
              <w:t>1</w:t>
            </w:r>
            <w:r>
              <w:rPr>
                <w:rFonts w:hint="eastAsia" w:ascii="楷体_GB2312" w:hAnsi="楷体_GB2312" w:eastAsia="楷体_GB2312" w:cs="楷体_GB2312"/>
                <w:b w:val="0"/>
                <w:bCs w:val="0"/>
                <w:color w:val="auto"/>
                <w:sz w:val="28"/>
                <w:szCs w:val="28"/>
                <w:highlight w:val="none"/>
                <w:lang w:val="zh-CN"/>
              </w:rPr>
              <w:t xml:space="preserve"> </w:t>
            </w:r>
            <w:r>
              <w:rPr>
                <w:rFonts w:hint="eastAsia" w:ascii="楷体_GB2312" w:hAnsi="楷体_GB2312" w:eastAsia="楷体_GB2312" w:cs="楷体_GB2312"/>
                <w:b w:val="0"/>
                <w:bCs w:val="0"/>
                <w:color w:val="auto"/>
                <w:sz w:val="28"/>
                <w:szCs w:val="28"/>
                <w:highlight w:val="none"/>
                <w:lang w:val="zh-CN" w:eastAsia="zh-CN"/>
              </w:rPr>
              <w:t xml:space="preserve"> </w:t>
            </w:r>
            <w:r>
              <w:rPr>
                <w:rFonts w:hint="eastAsia" w:ascii="楷体_GB2312" w:hAnsi="楷体_GB2312" w:eastAsia="楷体_GB2312" w:cs="楷体_GB2312"/>
                <w:color w:val="auto"/>
                <w:sz w:val="28"/>
                <w:szCs w:val="28"/>
                <w:highlight w:val="none"/>
                <w:lang w:val="zh-CN"/>
              </w:rPr>
              <w:t>“十链强基、百村示范、千人领航”高质量发展工程</w:t>
            </w:r>
          </w:p>
          <w:p>
            <w:pPr>
              <w:pStyle w:val="5"/>
              <w:keepNext w:val="0"/>
              <w:keepLines w:val="0"/>
              <w:pageBreakBefore w:val="0"/>
              <w:widowControl w:val="0"/>
              <w:suppressLineNumbers w:val="0"/>
              <w:kinsoku/>
              <w:wordWrap/>
              <w:topLinePunct w:val="0"/>
              <w:autoSpaceDE/>
              <w:autoSpaceDN/>
              <w:bidi w:val="0"/>
              <w:spacing w:before="0" w:beforeAutospacing="0" w:after="0" w:afterAutospacing="0" w:line="480" w:lineRule="exact"/>
              <w:ind w:left="0" w:right="0" w:firstLine="560" w:firstLineChars="200"/>
              <w:textAlignment w:val="auto"/>
              <w:rPr>
                <w:rFonts w:hint="eastAsia" w:ascii="楷体_GB2312" w:hAnsi="楷体_GB2312" w:eastAsia="楷体_GB2312" w:cs="楷体_GB2312"/>
                <w:color w:val="auto"/>
                <w:sz w:val="28"/>
                <w:szCs w:val="28"/>
                <w:highlight w:val="none"/>
                <w:lang w:val="en-US" w:eastAsia="zh-CN"/>
              </w:rPr>
            </w:pPr>
            <w:r>
              <w:rPr>
                <w:rFonts w:hint="eastAsia" w:ascii="楷体_GB2312" w:hAnsi="楷体_GB2312" w:eastAsia="楷体_GB2312" w:cs="楷体_GB2312"/>
                <w:color w:val="auto"/>
                <w:sz w:val="28"/>
                <w:szCs w:val="28"/>
                <w:highlight w:val="none"/>
                <w:lang w:val="en-US" w:eastAsia="zh-CN"/>
              </w:rPr>
              <w:t>1.“十链强基”：全力推动粮油食品、现代种业、高端畜牧、精致果蔬、章丘大葱、花卉药菌、龙山小米、高官甜瓜、农化服务、乡村旅游等十条产业链做大做强，促进三产融合发展。</w:t>
            </w:r>
          </w:p>
          <w:p>
            <w:pPr>
              <w:pStyle w:val="5"/>
              <w:keepNext w:val="0"/>
              <w:keepLines w:val="0"/>
              <w:pageBreakBefore w:val="0"/>
              <w:widowControl w:val="0"/>
              <w:suppressLineNumbers w:val="0"/>
              <w:kinsoku/>
              <w:wordWrap/>
              <w:topLinePunct w:val="0"/>
              <w:autoSpaceDE/>
              <w:autoSpaceDN/>
              <w:bidi w:val="0"/>
              <w:spacing w:before="0" w:beforeAutospacing="0" w:after="0" w:afterAutospacing="0" w:line="480" w:lineRule="exact"/>
              <w:ind w:left="0" w:right="0" w:firstLine="560" w:firstLineChars="200"/>
              <w:textAlignment w:val="auto"/>
              <w:rPr>
                <w:rFonts w:hint="eastAsia" w:ascii="楷体_GB2312" w:hAnsi="楷体_GB2312" w:eastAsia="楷体_GB2312" w:cs="楷体_GB2312"/>
                <w:color w:val="auto"/>
                <w:sz w:val="28"/>
                <w:szCs w:val="28"/>
                <w:highlight w:val="none"/>
                <w:lang w:val="en-US" w:eastAsia="zh-CN"/>
              </w:rPr>
            </w:pPr>
            <w:r>
              <w:rPr>
                <w:rFonts w:hint="eastAsia" w:ascii="楷体_GB2312" w:hAnsi="楷体_GB2312" w:eastAsia="楷体_GB2312" w:cs="楷体_GB2312"/>
                <w:color w:val="auto"/>
                <w:sz w:val="28"/>
                <w:szCs w:val="28"/>
                <w:highlight w:val="none"/>
                <w:lang w:val="en-US" w:eastAsia="zh-CN"/>
              </w:rPr>
              <w:t>2.“百村示范”：根据资源禀赋和发展基础，以片区化建设为抓手，对全区行政村进行差异化打造，到2030年，建设100个左右的示范村、特色村，在农文旅融合、城乡融合、产业带动、以工促农、文化传承、有效治理、发展新型集体经济等方面起到示范引领作用，带动全区村庄整体提升。</w:t>
            </w:r>
          </w:p>
          <w:p>
            <w:pPr>
              <w:pStyle w:val="5"/>
              <w:keepNext w:val="0"/>
              <w:keepLines w:val="0"/>
              <w:pageBreakBefore w:val="0"/>
              <w:widowControl w:val="0"/>
              <w:suppressLineNumbers w:val="0"/>
              <w:kinsoku/>
              <w:wordWrap/>
              <w:topLinePunct w:val="0"/>
              <w:autoSpaceDE/>
              <w:autoSpaceDN/>
              <w:bidi w:val="0"/>
              <w:spacing w:before="0" w:beforeAutospacing="0" w:after="0" w:afterAutospacing="0" w:line="480" w:lineRule="exact"/>
              <w:ind w:left="0" w:right="0" w:firstLine="560" w:firstLineChars="200"/>
              <w:textAlignment w:val="auto"/>
              <w:rPr>
                <w:rFonts w:hint="default"/>
                <w:color w:val="auto"/>
                <w:highlight w:val="none"/>
                <w:lang w:val="en-US" w:eastAsia="zh-CN"/>
              </w:rPr>
            </w:pPr>
            <w:r>
              <w:rPr>
                <w:rFonts w:hint="eastAsia" w:ascii="楷体_GB2312" w:hAnsi="楷体_GB2312" w:eastAsia="楷体_GB2312" w:cs="楷体_GB2312"/>
                <w:color w:val="auto"/>
                <w:sz w:val="28"/>
                <w:szCs w:val="28"/>
                <w:highlight w:val="none"/>
                <w:lang w:val="en-US" w:eastAsia="zh-CN"/>
              </w:rPr>
              <w:t>3.“千人领航”：“十五五”期间，每年重点培育200名左右的农村优秀实用人才。主要面向长期扎根章丘从事农、林、牧、渔适度规模生产经营的高素质农民、家庭农场生产经营者、农民专业合作社人员、农村集体经济组织和农业龙头企业经营人员、农村手工艺者、民间艺人、技术能手、在乡返乡下乡回乡创新创业带头人、涉农电商营销人员及从事乡村治理工作人员，全面激活人才引擎，壮大乡村振兴力量。</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五、完善现代农业经营体系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培育壮大新型农业经营主体，加强对农业重点产业、产业链重点环节的扶持培育。引导企业、农民合作社、家庭农场与农户等紧密联合与合作，让农民享有更多产业增值收益。健全农业社会化服务体系，着力提升农业发展韧性，提升农产品预冷烘干、储藏保鲜等能力。建设布局科学、运营规范、服务优质、联农带农的现代农事综合服务中心，促进小农户与现代农业发展有机衔接。加大农业品牌建设力度，拓展品牌农产品线上线下销售渠道，培养一批电商基地、网络直播和新农人，不断扩大章丘农产品的知名度和影响力。到2030年，济南市级农产品区域公用品牌“泉水人家”授权企业达到30家、产品达到70个以上。</w:t>
      </w:r>
    </w:p>
    <w:tbl>
      <w:tblPr>
        <w:tblStyle w:val="16"/>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noWrap w:val="0"/>
            <w:vAlign w:val="top"/>
          </w:tcPr>
          <w:p>
            <w:pPr>
              <w:keepNext w:val="0"/>
              <w:keepLines w:val="0"/>
              <w:pageBreakBefore w:val="0"/>
              <w:widowControl/>
              <w:suppressLineNumbers w:val="0"/>
              <w:kinsoku/>
              <w:wordWrap/>
              <w:overflowPunct w:val="0"/>
              <w:topLinePunct w:val="0"/>
              <w:autoSpaceDE/>
              <w:autoSpaceDN/>
              <w:bidi w:val="0"/>
              <w:adjustRightInd/>
              <w:snapToGrid/>
              <w:spacing w:before="0" w:beforeAutospacing="0" w:afterAutospacing="0" w:line="460" w:lineRule="exact"/>
              <w:ind w:left="0" w:right="0" w:firstLine="0" w:firstLineChars="0"/>
              <w:jc w:val="center"/>
              <w:textAlignment w:val="auto"/>
              <w:outlineLvl w:val="9"/>
              <w:rPr>
                <w:rFonts w:hint="eastAsia" w:ascii="楷体_GB2312" w:hAnsi="楷体_GB2312" w:eastAsia="楷体_GB2312" w:cs="楷体_GB2312"/>
                <w:b w:val="0"/>
                <w:bCs w:val="0"/>
                <w:color w:val="auto"/>
                <w:sz w:val="28"/>
                <w:szCs w:val="28"/>
                <w:highlight w:val="none"/>
                <w:u w:val="none"/>
                <w:lang w:val="en-US"/>
              </w:rPr>
            </w:pPr>
            <w:r>
              <w:rPr>
                <w:rFonts w:hint="eastAsia" w:ascii="楷体_GB2312" w:hAnsi="楷体_GB2312" w:eastAsia="楷体_GB2312" w:cs="楷体_GB2312"/>
                <w:b w:val="0"/>
                <w:bCs w:val="0"/>
                <w:color w:val="auto"/>
                <w:sz w:val="28"/>
                <w:szCs w:val="28"/>
                <w:highlight w:val="none"/>
                <w:u w:val="none"/>
                <w:lang w:val="en-US"/>
              </w:rPr>
              <w:t>专栏</w:t>
            </w:r>
            <w:r>
              <w:rPr>
                <w:rFonts w:hint="eastAsia" w:ascii="楷体_GB2312" w:hAnsi="楷体_GB2312" w:eastAsia="楷体_GB2312" w:cs="楷体_GB2312"/>
                <w:b w:val="0"/>
                <w:bCs w:val="0"/>
                <w:color w:val="auto"/>
                <w:sz w:val="28"/>
                <w:szCs w:val="28"/>
                <w:highlight w:val="none"/>
                <w:u w:val="none"/>
                <w:lang w:val="en-US" w:eastAsia="zh-CN"/>
              </w:rPr>
              <w:t>12  全域乡村振兴发展空间布局</w:t>
            </w:r>
          </w:p>
          <w:p>
            <w:pPr>
              <w:keepNext w:val="0"/>
              <w:keepLines w:val="0"/>
              <w:pageBreakBefore w:val="0"/>
              <w:kinsoku/>
              <w:wordWrap/>
              <w:overflowPunct w:val="0"/>
              <w:topLinePunct w:val="0"/>
              <w:autoSpaceDE/>
              <w:autoSpaceDN/>
              <w:bidi w:val="0"/>
              <w:adjustRightInd/>
              <w:snapToGrid/>
              <w:spacing w:before="0" w:afterAutospacing="0" w:line="460" w:lineRule="exact"/>
              <w:ind w:firstLine="560" w:firstLineChars="200"/>
              <w:textAlignment w:val="auto"/>
              <w:rPr>
                <w:rFonts w:hint="eastAsia" w:ascii="楷体_GB2312" w:hAnsi="楷体_GB2312" w:eastAsia="楷体_GB2312" w:cs="楷体_GB2312"/>
                <w:b w:val="0"/>
                <w:bCs w:val="0"/>
                <w:strike w:val="0"/>
                <w:dstrike w:val="0"/>
                <w:color w:val="auto"/>
                <w:spacing w:val="0"/>
                <w:kern w:val="2"/>
                <w:sz w:val="28"/>
                <w:szCs w:val="28"/>
                <w:highlight w:val="none"/>
                <w:u w:val="none"/>
                <w:lang w:val="en-US" w:eastAsia="zh-CN" w:bidi="ar-SA"/>
              </w:rPr>
            </w:pPr>
            <w:r>
              <w:rPr>
                <w:rFonts w:hint="eastAsia" w:ascii="楷体_GB2312" w:hAnsi="楷体_GB2312" w:eastAsia="楷体_GB2312" w:cs="楷体_GB2312"/>
                <w:b w:val="0"/>
                <w:bCs w:val="0"/>
                <w:strike w:val="0"/>
                <w:dstrike w:val="0"/>
                <w:color w:val="auto"/>
                <w:spacing w:val="0"/>
                <w:kern w:val="2"/>
                <w:sz w:val="28"/>
                <w:szCs w:val="28"/>
                <w:highlight w:val="none"/>
                <w:u w:val="none"/>
                <w:lang w:val="en-US" w:eastAsia="zh-CN" w:bidi="ar-SA"/>
              </w:rPr>
              <w:t>以示范片区创建为引领，坚持城乡融合促振兴、产业支撑促发展、党建引领促善治，形成“四区联动、整体推进”的泉韵章丘全域乡村振兴发展格局。</w:t>
            </w:r>
          </w:p>
          <w:p>
            <w:pPr>
              <w:keepNext w:val="0"/>
              <w:keepLines w:val="0"/>
              <w:pageBreakBefore w:val="0"/>
              <w:kinsoku/>
              <w:wordWrap/>
              <w:overflowPunct w:val="0"/>
              <w:topLinePunct w:val="0"/>
              <w:autoSpaceDE/>
              <w:autoSpaceDN/>
              <w:bidi w:val="0"/>
              <w:adjustRightInd/>
              <w:snapToGrid/>
              <w:spacing w:before="0" w:afterAutospacing="0" w:line="460" w:lineRule="exact"/>
              <w:ind w:firstLine="560" w:firstLineChars="200"/>
              <w:textAlignment w:val="auto"/>
              <w:rPr>
                <w:rFonts w:hint="eastAsia" w:ascii="楷体_GB2312" w:hAnsi="楷体_GB2312" w:eastAsia="楷体_GB2312" w:cs="楷体_GB2312"/>
                <w:b w:val="0"/>
                <w:bCs w:val="0"/>
                <w:strike w:val="0"/>
                <w:dstrike w:val="0"/>
                <w:color w:val="auto"/>
                <w:spacing w:val="0"/>
                <w:kern w:val="2"/>
                <w:sz w:val="28"/>
                <w:szCs w:val="28"/>
                <w:highlight w:val="none"/>
                <w:u w:val="none"/>
                <w:lang w:val="en-US" w:eastAsia="zh-CN" w:bidi="ar-SA"/>
              </w:rPr>
            </w:pPr>
            <w:r>
              <w:rPr>
                <w:rFonts w:hint="eastAsia" w:ascii="楷体_GB2312" w:hAnsi="楷体_GB2312" w:eastAsia="楷体_GB2312" w:cs="楷体_GB2312"/>
                <w:b w:val="0"/>
                <w:bCs w:val="0"/>
                <w:strike w:val="0"/>
                <w:dstrike w:val="0"/>
                <w:color w:val="auto"/>
                <w:spacing w:val="0"/>
                <w:kern w:val="2"/>
                <w:sz w:val="28"/>
                <w:szCs w:val="28"/>
                <w:highlight w:val="none"/>
                <w:u w:val="none"/>
                <w:lang w:val="en-US" w:eastAsia="zh-CN" w:bidi="ar-SA"/>
              </w:rPr>
              <w:t>1.南部“山水秀”片区：依托丰富的生态资源，在曹范、埠村、垛庄、文祖、官庄大力发展农文旅、林果、蜂蜜、花卉药菌等特色产业，乡村建设突出传统村落保护，特色民宿打造，田园综合体建设，构建城乡互补的示范片区；</w:t>
            </w:r>
          </w:p>
          <w:p>
            <w:pPr>
              <w:keepNext w:val="0"/>
              <w:keepLines w:val="0"/>
              <w:pageBreakBefore w:val="0"/>
              <w:kinsoku/>
              <w:wordWrap/>
              <w:overflowPunct w:val="0"/>
              <w:topLinePunct w:val="0"/>
              <w:autoSpaceDE/>
              <w:autoSpaceDN/>
              <w:bidi w:val="0"/>
              <w:adjustRightInd/>
              <w:snapToGrid/>
              <w:spacing w:before="0" w:afterAutospacing="0" w:line="460" w:lineRule="exact"/>
              <w:ind w:firstLine="560" w:firstLineChars="200"/>
              <w:textAlignment w:val="auto"/>
              <w:rPr>
                <w:rFonts w:hint="eastAsia" w:ascii="楷体_GB2312" w:hAnsi="楷体_GB2312" w:eastAsia="楷体_GB2312" w:cs="楷体_GB2312"/>
                <w:b w:val="0"/>
                <w:bCs w:val="0"/>
                <w:strike w:val="0"/>
                <w:dstrike w:val="0"/>
                <w:color w:val="auto"/>
                <w:spacing w:val="0"/>
                <w:kern w:val="2"/>
                <w:sz w:val="28"/>
                <w:szCs w:val="28"/>
                <w:highlight w:val="none"/>
                <w:u w:val="none"/>
                <w:lang w:val="en-US" w:eastAsia="zh-CN" w:bidi="ar-SA"/>
              </w:rPr>
            </w:pPr>
            <w:r>
              <w:rPr>
                <w:rFonts w:hint="eastAsia" w:ascii="楷体_GB2312" w:hAnsi="楷体_GB2312" w:eastAsia="楷体_GB2312" w:cs="楷体_GB2312"/>
                <w:b w:val="0"/>
                <w:bCs w:val="0"/>
                <w:strike w:val="0"/>
                <w:dstrike w:val="0"/>
                <w:color w:val="auto"/>
                <w:spacing w:val="0"/>
                <w:kern w:val="2"/>
                <w:sz w:val="28"/>
                <w:szCs w:val="28"/>
                <w:highlight w:val="none"/>
                <w:u w:val="none"/>
                <w:lang w:val="en-US" w:eastAsia="zh-CN" w:bidi="ar-SA"/>
              </w:rPr>
              <w:t>2.中部“泉水韵”片区：依托绣江河沿岸片区，在龙山、圣井、枣园、宁家埠、绣惠、明水、双山、相公庄、普集大力发展章丘大葱、龙山草莓、明水香稻、龙山小米、观赏锦鲤、特色养殖等产业，打造特色农业产业的全产业链条，乡村建设突出村舍俨然，宜业宜居，构建城乡融合的示范片区；</w:t>
            </w:r>
          </w:p>
          <w:p>
            <w:pPr>
              <w:keepNext w:val="0"/>
              <w:keepLines w:val="0"/>
              <w:pageBreakBefore w:val="0"/>
              <w:kinsoku/>
              <w:wordWrap/>
              <w:overflowPunct w:val="0"/>
              <w:topLinePunct w:val="0"/>
              <w:autoSpaceDE/>
              <w:autoSpaceDN/>
              <w:bidi w:val="0"/>
              <w:adjustRightInd/>
              <w:snapToGrid/>
              <w:spacing w:before="0" w:afterAutospacing="0" w:line="460" w:lineRule="exact"/>
              <w:ind w:firstLine="560" w:firstLineChars="200"/>
              <w:textAlignment w:val="auto"/>
              <w:rPr>
                <w:rFonts w:hint="eastAsia" w:ascii="楷体_GB2312" w:hAnsi="楷体_GB2312" w:eastAsia="楷体_GB2312" w:cs="楷体_GB2312"/>
                <w:b w:val="0"/>
                <w:bCs w:val="0"/>
                <w:strike w:val="0"/>
                <w:dstrike w:val="0"/>
                <w:color w:val="auto"/>
                <w:spacing w:val="0"/>
                <w:kern w:val="2"/>
                <w:sz w:val="28"/>
                <w:szCs w:val="28"/>
                <w:highlight w:val="none"/>
                <w:u w:val="none"/>
                <w:lang w:val="en-US" w:eastAsia="zh-CN" w:bidi="ar-SA"/>
              </w:rPr>
            </w:pPr>
            <w:r>
              <w:rPr>
                <w:rFonts w:hint="eastAsia" w:ascii="楷体_GB2312" w:hAnsi="楷体_GB2312" w:eastAsia="楷体_GB2312" w:cs="楷体_GB2312"/>
                <w:b w:val="0"/>
                <w:bCs w:val="0"/>
                <w:strike w:val="0"/>
                <w:dstrike w:val="0"/>
                <w:color w:val="auto"/>
                <w:spacing w:val="0"/>
                <w:kern w:val="2"/>
                <w:sz w:val="28"/>
                <w:szCs w:val="28"/>
                <w:highlight w:val="none"/>
                <w:u w:val="none"/>
                <w:lang w:val="en-US" w:eastAsia="zh-CN" w:bidi="ar-SA"/>
              </w:rPr>
              <w:t>3.中北部“湖光美”片区：依托白云湖、芽庄湖资源，在白云湖、刁镇大力发展现代渔业、湿地经济，乡村建设突出湖畔人家、荷香小镇，构建城乡互促的示范片区；</w:t>
            </w:r>
          </w:p>
          <w:p>
            <w:pPr>
              <w:keepNext w:val="0"/>
              <w:keepLines w:val="0"/>
              <w:pageBreakBefore w:val="0"/>
              <w:kinsoku/>
              <w:wordWrap/>
              <w:overflowPunct w:val="0"/>
              <w:topLinePunct w:val="0"/>
              <w:autoSpaceDE/>
              <w:autoSpaceDN/>
              <w:bidi w:val="0"/>
              <w:adjustRightInd/>
              <w:snapToGrid/>
              <w:spacing w:afterAutospacing="0" w:line="460" w:lineRule="exact"/>
              <w:ind w:firstLine="560" w:firstLineChars="200"/>
              <w:textAlignment w:val="auto"/>
              <w:rPr>
                <w:rFonts w:hint="eastAsia" w:ascii="楷体_GB2312" w:hAnsi="楷体_GB2312" w:eastAsia="楷体_GB2312" w:cs="楷体_GB2312"/>
                <w:color w:val="auto"/>
                <w:sz w:val="28"/>
                <w:szCs w:val="28"/>
                <w:highlight w:val="none"/>
                <w:u w:val="none"/>
                <w:lang w:val="en-US"/>
              </w:rPr>
            </w:pPr>
            <w:r>
              <w:rPr>
                <w:rFonts w:hint="eastAsia" w:ascii="楷体_GB2312" w:hAnsi="楷体_GB2312" w:eastAsia="楷体_GB2312" w:cs="楷体_GB2312"/>
                <w:b w:val="0"/>
                <w:bCs w:val="0"/>
                <w:strike w:val="0"/>
                <w:dstrike w:val="0"/>
                <w:color w:val="auto"/>
                <w:spacing w:val="0"/>
                <w:kern w:val="2"/>
                <w:sz w:val="28"/>
                <w:szCs w:val="28"/>
                <w:highlight w:val="none"/>
                <w:u w:val="none"/>
                <w:lang w:val="en-US" w:eastAsia="zh-CN" w:bidi="ar-SA"/>
              </w:rPr>
              <w:t>4.北部“黄河情”片区：依托黄河岸边二十万亩良田，在黄河、高官寨大力发展西甜瓜、黄河鲤鱼等特色产业，乡村建设突出绿色低碳、产村一体，构建落实黄河战略的示范片区。</w:t>
            </w:r>
          </w:p>
        </w:tc>
      </w:tr>
    </w:tbl>
    <w:p>
      <w:pPr>
        <w:keepNext w:val="0"/>
        <w:keepLines w:val="0"/>
        <w:pageBreakBefore w:val="0"/>
        <w:widowControl w:val="0"/>
        <w:kinsoku/>
        <w:wordWrap/>
        <w:overflowPunct/>
        <w:topLinePunct w:val="0"/>
        <w:autoSpaceDE/>
        <w:autoSpaceDN/>
        <w:bidi w:val="0"/>
        <w:adjustRightInd/>
        <w:snapToGrid/>
        <w:spacing w:before="0" w:beforeAutospacing="0" w:after="157" w:afterLines="50" w:afterAutospacing="0" w:line="600" w:lineRule="exact"/>
        <w:ind w:firstLine="0" w:firstLineChars="0"/>
        <w:jc w:val="center"/>
        <w:textAlignment w:val="auto"/>
        <w:outlineLvl w:val="1"/>
        <w:rPr>
          <w:rFonts w:hint="eastAsia" w:ascii="文星标宋" w:hAnsi="文星标宋" w:eastAsia="文星标宋" w:cs="文星标宋"/>
          <w:b w:val="0"/>
          <w:bCs/>
          <w:color w:val="auto"/>
          <w:kern w:val="0"/>
          <w:sz w:val="32"/>
          <w:szCs w:val="32"/>
          <w:highlight w:val="none"/>
          <w:lang w:val="en-US" w:eastAsia="zh-CN" w:bidi="ar"/>
        </w:rPr>
      </w:pPr>
      <w:bookmarkStart w:id="81" w:name="_Toc4810"/>
      <w:r>
        <w:rPr>
          <w:rFonts w:hint="eastAsia" w:ascii="文星标宋" w:hAnsi="文星标宋" w:eastAsia="文星标宋" w:cs="文星标宋"/>
          <w:b w:val="0"/>
          <w:bCs/>
          <w:color w:val="auto"/>
          <w:kern w:val="0"/>
          <w:sz w:val="32"/>
          <w:szCs w:val="32"/>
          <w:highlight w:val="none"/>
          <w:lang w:val="en-US" w:eastAsia="zh-CN" w:bidi="ar"/>
        </w:rPr>
        <w:t xml:space="preserve">第二节  </w:t>
      </w:r>
      <w:bookmarkEnd w:id="80"/>
      <w:r>
        <w:rPr>
          <w:rFonts w:hint="eastAsia" w:ascii="文星标宋" w:hAnsi="文星标宋" w:eastAsia="文星标宋" w:cs="文星标宋"/>
          <w:b w:val="0"/>
          <w:bCs/>
          <w:color w:val="auto"/>
          <w:kern w:val="0"/>
          <w:sz w:val="32"/>
          <w:szCs w:val="32"/>
          <w:highlight w:val="none"/>
          <w:lang w:val="en-US" w:eastAsia="zh-CN" w:bidi="ar"/>
        </w:rPr>
        <w:t>推进宜居宜业和美乡村建设</w:t>
      </w:r>
      <w:bookmarkEnd w:id="81"/>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rPr>
      </w:pPr>
      <w:bookmarkStart w:id="82" w:name="_Toc19093"/>
      <w:r>
        <w:rPr>
          <w:rFonts w:hint="eastAsia" w:ascii="黑体" w:hAnsi="黑体" w:eastAsia="黑体" w:cs="黑体"/>
          <w:b w:val="0"/>
          <w:bCs w:val="0"/>
          <w:color w:val="auto"/>
          <w:sz w:val="32"/>
          <w:szCs w:val="32"/>
          <w:highlight w:val="none"/>
          <w:lang w:val="en-US" w:eastAsia="zh-CN"/>
        </w:rPr>
        <w:t>一、有序分类实施乡村建设行动</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color w:val="auto"/>
          <w:spacing w:val="6"/>
          <w:kern w:val="2"/>
          <w:sz w:val="32"/>
          <w:szCs w:val="32"/>
          <w:highlight w:val="none"/>
          <w:lang w:val="en-US" w:eastAsia="zh-CN" w:bidi="ar-SA"/>
        </w:rPr>
      </w:pPr>
      <w:r>
        <w:rPr>
          <w:rFonts w:hint="eastAsia" w:ascii="仿宋_GB2312" w:hAnsi="仿宋_GB2312" w:eastAsia="仿宋_GB2312" w:cs="仿宋_GB2312"/>
          <w:b w:val="0"/>
          <w:bCs/>
          <w:color w:val="auto"/>
          <w:kern w:val="44"/>
          <w:sz w:val="32"/>
          <w:szCs w:val="32"/>
          <w:highlight w:val="none"/>
          <w:lang w:val="en-US" w:eastAsia="zh-CN" w:bidi="ar"/>
        </w:rPr>
        <w:t>推动村庄水、电、气、路、</w:t>
      </w:r>
      <w:r>
        <w:rPr>
          <w:rFonts w:hint="eastAsia" w:ascii="仿宋_GB2312" w:hAnsi="仿宋_GB2312" w:eastAsia="仿宋_GB2312" w:cs="仿宋_GB2312"/>
          <w:b w:val="0"/>
          <w:bCs/>
          <w:strike w:val="0"/>
          <w:dstrike w:val="0"/>
          <w:color w:val="auto"/>
          <w:kern w:val="44"/>
          <w:sz w:val="32"/>
          <w:szCs w:val="32"/>
          <w:highlight w:val="none"/>
          <w:lang w:val="en-US" w:eastAsia="zh-CN" w:bidi="ar"/>
        </w:rPr>
        <w:t>暖、</w:t>
      </w:r>
      <w:r>
        <w:rPr>
          <w:rFonts w:hint="eastAsia" w:ascii="仿宋_GB2312" w:hAnsi="仿宋_GB2312" w:eastAsia="仿宋_GB2312" w:cs="仿宋_GB2312"/>
          <w:b w:val="0"/>
          <w:bCs/>
          <w:color w:val="auto"/>
          <w:kern w:val="44"/>
          <w:sz w:val="32"/>
          <w:szCs w:val="32"/>
          <w:highlight w:val="none"/>
          <w:lang w:val="en-US" w:eastAsia="zh-CN" w:bidi="ar"/>
        </w:rPr>
        <w:t>通信、物流等公共基础设施提档升级，不断提高基础设施完备度</w:t>
      </w:r>
      <w:r>
        <w:rPr>
          <w:rFonts w:hint="eastAsia" w:ascii="仿宋_GB2312" w:hAnsi="仿宋_GB2312" w:eastAsia="仿宋_GB2312" w:cs="仿宋_GB2312"/>
          <w:b w:val="0"/>
          <w:bCs/>
          <w:color w:val="auto"/>
          <w:spacing w:val="6"/>
          <w:kern w:val="2"/>
          <w:sz w:val="32"/>
          <w:szCs w:val="32"/>
          <w:highlight w:val="none"/>
          <w:lang w:val="en-US" w:eastAsia="zh-CN" w:bidi="ar-SA"/>
        </w:rPr>
        <w:t>、公共服务便利度、人居环境舒适度。</w:t>
      </w:r>
      <w:r>
        <w:rPr>
          <w:rFonts w:hint="default" w:ascii="仿宋_GB2312" w:hAnsi="仿宋_GB2312" w:eastAsia="仿宋_GB2312" w:cs="仿宋_GB2312"/>
          <w:b w:val="0"/>
          <w:bCs/>
          <w:color w:val="auto"/>
          <w:spacing w:val="6"/>
          <w:kern w:val="2"/>
          <w:sz w:val="32"/>
          <w:szCs w:val="32"/>
          <w:highlight w:val="none"/>
          <w:lang w:val="en-US" w:eastAsia="zh-CN" w:bidi="ar-SA"/>
        </w:rPr>
        <w:t>持续整治提升农村人居环境，持续推进农业农村污染治理攻坚，</w:t>
      </w:r>
      <w:r>
        <w:rPr>
          <w:rFonts w:hint="eastAsia" w:ascii="仿宋_GB2312" w:hAnsi="仿宋_GB2312" w:eastAsia="仿宋_GB2312" w:cs="仿宋_GB2312"/>
          <w:b w:val="0"/>
          <w:bCs/>
          <w:i w:val="0"/>
          <w:iCs w:val="0"/>
          <w:caps w:val="0"/>
          <w:color w:val="auto"/>
          <w:spacing w:val="0"/>
          <w:kern w:val="44"/>
          <w:sz w:val="32"/>
          <w:szCs w:val="32"/>
          <w:highlight w:val="none"/>
          <w:lang w:bidi="ar"/>
        </w:rPr>
        <w:t>推进农村生活垃圾分类试点工作与源头减量，</w:t>
      </w:r>
      <w:r>
        <w:rPr>
          <w:rFonts w:hint="eastAsia" w:ascii="仿宋_GB2312" w:hAnsi="仿宋_GB2312" w:eastAsia="仿宋_GB2312" w:cs="仿宋_GB2312"/>
          <w:b w:val="0"/>
          <w:bCs w:val="0"/>
          <w:caps w:val="0"/>
          <w:color w:val="auto"/>
          <w:spacing w:val="0"/>
          <w:kern w:val="0"/>
          <w:sz w:val="32"/>
          <w:szCs w:val="32"/>
          <w:highlight w:val="none"/>
          <w:lang w:val="en-US" w:eastAsia="zh-CN" w:bidi="ar-SA"/>
        </w:rPr>
        <w:t>提升农村生活污水治理运维管理</w:t>
      </w:r>
      <w:r>
        <w:rPr>
          <w:rFonts w:hint="eastAsia" w:ascii="仿宋_GB2312" w:hAnsi="仿宋_GB2312" w:eastAsia="仿宋_GB2312" w:cs="仿宋_GB2312"/>
          <w:b w:val="0"/>
          <w:bCs/>
          <w:i w:val="0"/>
          <w:iCs w:val="0"/>
          <w:caps w:val="0"/>
          <w:color w:val="auto"/>
          <w:spacing w:val="0"/>
          <w:kern w:val="44"/>
          <w:sz w:val="32"/>
          <w:szCs w:val="32"/>
          <w:highlight w:val="none"/>
          <w:lang w:bidi="ar"/>
        </w:rPr>
        <w:t>，治理率</w:t>
      </w:r>
      <w:r>
        <w:rPr>
          <w:rFonts w:hint="eastAsia" w:ascii="仿宋_GB2312" w:hAnsi="仿宋_GB2312" w:eastAsia="仿宋_GB2312" w:cs="仿宋_GB2312"/>
          <w:b w:val="0"/>
          <w:bCs/>
          <w:i w:val="0"/>
          <w:iCs w:val="0"/>
          <w:caps w:val="0"/>
          <w:color w:val="auto"/>
          <w:spacing w:val="0"/>
          <w:kern w:val="44"/>
          <w:sz w:val="32"/>
          <w:szCs w:val="32"/>
          <w:highlight w:val="none"/>
          <w:lang w:eastAsia="zh-CN" w:bidi="ar"/>
        </w:rPr>
        <w:t>保持在</w:t>
      </w:r>
      <w:r>
        <w:rPr>
          <w:rFonts w:hint="eastAsia" w:ascii="仿宋_GB2312" w:hAnsi="仿宋_GB2312" w:eastAsia="仿宋_GB2312" w:cs="仿宋_GB2312"/>
          <w:b w:val="0"/>
          <w:bCs/>
          <w:i w:val="0"/>
          <w:iCs w:val="0"/>
          <w:caps w:val="0"/>
          <w:color w:val="auto"/>
          <w:spacing w:val="0"/>
          <w:kern w:val="44"/>
          <w:sz w:val="32"/>
          <w:szCs w:val="32"/>
          <w:highlight w:val="none"/>
          <w:lang w:val="en-US" w:eastAsia="zh-CN" w:bidi="ar"/>
        </w:rPr>
        <w:t>70</w:t>
      </w:r>
      <w:r>
        <w:rPr>
          <w:rFonts w:hint="eastAsia" w:ascii="仿宋_GB2312" w:hAnsi="仿宋_GB2312" w:eastAsia="仿宋_GB2312" w:cs="仿宋_GB2312"/>
          <w:b w:val="0"/>
          <w:bCs/>
          <w:i w:val="0"/>
          <w:iCs w:val="0"/>
          <w:caps w:val="0"/>
          <w:color w:val="auto"/>
          <w:spacing w:val="0"/>
          <w:kern w:val="44"/>
          <w:sz w:val="32"/>
          <w:szCs w:val="32"/>
          <w:highlight w:val="none"/>
          <w:lang w:bidi="ar"/>
        </w:rPr>
        <w:t>％以上</w:t>
      </w:r>
      <w:r>
        <w:rPr>
          <w:rFonts w:hint="eastAsia" w:ascii="仿宋_GB2312" w:hAnsi="仿宋_GB2312" w:eastAsia="仿宋_GB2312" w:cs="仿宋_GB2312"/>
          <w:b w:val="0"/>
          <w:bCs/>
          <w:i w:val="0"/>
          <w:iCs w:val="0"/>
          <w:caps w:val="0"/>
          <w:color w:val="auto"/>
          <w:spacing w:val="0"/>
          <w:kern w:val="44"/>
          <w:sz w:val="32"/>
          <w:szCs w:val="32"/>
          <w:highlight w:val="none"/>
          <w:lang w:eastAsia="zh-CN" w:bidi="ar"/>
        </w:rPr>
        <w:t>。</w:t>
      </w:r>
      <w:r>
        <w:rPr>
          <w:rFonts w:hint="eastAsia" w:ascii="仿宋_GB2312" w:hAnsi="仿宋_GB2312" w:eastAsia="仿宋_GB2312" w:cs="仿宋_GB2312"/>
          <w:b w:val="0"/>
          <w:bCs/>
          <w:color w:val="auto"/>
          <w:kern w:val="44"/>
          <w:sz w:val="32"/>
          <w:szCs w:val="32"/>
          <w:highlight w:val="none"/>
          <w:lang w:val="en-US" w:eastAsia="zh-CN" w:bidi="ar"/>
        </w:rPr>
        <w:t>加快村容村貌提升，确保村庄建设规划有序，村庄环境及庭院干净卫生，引导群众房前屋后适度绿化美化，健全完善农村改厕、清洁取暖、生活污水治理等长效管护机制。大力发展乡村养老设施，探索“医康养”融合等新型养老模式，提升农村养老服务能力。实施片区“四级联创”，建设省市衔接乡村振兴集中推进区、泉韵乡居示范区，因地制宜完善乡村建设实施机制，积极争取世界银行贷款等项目，分类有序、片区化推进乡村建设提档升级。到2030年，省、市级乡村振兴和美乡村片区达到10个，省、市级宜居宜业和美乡村达到100个</w:t>
      </w:r>
      <w:r>
        <w:rPr>
          <w:rFonts w:hint="eastAsia" w:ascii="仿宋_GB2312" w:hAnsi="仿宋_GB2312" w:eastAsia="仿宋_GB2312" w:cs="仿宋_GB2312"/>
          <w:b w:val="0"/>
          <w:bCs/>
          <w:color w:val="auto"/>
          <w:spacing w:val="6"/>
          <w:kern w:val="2"/>
          <w:sz w:val="32"/>
          <w:szCs w:val="32"/>
          <w:highlight w:val="none"/>
          <w:lang w:val="en-US" w:eastAsia="zh-CN" w:bidi="ar-SA"/>
        </w:rPr>
        <w:t>。加快数字乡村建设。完善信息基础设施，实施智慧广电乡村工程，推动基础设施数字化、智能化升级，构建综合信息服务体系。</w:t>
      </w:r>
    </w:p>
    <w:p>
      <w:pPr>
        <w:pStyle w:val="8"/>
        <w:rPr>
          <w:rFonts w:hint="eastAsia" w:ascii="仿宋_GB2312" w:hAnsi="仿宋_GB2312" w:eastAsia="仿宋_GB2312" w:cs="仿宋_GB2312"/>
          <w:b w:val="0"/>
          <w:bCs/>
          <w:color w:val="auto"/>
          <w:spacing w:val="6"/>
          <w:kern w:val="2"/>
          <w:sz w:val="32"/>
          <w:szCs w:val="32"/>
          <w:highlight w:val="none"/>
          <w:lang w:val="en-US" w:eastAsia="zh-CN" w:bidi="ar-SA"/>
        </w:rPr>
      </w:pPr>
    </w:p>
    <w:tbl>
      <w:tblPr>
        <w:tblStyle w:val="16"/>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noWrap w:val="0"/>
            <w:vAlign w:val="top"/>
          </w:tcPr>
          <w:p>
            <w:pPr>
              <w:keepNext w:val="0"/>
              <w:keepLines w:val="0"/>
              <w:pageBreakBefore w:val="0"/>
              <w:widowControl w:val="0"/>
              <w:suppressLineNumbers w:val="0"/>
              <w:kinsoku/>
              <w:wordWrap/>
              <w:overflowPunct w:val="0"/>
              <w:topLinePunct w:val="0"/>
              <w:autoSpaceDE/>
              <w:autoSpaceDN/>
              <w:bidi w:val="0"/>
              <w:adjustRightInd/>
              <w:snapToGrid/>
              <w:spacing w:before="0" w:beforeLines="-2147483648" w:beforeAutospacing="0" w:after="0" w:afterLines="-2147483648" w:afterAutospacing="0" w:line="480" w:lineRule="exact"/>
              <w:ind w:left="0" w:right="0" w:firstLine="0" w:firstLineChars="0"/>
              <w:jc w:val="center"/>
              <w:textAlignment w:val="auto"/>
              <w:outlineLvl w:val="9"/>
              <w:rPr>
                <w:rFonts w:hint="default" w:ascii="楷体_GB2312" w:hAnsi="楷体_GB2312" w:eastAsia="楷体_GB2312" w:cs="楷体_GB2312"/>
                <w:b w:val="0"/>
                <w:bCs w:val="0"/>
                <w:color w:val="auto"/>
                <w:sz w:val="28"/>
                <w:szCs w:val="28"/>
                <w:highlight w:val="none"/>
                <w:lang w:val="en-US"/>
              </w:rPr>
            </w:pPr>
            <w:r>
              <w:rPr>
                <w:rFonts w:hint="eastAsia" w:ascii="楷体_GB2312" w:hAnsi="楷体_GB2312" w:eastAsia="楷体_GB2312" w:cs="楷体_GB2312"/>
                <w:b w:val="0"/>
                <w:bCs w:val="0"/>
                <w:color w:val="auto"/>
                <w:sz w:val="28"/>
                <w:szCs w:val="28"/>
                <w:highlight w:val="none"/>
                <w:lang w:val="zh-CN"/>
              </w:rPr>
              <w:t>专栏</w:t>
            </w:r>
            <w:r>
              <w:rPr>
                <w:rFonts w:hint="eastAsia" w:ascii="楷体_GB2312" w:hAnsi="楷体_GB2312" w:eastAsia="楷体_GB2312" w:cs="楷体_GB2312"/>
                <w:b w:val="0"/>
                <w:bCs w:val="0"/>
                <w:color w:val="auto"/>
                <w:sz w:val="28"/>
                <w:szCs w:val="28"/>
                <w:highlight w:val="none"/>
                <w:lang w:val="en-US" w:eastAsia="zh-CN"/>
              </w:rPr>
              <w:t>13  数字乡村建设行动计划</w:t>
            </w:r>
          </w:p>
          <w:p>
            <w:pPr>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480" w:lineRule="exact"/>
              <w:ind w:left="0" w:right="0" w:firstLine="560" w:firstLineChars="200"/>
              <w:textAlignment w:val="auto"/>
              <w:rPr>
                <w:rFonts w:hint="default" w:ascii="Calibri" w:hAnsi="楷体_GB2312" w:eastAsia="宋体" w:cs="Times New Roman"/>
                <w:b w:val="0"/>
                <w:bCs w:val="0"/>
                <w:color w:val="auto"/>
                <w:sz w:val="28"/>
                <w:szCs w:val="28"/>
                <w:highlight w:val="none"/>
                <w:lang w:val="en-US"/>
              </w:rPr>
            </w:pPr>
            <w:r>
              <w:rPr>
                <w:rFonts w:hint="eastAsia" w:ascii="楷体_GB2312" w:hAnsi="楷体_GB2312" w:eastAsia="楷体_GB2312" w:cs="楷体_GB2312"/>
                <w:color w:val="auto"/>
                <w:sz w:val="28"/>
                <w:szCs w:val="28"/>
                <w:highlight w:val="none"/>
                <w:u w:val="none"/>
              </w:rPr>
              <w:t>以“第二批省级数字乡村试点县</w:t>
            </w:r>
            <w:r>
              <w:rPr>
                <w:rFonts w:hint="eastAsia" w:ascii="楷体_GB2312" w:hAnsi="楷体_GB2312" w:eastAsia="楷体_GB2312" w:cs="楷体_GB2312"/>
                <w:color w:val="auto"/>
                <w:sz w:val="28"/>
                <w:szCs w:val="28"/>
                <w:highlight w:val="none"/>
                <w:u w:val="none"/>
                <w:lang w:eastAsia="zh-CN"/>
              </w:rPr>
              <w:t>”“</w:t>
            </w:r>
            <w:r>
              <w:rPr>
                <w:rFonts w:hint="eastAsia" w:ascii="楷体_GB2312" w:hAnsi="楷体_GB2312" w:eastAsia="楷体_GB2312" w:cs="楷体_GB2312"/>
                <w:color w:val="auto"/>
                <w:sz w:val="28"/>
                <w:szCs w:val="28"/>
                <w:highlight w:val="none"/>
                <w:u w:val="none"/>
              </w:rPr>
              <w:t>首批省级区域数字农业发展县”为依托，坚持问题导向，立足当地资源禀赋和区位条件，持续构建数字乡村战略体系，聚焦智慧农业、乡村数字富民产业、乡村数字治理三大突破方向，挖掘高标准农田、设施农业、现代畜牧、现代水产等四个方面潜力，实施农业生产数字化、农业全产业链数字化和农业数字化基础提升三大工程，加快推进数字农业农村高质量发展，到2030年，力争</w:t>
            </w:r>
            <w:r>
              <w:rPr>
                <w:rFonts w:hint="eastAsia" w:ascii="楷体_GB2312" w:hAnsi="楷体_GB2312" w:eastAsia="楷体_GB2312" w:cs="楷体_GB2312"/>
                <w:color w:val="auto"/>
                <w:sz w:val="28"/>
                <w:szCs w:val="28"/>
                <w:highlight w:val="none"/>
                <w:u w:val="none"/>
                <w:lang w:val="en-US" w:eastAsia="zh-CN"/>
              </w:rPr>
              <w:t>新</w:t>
            </w:r>
            <w:r>
              <w:rPr>
                <w:rFonts w:hint="eastAsia" w:ascii="楷体_GB2312" w:hAnsi="楷体_GB2312" w:eastAsia="楷体_GB2312" w:cs="楷体_GB2312"/>
                <w:color w:val="auto"/>
                <w:sz w:val="28"/>
                <w:szCs w:val="28"/>
                <w:highlight w:val="none"/>
                <w:u w:val="none"/>
              </w:rPr>
              <w:t>建数字和美乡村100个，建设智慧种养、智慧加工、智慧农服等应用场景30个以上，省级智慧农业应用基地达到20家以上。</w:t>
            </w:r>
          </w:p>
        </w:tc>
      </w:tr>
      <w:bookmarkEnd w:id="82"/>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二、着力健全乡村治理体系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auto"/>
          <w:kern w:val="44"/>
          <w:sz w:val="32"/>
          <w:szCs w:val="32"/>
          <w:highlight w:val="none"/>
          <w:lang w:val="en-US" w:eastAsia="zh-CN" w:bidi="ar"/>
        </w:rPr>
      </w:pPr>
      <w:r>
        <w:rPr>
          <w:rFonts w:hint="eastAsia" w:ascii="仿宋_GB2312" w:hAnsi="仿宋_GB2312" w:eastAsia="仿宋_GB2312" w:cs="仿宋_GB2312"/>
          <w:bCs/>
          <w:color w:val="auto"/>
          <w:kern w:val="44"/>
          <w:sz w:val="32"/>
          <w:szCs w:val="32"/>
          <w:highlight w:val="none"/>
          <w:lang w:val="en-US" w:eastAsia="zh-CN" w:bidi="ar"/>
        </w:rPr>
        <w:t>以保障和改善农村民生为优先方向，树立系统治理、依法治理、综合治理、源头治理理念，不断提高乡村治理体系和治理能力现代化水平。</w:t>
      </w:r>
      <w:r>
        <w:rPr>
          <w:rFonts w:hint="eastAsia" w:ascii="仿宋_GB2312" w:hAnsi="仿宋_GB2312" w:eastAsia="仿宋_GB2312" w:cs="仿宋_GB2312"/>
          <w:bCs/>
          <w:color w:val="auto"/>
          <w:kern w:val="44"/>
          <w:sz w:val="32"/>
          <w:szCs w:val="32"/>
          <w:highlight w:val="none"/>
          <w:lang w:bidi="ar"/>
        </w:rPr>
        <w:t>深入推进抓党建促乡村振兴，坚持以党建引领基层治理，提高基层党组织领导能力。</w:t>
      </w:r>
      <w:r>
        <w:rPr>
          <w:rFonts w:hint="eastAsia" w:ascii="仿宋_GB2312" w:hAnsi="仿宋_GB2312" w:eastAsia="仿宋_GB2312" w:cs="仿宋_GB2312"/>
          <w:bCs/>
          <w:color w:val="auto"/>
          <w:kern w:val="44"/>
          <w:sz w:val="32"/>
          <w:szCs w:val="32"/>
          <w:highlight w:val="none"/>
          <w:lang w:val="en-US" w:eastAsia="zh-CN" w:bidi="ar"/>
        </w:rPr>
        <w:t>持续发挥党建工作区作用，</w:t>
      </w:r>
      <w:r>
        <w:rPr>
          <w:rFonts w:hint="eastAsia" w:ascii="仿宋_GB2312" w:hAnsi="仿宋_GB2312" w:eastAsia="仿宋_GB2312" w:cs="仿宋_GB2312"/>
          <w:bCs/>
          <w:color w:val="auto"/>
          <w:kern w:val="44"/>
          <w:sz w:val="32"/>
          <w:szCs w:val="32"/>
          <w:highlight w:val="none"/>
          <w:lang w:bidi="ar"/>
        </w:rPr>
        <w:t>做好村“两委”换届，集中整顿软弱涣散村党组织，</w:t>
      </w:r>
      <w:r>
        <w:rPr>
          <w:rFonts w:hint="eastAsia" w:ascii="仿宋_GB2312" w:hAnsi="仿宋_GB2312" w:eastAsia="仿宋_GB2312" w:cs="仿宋_GB2312"/>
          <w:bCs/>
          <w:color w:val="auto"/>
          <w:kern w:val="44"/>
          <w:sz w:val="32"/>
          <w:szCs w:val="32"/>
          <w:highlight w:val="none"/>
          <w:lang w:val="en-US" w:eastAsia="zh-CN" w:bidi="ar"/>
        </w:rPr>
        <w:t>提高基层党组织战斗力和凝聚力</w:t>
      </w:r>
      <w:r>
        <w:rPr>
          <w:rFonts w:hint="eastAsia" w:ascii="仿宋_GB2312" w:hAnsi="仿宋_GB2312" w:eastAsia="仿宋_GB2312" w:cs="仿宋_GB2312"/>
          <w:bCs/>
          <w:color w:val="auto"/>
          <w:kern w:val="44"/>
          <w:sz w:val="32"/>
          <w:szCs w:val="32"/>
          <w:highlight w:val="none"/>
          <w:lang w:bidi="ar"/>
        </w:rPr>
        <w:t>。</w:t>
      </w:r>
      <w:r>
        <w:rPr>
          <w:rFonts w:hint="eastAsia" w:ascii="仿宋_GB2312" w:hAnsi="仿宋_GB2312" w:eastAsia="仿宋_GB2312" w:cs="仿宋_GB2312"/>
          <w:bCs/>
          <w:color w:val="auto"/>
          <w:kern w:val="44"/>
          <w:sz w:val="32"/>
          <w:szCs w:val="32"/>
          <w:highlight w:val="none"/>
          <w:lang w:val="en-US" w:eastAsia="zh-CN" w:bidi="ar"/>
        </w:rPr>
        <w:t>实施文明乡风建设工程，进一步加强新时代农村精神文明建设，推动党的创新理论更加深入人心、社会主义核心价值观广泛践行。推进农村移风易俗，深化殡葬改革，健全基本殡葬服务制度，推进公益性生态安葬设施建设。</w:t>
      </w:r>
      <w:r>
        <w:rPr>
          <w:rFonts w:hint="eastAsia" w:ascii="仿宋_GB2312" w:hAnsi="仿宋_GB2312" w:eastAsia="仿宋_GB2312" w:cs="仿宋_GB2312"/>
          <w:bCs/>
          <w:i w:val="0"/>
          <w:iCs w:val="0"/>
          <w:caps w:val="0"/>
          <w:color w:val="auto"/>
          <w:spacing w:val="0"/>
          <w:kern w:val="44"/>
          <w:sz w:val="32"/>
          <w:szCs w:val="32"/>
          <w:highlight w:val="none"/>
          <w:shd w:val="clear" w:fill="auto"/>
          <w:lang w:bidi="ar"/>
        </w:rPr>
        <w:t>强化农村矛盾纠纷排查化解，完善信息共享、协同解决机制，营造积极健康的社会氛围。</w:t>
      </w:r>
      <w:r>
        <w:rPr>
          <w:rFonts w:hint="eastAsia" w:ascii="仿宋_GB2312" w:hAnsi="仿宋_GB2312" w:eastAsia="仿宋_GB2312" w:cs="仿宋_GB2312"/>
          <w:bCs/>
          <w:color w:val="auto"/>
          <w:kern w:val="44"/>
          <w:sz w:val="32"/>
          <w:szCs w:val="32"/>
          <w:highlight w:val="none"/>
          <w:lang w:val="en-US" w:eastAsia="zh-CN" w:bidi="ar"/>
        </w:rPr>
        <w:t>综合运用传统治理资源和现代治理手段，推广应用积分制、清单制、数字化等治理方式，推行乡村网格化管理、数字化赋能、精细化服务。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三、构建可持续富民机制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auto"/>
          <w:kern w:val="44"/>
          <w:sz w:val="32"/>
          <w:szCs w:val="32"/>
          <w:highlight w:val="none"/>
          <w:lang w:val="en-US" w:eastAsia="zh-CN" w:bidi="ar"/>
        </w:rPr>
      </w:pPr>
      <w:r>
        <w:rPr>
          <w:rFonts w:hint="eastAsia" w:ascii="仿宋_GB2312" w:hAnsi="仿宋_GB2312" w:eastAsia="仿宋_GB2312" w:cs="仿宋_GB2312"/>
          <w:bCs/>
          <w:color w:val="auto"/>
          <w:kern w:val="44"/>
          <w:sz w:val="32"/>
          <w:szCs w:val="32"/>
          <w:highlight w:val="none"/>
          <w:lang w:val="en-US" w:eastAsia="zh-CN" w:bidi="ar"/>
        </w:rPr>
        <w:t>大力实施农村劳动力转移培训和高素质农民培育，充分发挥“齐鲁乡村之星”、“海右计划”乡村振兴人才、新型经营主体带头人等农业人才的示范引领和辐射带动作用，积极开发乡村公益岗，促进农民就近就地就业增收。加大稳岗就业政策支持力度，强化就业服务和劳务协作，培育推介特色劳务品牌。完善村集体经济发展长效机制，多渠道盘活村级低效闲置资源，探索村级物业自我改造和物权获取政策，提高自我“造血”功能。深化农村“三变”改革，健全农民持续增收机制，推进“三位一体”农合联建设，推广“公司＋基地＋农户”生产模式，扶持发展农村电商，确保农村居民收入增长快于城镇居民。提高强农惠农富农政策效能，落实政策性农业保险补贴、耕地地力保护补贴、农机购置补贴等惠农政策，在就业、信贷、保险等方面对低收入群体给予政策倾斜，推动优质服务资源向乡村梯度延伸和逐步覆盖。统筹建立常态化防止返贫致贫机制，坚持精准帮扶，完善兜底式保障。强化开发式帮扶，指导街道（镇）做好项目规划、项目推进和项目管理，推动经营性资产保质增效，公益性资产持续发挥作用。</w:t>
      </w:r>
    </w:p>
    <w:p>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560" w:lineRule="exact"/>
        <w:ind w:firstLine="0" w:firstLineChars="0"/>
        <w:jc w:val="center"/>
        <w:textAlignment w:val="auto"/>
        <w:outlineLvl w:val="1"/>
        <w:rPr>
          <w:rFonts w:hint="eastAsia" w:ascii="文星标宋" w:hAnsi="文星标宋" w:eastAsia="文星标宋" w:cs="文星标宋"/>
          <w:b w:val="0"/>
          <w:bCs/>
          <w:color w:val="auto"/>
          <w:kern w:val="0"/>
          <w:sz w:val="32"/>
          <w:szCs w:val="32"/>
          <w:highlight w:val="none"/>
          <w:lang w:val="en-US" w:eastAsia="zh-CN" w:bidi="ar"/>
        </w:rPr>
      </w:pPr>
      <w:bookmarkStart w:id="83" w:name="_Toc25886"/>
      <w:r>
        <w:rPr>
          <w:rFonts w:hint="eastAsia" w:ascii="文星标宋" w:hAnsi="文星标宋" w:eastAsia="文星标宋" w:cs="文星标宋"/>
          <w:b w:val="0"/>
          <w:bCs/>
          <w:color w:val="auto"/>
          <w:kern w:val="0"/>
          <w:sz w:val="32"/>
          <w:szCs w:val="32"/>
          <w:highlight w:val="none"/>
          <w:lang w:val="en-US" w:eastAsia="zh-CN" w:bidi="ar"/>
        </w:rPr>
        <w:t>第三节  促进城乡融合一体发展</w:t>
      </w:r>
      <w:bookmarkEnd w:id="8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一、促进城乡劳动力双向自由流动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推进以人为核心的新型城镇化，加快农业转移人口市民化，强化基本公共服务保障，切实将农业转移人口纳入基本公共服务保障范围，确保进城农民工及其家庭真正融入城市。健全人力资源市场体系，破除劳动力和人才流动障碍，促进劳动力和人才优化配置。完善农民工等重点群体就业支持体系，促进农业转移人口在城镇稳定就业。建立健全促进农业转移人口市民化的体制机制，保障农业转移人口平等享有城镇居民基本公共服务权利，到2030年，全区常住人口城镇化率达到68%。深入实施乡村振兴人才支持计划，健全人才招引下沉、培育提升、指导服务和保障支持机制，推动专业人才服务乡村。完善科技成果入乡转化政策体系，深化科技特派员制度推行，确保技术要素规范有序向乡村流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二、健全城乡融合发展支撑保障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推动城乡要素平等交换、双向流动，缩小城乡差别，促进城乡共同繁荣发展。</w:t>
      </w:r>
      <w:r>
        <w:rPr>
          <w:rFonts w:hint="eastAsia" w:ascii="仿宋_GB2312" w:hAnsi="仿宋_GB2312" w:eastAsia="仿宋_GB2312" w:cs="仿宋_GB2312"/>
          <w:color w:val="auto"/>
          <w:sz w:val="32"/>
          <w:szCs w:val="32"/>
          <w:highlight w:val="none"/>
        </w:rPr>
        <w:t>统筹城乡公共服务，优先发展农村教育、健康、医疗、养老、文化等公共服务，推动优质教育、医疗等资源向农村流通。加快建设提升覆盖城乡的公路、电力、燃气、供水和垃圾污水收集处理等基础设施，健全建管长效机制。</w:t>
      </w:r>
      <w:r>
        <w:rPr>
          <w:rFonts w:hint="eastAsia" w:ascii="仿宋_GB2312" w:hAnsi="仿宋_GB2312" w:eastAsia="仿宋_GB2312" w:cs="仿宋_GB2312"/>
          <w:color w:val="auto"/>
          <w:sz w:val="32"/>
          <w:szCs w:val="32"/>
          <w:highlight w:val="none"/>
          <w:lang w:val="en-US" w:eastAsia="zh-CN"/>
        </w:rPr>
        <w:t>有序推进第二轮土地承包到期后再延长三十年工作，做好与不动产统一登记有序衔接，深化承包地所有权、承包权、经营权分置改革，健全承包地经营权流转管理服务制度，发展农业适度规模经营，充分释放农村发展活力。积极探索宅基地所有权、资格权、使用权分置实现形式，保障进城落户农民合法土地权益，依法维护进城落户农民的土地承包权、宅基地使用权、集体收益分配权，探索建立自愿有偿退出的办法。</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color w:val="auto"/>
          <w:sz w:val="32"/>
          <w:szCs w:val="32"/>
          <w:highlight w:val="none"/>
          <w:lang w:val="en-US" w:eastAsia="zh-CN"/>
        </w:rPr>
      </w:pPr>
    </w:p>
    <w:p>
      <w:pPr>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br w:type="page"/>
      </w:r>
    </w:p>
    <w:p>
      <w:pPr>
        <w:pStyle w:val="8"/>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val="0"/>
          <w:color w:val="auto"/>
          <w:kern w:val="2"/>
          <w:sz w:val="44"/>
          <w:szCs w:val="44"/>
          <w:highlight w:val="none"/>
          <w:lang w:val="en-US" w:eastAsia="zh-CN" w:bidi="ar-SA"/>
        </w:rPr>
      </w:pPr>
      <w:bookmarkStart w:id="84" w:name="_Toc31192"/>
      <w:r>
        <w:rPr>
          <w:rFonts w:hint="eastAsia" w:ascii="方正小标宋简体" w:hAnsi="方正小标宋简体" w:eastAsia="方正小标宋简体" w:cs="方正小标宋简体"/>
          <w:b w:val="0"/>
          <w:bCs w:val="0"/>
          <w:color w:val="auto"/>
          <w:kern w:val="2"/>
          <w:sz w:val="44"/>
          <w:szCs w:val="44"/>
          <w:highlight w:val="none"/>
          <w:lang w:val="en-US" w:eastAsia="zh-CN" w:bidi="ar-SA"/>
        </w:rPr>
        <w:t>第九章  全面推进绿色低碳转型，精心打造</w:t>
      </w:r>
    </w:p>
    <w:p>
      <w:pPr>
        <w:pStyle w:val="8"/>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val="0"/>
          <w:color w:val="auto"/>
          <w:kern w:val="2"/>
          <w:sz w:val="44"/>
          <w:szCs w:val="44"/>
          <w:highlight w:val="none"/>
          <w:lang w:val="en-US" w:eastAsia="zh-CN" w:bidi="ar-SA"/>
        </w:rPr>
      </w:pPr>
      <w:r>
        <w:rPr>
          <w:rFonts w:hint="eastAsia" w:ascii="方正小标宋简体" w:hAnsi="方正小标宋简体" w:eastAsia="方正小标宋简体" w:cs="方正小标宋简体"/>
          <w:b w:val="0"/>
          <w:bCs w:val="0"/>
          <w:color w:val="auto"/>
          <w:kern w:val="2"/>
          <w:sz w:val="44"/>
          <w:szCs w:val="44"/>
          <w:highlight w:val="none"/>
          <w:lang w:val="en-US" w:eastAsia="zh-CN" w:bidi="ar-SA"/>
        </w:rPr>
        <w:t>生态美丽</w:t>
      </w:r>
      <w:bookmarkEnd w:id="84"/>
      <w:r>
        <w:rPr>
          <w:rFonts w:hint="eastAsia" w:ascii="方正小标宋简体" w:hAnsi="方正小标宋简体" w:eastAsia="方正小标宋简体" w:cs="方正小标宋简体"/>
          <w:b w:val="0"/>
          <w:bCs w:val="0"/>
          <w:color w:val="auto"/>
          <w:kern w:val="2"/>
          <w:sz w:val="44"/>
          <w:szCs w:val="44"/>
          <w:highlight w:val="none"/>
          <w:lang w:val="en-US" w:eastAsia="zh-CN" w:bidi="ar-SA"/>
        </w:rPr>
        <w:t>城市</w:t>
      </w:r>
    </w:p>
    <w:p>
      <w:pPr>
        <w:pStyle w:val="8"/>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val="0"/>
          <w:color w:val="auto"/>
          <w:kern w:val="2"/>
          <w:sz w:val="44"/>
          <w:szCs w:val="44"/>
          <w:highlight w:val="none"/>
          <w:lang w:val="en-US" w:eastAsia="zh-CN" w:bidi="ar-SA"/>
        </w:rPr>
      </w:pPr>
    </w:p>
    <w:p>
      <w:pPr>
        <w:keepNext w:val="0"/>
        <w:keepLines w:val="0"/>
        <w:pageBreakBefore w:val="0"/>
        <w:widowControl w:val="0"/>
        <w:kinsoku/>
        <w:wordWrap/>
        <w:overflowPunct w:val="0"/>
        <w:topLinePunct w:val="0"/>
        <w:autoSpaceDE/>
        <w:autoSpaceDN/>
        <w:bidi w:val="0"/>
        <w:adjustRightInd w:val="0"/>
        <w:snapToGrid w:val="0"/>
        <w:spacing w:beforeAutospacing="0" w:line="560" w:lineRule="exact"/>
        <w:ind w:firstLine="640" w:firstLineChars="200"/>
        <w:textAlignment w:val="auto"/>
        <w:outlineLvl w:val="9"/>
        <w:rPr>
          <w:rFonts w:hint="eastAsia" w:ascii="仿宋_GB2312" w:hAnsi="仿宋_GB2312" w:eastAsia="仿宋_GB2312" w:cs="仿宋_GB2312"/>
          <w:b w:val="0"/>
          <w:bCs w:val="0"/>
          <w:color w:val="auto"/>
          <w:sz w:val="32"/>
          <w:szCs w:val="32"/>
          <w:highlight w:val="none"/>
          <w:lang w:val="en-US" w:eastAsia="zh-CN" w:bidi="ar"/>
        </w:rPr>
      </w:pPr>
      <w:r>
        <w:rPr>
          <w:rFonts w:hint="default" w:ascii="仿宋_GB2312" w:hAnsi="仿宋_GB2312" w:eastAsia="仿宋_GB2312" w:cs="仿宋_GB2312"/>
          <w:b w:val="0"/>
          <w:bCs w:val="0"/>
          <w:color w:val="auto"/>
          <w:sz w:val="32"/>
          <w:szCs w:val="32"/>
          <w:highlight w:val="none"/>
          <w:lang w:val="en-US" w:eastAsia="zh-CN" w:bidi="ar"/>
        </w:rPr>
        <w:t>牢固树立和践行绿水青山就是金山银山的理念，以碳达峰碳中和为牵引，协同推进降碳、减污、扩绿、增长，筑牢生态安全屏障，增强绿色发展动能</w:t>
      </w:r>
      <w:r>
        <w:rPr>
          <w:rFonts w:hint="eastAsia" w:ascii="仿宋_GB2312" w:hAnsi="仿宋_GB2312" w:eastAsia="仿宋_GB2312" w:cs="仿宋_GB2312"/>
          <w:b w:val="0"/>
          <w:bCs w:val="0"/>
          <w:color w:val="auto"/>
          <w:sz w:val="32"/>
          <w:szCs w:val="32"/>
          <w:highlight w:val="none"/>
          <w:lang w:val="en-US" w:eastAsia="zh-CN" w:bidi="ar"/>
        </w:rPr>
        <w:t>，</w:t>
      </w:r>
      <w:r>
        <w:rPr>
          <w:rFonts w:hint="default" w:ascii="仿宋_GB2312" w:hAnsi="仿宋_GB2312" w:eastAsia="仿宋_GB2312" w:cs="仿宋_GB2312"/>
          <w:b w:val="0"/>
          <w:bCs w:val="0"/>
          <w:color w:val="auto"/>
          <w:sz w:val="32"/>
          <w:szCs w:val="32"/>
          <w:highlight w:val="none"/>
          <w:lang w:val="en-US" w:eastAsia="zh-CN" w:bidi="ar"/>
        </w:rPr>
        <w:t>建设人与自然和谐共生的美丽章丘。</w:t>
      </w:r>
    </w:p>
    <w:p>
      <w:pPr>
        <w:keepNext w:val="0"/>
        <w:keepLines w:val="0"/>
        <w:pageBreakBefore w:val="0"/>
        <w:widowControl w:val="0"/>
        <w:kinsoku/>
        <w:wordWrap/>
        <w:overflowPunct/>
        <w:topLinePunct w:val="0"/>
        <w:autoSpaceDE/>
        <w:autoSpaceDN/>
        <w:bidi w:val="0"/>
        <w:adjustRightInd w:val="0"/>
        <w:snapToGrid w:val="0"/>
        <w:spacing w:before="157" w:beforeLines="50" w:beforeAutospacing="0" w:after="157" w:afterLines="50" w:afterAutospacing="0" w:line="560" w:lineRule="exact"/>
        <w:ind w:left="0" w:leftChars="0" w:firstLine="0" w:firstLineChars="0"/>
        <w:jc w:val="center"/>
        <w:textAlignment w:val="auto"/>
        <w:outlineLvl w:val="1"/>
        <w:rPr>
          <w:rFonts w:hint="eastAsia" w:ascii="文星标宋" w:hAnsi="文星标宋" w:eastAsia="文星标宋" w:cs="文星标宋"/>
          <w:bCs/>
          <w:color w:val="auto"/>
          <w:kern w:val="44"/>
          <w:sz w:val="32"/>
          <w:szCs w:val="32"/>
          <w:highlight w:val="none"/>
          <w:lang w:val="en-US" w:eastAsia="zh-CN" w:bidi="ar"/>
        </w:rPr>
      </w:pPr>
      <w:bookmarkStart w:id="85" w:name="_Toc30780"/>
      <w:r>
        <w:rPr>
          <w:rFonts w:hint="eastAsia" w:ascii="文星标宋" w:hAnsi="文星标宋" w:eastAsia="文星标宋" w:cs="文星标宋"/>
          <w:bCs/>
          <w:color w:val="auto"/>
          <w:kern w:val="44"/>
          <w:sz w:val="32"/>
          <w:szCs w:val="32"/>
          <w:highlight w:val="none"/>
          <w:lang w:val="en-US" w:eastAsia="zh-CN" w:bidi="ar"/>
        </w:rPr>
        <w:t>第一节  积极稳妥推进和实现碳达峰</w:t>
      </w:r>
      <w:bookmarkEnd w:id="8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黑体" w:hAnsi="黑体" w:eastAsia="黑体" w:cs="黑体"/>
          <w:b w:val="0"/>
          <w:bCs w:val="0"/>
          <w:color w:val="auto"/>
          <w:sz w:val="32"/>
          <w:szCs w:val="32"/>
          <w:highlight w:val="none"/>
          <w:u w:val="none"/>
          <w:lang w:val="en-US" w:eastAsia="zh-CN"/>
        </w:rPr>
      </w:pPr>
      <w:bookmarkStart w:id="86" w:name="_Toc26441"/>
      <w:r>
        <w:rPr>
          <w:rFonts w:hint="eastAsia" w:ascii="黑体" w:hAnsi="黑体" w:eastAsia="黑体" w:cs="黑体"/>
          <w:b w:val="0"/>
          <w:bCs w:val="0"/>
          <w:color w:val="auto"/>
          <w:sz w:val="32"/>
          <w:szCs w:val="32"/>
          <w:highlight w:val="none"/>
          <w:u w:val="none"/>
          <w:lang w:val="en-US" w:eastAsia="zh-CN"/>
        </w:rPr>
        <w:t>一、建立健全低碳管理体系</w:t>
      </w:r>
      <w:bookmarkEnd w:id="86"/>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color w:val="auto"/>
          <w:sz w:val="32"/>
          <w:szCs w:val="32"/>
          <w:highlight w:val="none"/>
          <w:u w:val="none"/>
          <w:lang w:val="en-US" w:eastAsia="zh-CN"/>
        </w:rPr>
      </w:pPr>
      <w:r>
        <w:rPr>
          <w:rFonts w:hint="eastAsia" w:ascii="仿宋_GB2312" w:hAnsi="Calibri" w:eastAsia="仿宋_GB2312" w:cs="Times New Roman"/>
          <w:color w:val="auto"/>
          <w:sz w:val="32"/>
          <w:szCs w:val="32"/>
          <w:highlight w:val="none"/>
          <w:lang w:val="en-US" w:eastAsia="zh-CN"/>
        </w:rPr>
        <w:t>紧盯碳达峰碳中和目标，落实省市达峰行动方案，推动能源、工业、建筑等重点领域制定专项达峰计划。实施以碳排放强度控制为主、总量控制为辅的</w:t>
      </w:r>
      <w:bookmarkStart w:id="87" w:name="OLE_LINK3"/>
      <w:r>
        <w:rPr>
          <w:rFonts w:hint="eastAsia" w:ascii="仿宋_GB2312" w:hAnsi="Calibri" w:eastAsia="仿宋_GB2312" w:cs="Times New Roman"/>
          <w:color w:val="auto"/>
          <w:sz w:val="32"/>
          <w:szCs w:val="32"/>
          <w:highlight w:val="none"/>
          <w:lang w:val="en-US" w:eastAsia="zh-CN"/>
        </w:rPr>
        <w:t>“双控”制度</w:t>
      </w:r>
      <w:bookmarkEnd w:id="87"/>
      <w:r>
        <w:rPr>
          <w:rFonts w:hint="eastAsia" w:ascii="仿宋_GB2312" w:hAnsi="Calibri" w:eastAsia="仿宋_GB2312" w:cs="Times New Roman"/>
          <w:color w:val="auto"/>
          <w:sz w:val="32"/>
          <w:szCs w:val="32"/>
          <w:highlight w:val="none"/>
          <w:lang w:val="en-US" w:eastAsia="zh-CN"/>
        </w:rPr>
        <w:t>，完成上级下达目标任务。推动建材、化工、电力等重点行业尽早达峰。积极参与全国碳排放权交易，配合做好重点排放单位核查与配额清缴。推进碳普惠体系建设，拓展积分消纳渠道，搭建碳普惠应用场景。开发绿色金融工具，加大节能环保、绿色升级等领域金融支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黑体" w:hAnsi="黑体" w:eastAsia="黑体" w:cs="黑体"/>
          <w:b w:val="0"/>
          <w:bCs w:val="0"/>
          <w:color w:val="auto"/>
          <w:sz w:val="32"/>
          <w:szCs w:val="32"/>
          <w:highlight w:val="none"/>
          <w:u w:val="none"/>
          <w:lang w:val="en-US" w:eastAsia="zh-CN"/>
        </w:rPr>
      </w:pPr>
      <w:bookmarkStart w:id="88" w:name="_Toc18811"/>
      <w:r>
        <w:rPr>
          <w:rFonts w:hint="eastAsia" w:ascii="黑体" w:hAnsi="黑体" w:eastAsia="黑体" w:cs="黑体"/>
          <w:b w:val="0"/>
          <w:bCs w:val="0"/>
          <w:color w:val="auto"/>
          <w:sz w:val="32"/>
          <w:szCs w:val="32"/>
          <w:highlight w:val="none"/>
          <w:u w:val="none"/>
          <w:lang w:val="en-US" w:eastAsia="zh-CN"/>
        </w:rPr>
        <w:t>二、优化调整低碳能源结构</w:t>
      </w:r>
      <w:bookmarkEnd w:id="88"/>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alibri" w:eastAsia="仿宋_GB2312" w:cs="Times New Roman"/>
          <w:color w:val="auto"/>
          <w:sz w:val="32"/>
          <w:szCs w:val="32"/>
          <w:highlight w:val="none"/>
          <w:lang w:val="en-US" w:eastAsia="zh-CN"/>
        </w:rPr>
      </w:pPr>
      <w:r>
        <w:rPr>
          <w:rFonts w:hint="eastAsia" w:ascii="仿宋_GB2312" w:hAnsi="Calibri" w:eastAsia="仿宋_GB2312" w:cs="Times New Roman"/>
          <w:color w:val="auto"/>
          <w:sz w:val="32"/>
          <w:szCs w:val="32"/>
          <w:highlight w:val="none"/>
          <w:lang w:val="en-US" w:eastAsia="zh-CN"/>
        </w:rPr>
        <w:t>严控化石能源消费，持续推进规上工业企业煤炭消费压减，合理控制煤电规模。加快非化石能源开发利用，推进光伏跨越发展工程，建设“光伏＋”集中式电站，发展生物质热电联产。加强智慧能源体系建设，推动人工智能、物联网等技术在能源领域应用，建设智慧能源互联网平台。发展绿色低碳能源，统筹氢能制储加用全链条，推进“氢进万家”示范。加快工业低温余热回收利用，畅通余热入网渠道，推进产业园区余热梯级利用。持续推进能源电网建设，加快220kV七星站、110kV文祖变电站建设，建设高比例容纳分布式新能源的智能配电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黑体" w:hAnsi="黑体" w:eastAsia="黑体" w:cs="黑体"/>
          <w:b w:val="0"/>
          <w:bCs w:val="0"/>
          <w:color w:val="auto"/>
          <w:sz w:val="32"/>
          <w:szCs w:val="32"/>
          <w:highlight w:val="none"/>
          <w:u w:val="none"/>
          <w:lang w:val="en-US" w:eastAsia="zh-CN"/>
        </w:rPr>
      </w:pPr>
      <w:bookmarkStart w:id="89" w:name="_Toc32643"/>
      <w:r>
        <w:rPr>
          <w:rFonts w:hint="eastAsia" w:ascii="黑体" w:hAnsi="黑体" w:eastAsia="黑体" w:cs="黑体"/>
          <w:b w:val="0"/>
          <w:bCs w:val="0"/>
          <w:color w:val="auto"/>
          <w:sz w:val="32"/>
          <w:szCs w:val="32"/>
          <w:highlight w:val="none"/>
          <w:u w:val="none"/>
          <w:lang w:val="en-US" w:eastAsia="zh-CN"/>
        </w:rPr>
        <w:t>三、深入推进产业绿色低碳发展</w:t>
      </w:r>
      <w:bookmarkEnd w:id="8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color w:val="auto"/>
          <w:sz w:val="32"/>
          <w:szCs w:val="32"/>
          <w:highlight w:val="none"/>
          <w:u w:val="none"/>
          <w:lang w:val="en-US" w:eastAsia="zh-CN"/>
        </w:rPr>
      </w:pPr>
      <w:r>
        <w:rPr>
          <w:rFonts w:hint="eastAsia" w:ascii="仿宋_GB2312" w:hAnsi="Calibri" w:eastAsia="仿宋_GB2312" w:cs="Times New Roman"/>
          <w:color w:val="auto"/>
          <w:sz w:val="32"/>
          <w:szCs w:val="32"/>
          <w:highlight w:val="none"/>
          <w:lang w:val="en-US" w:eastAsia="zh-CN"/>
        </w:rPr>
        <w:t>坚决遏制“两高”项目盲目发展，推动重点行业能效提标改造，实施节能技改与余热利用，提升能效水平。大力推进清洁生产，严格执行能效、排放标准，推进差别化审核。推动重点行业绿色化改造，推广纯氧燃烧等低碳技术，推动</w:t>
      </w:r>
      <w:bookmarkStart w:id="90" w:name="OLE_LINK8"/>
      <w:r>
        <w:rPr>
          <w:rFonts w:hint="eastAsia" w:ascii="仿宋_GB2312" w:hAnsi="Calibri" w:eastAsia="仿宋_GB2312" w:cs="Times New Roman"/>
          <w:color w:val="auto"/>
          <w:sz w:val="32"/>
          <w:szCs w:val="32"/>
          <w:highlight w:val="none"/>
        </w:rPr>
        <w:t>碳捕集利用与封存</w:t>
      </w:r>
      <w:bookmarkEnd w:id="90"/>
      <w:r>
        <w:rPr>
          <w:rFonts w:hint="eastAsia" w:ascii="仿宋_GB2312" w:hAnsi="Calibri" w:eastAsia="仿宋_GB2312" w:cs="Times New Roman"/>
          <w:color w:val="auto"/>
          <w:sz w:val="32"/>
          <w:szCs w:val="32"/>
          <w:highlight w:val="none"/>
          <w:lang w:val="en-US" w:eastAsia="zh-CN"/>
        </w:rPr>
        <w:t>（CCUS）研发应用。加快推动零碳园区建设，构建绿色产业链供应链，培育绿色工厂、园区和供应链管理企业，推进</w:t>
      </w:r>
      <w:r>
        <w:rPr>
          <w:rFonts w:hint="eastAsia" w:ascii="仿宋_GB2312" w:hAnsi="仿宋_GB2312" w:eastAsia="仿宋_GB2312" w:cs="仿宋_GB2312"/>
          <w:b w:val="0"/>
          <w:bCs w:val="0"/>
          <w:caps w:val="0"/>
          <w:color w:val="auto"/>
          <w:spacing w:val="0"/>
          <w:kern w:val="2"/>
          <w:sz w:val="32"/>
          <w:szCs w:val="32"/>
          <w:highlight w:val="none"/>
          <w:u w:val="none"/>
          <w:lang w:val="en-US" w:eastAsia="zh-CN" w:bidi="ar-SA"/>
        </w:rPr>
        <w:t>黄河滩区迁建产业高质量发展低碳环保产业园项目</w:t>
      </w:r>
      <w:r>
        <w:rPr>
          <w:rFonts w:hint="eastAsia" w:ascii="仿宋_GB2312" w:hAnsi="Calibri" w:eastAsia="仿宋_GB2312" w:cs="Times New Roman"/>
          <w:color w:val="auto"/>
          <w:sz w:val="32"/>
          <w:szCs w:val="32"/>
          <w:highlight w:val="none"/>
          <w:lang w:val="en-US" w:eastAsia="zh-CN"/>
        </w:rPr>
        <w:t>建设，到2030年末，新认定市级以上绿色制造企业、绿色供应链管理企业50家以上。大力发展绿色新兴产业与节能环保产业，提升高端装备、新材料等产业绿色化、智能化水平。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黑体" w:hAnsi="黑体" w:eastAsia="黑体" w:cs="黑体"/>
          <w:b w:val="0"/>
          <w:bCs w:val="0"/>
          <w:color w:val="auto"/>
          <w:sz w:val="32"/>
          <w:szCs w:val="32"/>
          <w:highlight w:val="none"/>
          <w:u w:val="none"/>
          <w:lang w:val="en-US" w:eastAsia="zh-CN"/>
        </w:rPr>
      </w:pPr>
      <w:bookmarkStart w:id="91" w:name="_Toc1539"/>
      <w:r>
        <w:rPr>
          <w:rFonts w:hint="eastAsia" w:ascii="黑体" w:hAnsi="黑体" w:eastAsia="黑体" w:cs="黑体"/>
          <w:b w:val="0"/>
          <w:bCs w:val="0"/>
          <w:color w:val="auto"/>
          <w:sz w:val="32"/>
          <w:szCs w:val="32"/>
          <w:highlight w:val="none"/>
          <w:u w:val="none"/>
          <w:lang w:val="en-US" w:eastAsia="zh-CN"/>
        </w:rPr>
        <w:t>四、大力发展循环经济</w:t>
      </w:r>
      <w:bookmarkEnd w:id="9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alibri" w:eastAsia="仿宋_GB2312" w:cs="Times New Roman"/>
          <w:color w:val="auto"/>
          <w:sz w:val="32"/>
          <w:szCs w:val="32"/>
          <w:highlight w:val="none"/>
          <w:lang w:val="en-US" w:eastAsia="zh-CN"/>
        </w:rPr>
      </w:pPr>
      <w:r>
        <w:rPr>
          <w:rFonts w:hint="eastAsia" w:ascii="仿宋_GB2312" w:hAnsi="Calibri" w:eastAsia="仿宋_GB2312" w:cs="Times New Roman"/>
          <w:color w:val="auto"/>
          <w:sz w:val="32"/>
          <w:szCs w:val="32"/>
          <w:highlight w:val="none"/>
          <w:lang w:val="en-US" w:eastAsia="zh-CN"/>
        </w:rPr>
        <w:t>深化“无废城市”建设，构建覆盖全社会的资源循环利用体系，推进产业园区循环化改造，促进工业固体废物、建筑垃圾、生活垃圾等资源高效利用。完善再生资源回收网络，推动再生金属、废塑料、废旧纺织品等再生资源规模化、规范化利用。推行生产者责任延伸制度，鼓励企业开展绿色设计和易拆解产品研发。推动重点行业实施清洁生产，提高工业固废综合利用率，推广水泥生产原料替代，推进粉煤灰高价值化利用等技术研究应用。推进济南刁镇化工产业园循环式发展，支持建设绿色园区、零碳园区、零碳工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黑体" w:hAnsi="黑体" w:eastAsia="黑体" w:cs="黑体"/>
          <w:b w:val="0"/>
          <w:bCs w:val="0"/>
          <w:color w:val="auto"/>
          <w:sz w:val="32"/>
          <w:szCs w:val="32"/>
          <w:highlight w:val="none"/>
          <w:u w:val="none"/>
          <w:lang w:val="en-US" w:eastAsia="zh-CN"/>
        </w:rPr>
      </w:pPr>
      <w:bookmarkStart w:id="92" w:name="_Toc32104"/>
      <w:r>
        <w:rPr>
          <w:rFonts w:hint="eastAsia" w:ascii="黑体" w:hAnsi="黑体" w:eastAsia="黑体" w:cs="黑体"/>
          <w:b w:val="0"/>
          <w:bCs w:val="0"/>
          <w:color w:val="auto"/>
          <w:sz w:val="32"/>
          <w:szCs w:val="32"/>
          <w:highlight w:val="none"/>
          <w:u w:val="none"/>
          <w:lang w:val="en-US" w:eastAsia="zh-CN"/>
        </w:rPr>
        <w:t>五、倡导绿色低碳生活方式</w:t>
      </w:r>
      <w:bookmarkEnd w:id="92"/>
    </w:p>
    <w:p>
      <w:pPr>
        <w:keepNext w:val="0"/>
        <w:keepLines w:val="0"/>
        <w:pageBreakBefore w:val="0"/>
        <w:widowControl w:val="0"/>
        <w:kinsoku/>
        <w:wordWrap/>
        <w:topLinePunct w:val="0"/>
        <w:autoSpaceDE/>
        <w:autoSpaceDN/>
        <w:bidi w:val="0"/>
        <w:spacing w:line="560" w:lineRule="exact"/>
        <w:ind w:firstLine="640" w:firstLineChars="200"/>
        <w:jc w:val="both"/>
        <w:textAlignment w:val="auto"/>
        <w:rPr>
          <w:rFonts w:hint="eastAsia" w:ascii="仿宋_GB2312" w:hAnsi="Calibri" w:eastAsia="仿宋_GB2312" w:cs="Times New Roman"/>
          <w:color w:val="auto"/>
          <w:sz w:val="32"/>
          <w:szCs w:val="32"/>
          <w:highlight w:val="none"/>
          <w:lang w:val="en-US" w:eastAsia="zh-CN"/>
        </w:rPr>
      </w:pPr>
      <w:r>
        <w:rPr>
          <w:rFonts w:hint="eastAsia" w:ascii="仿宋_GB2312" w:hAnsi="Calibri" w:eastAsia="仿宋_GB2312" w:cs="Times New Roman"/>
          <w:color w:val="auto"/>
          <w:sz w:val="32"/>
          <w:szCs w:val="32"/>
          <w:highlight w:val="none"/>
          <w:lang w:val="en-US" w:eastAsia="zh-CN"/>
        </w:rPr>
        <w:t>倡导全民绿色低碳生活，深化节约型机关、绿色家庭、绿色学校等创建，组织节能宣传周、低碳日、世界环境日等主题宣传活动。构建绿色高效交通运输体系，优化运输结构，推广低碳交通运输工具，推动交通运输动力绿色低碳替代。推进城乡建设绿色低碳发展，实施既有建筑和市政设施节能改造，探索构建绿色建造体系，加快推进绿色社区、低碳乡村建设。倡导合理消费，推进全民在衣、食、游、住、行等方面向勤俭节约、绿色低碳、文明健康的方式转变。</w:t>
      </w:r>
    </w:p>
    <w:p>
      <w:pPr>
        <w:keepNext w:val="0"/>
        <w:keepLines w:val="0"/>
        <w:pageBreakBefore w:val="0"/>
        <w:widowControl w:val="0"/>
        <w:kinsoku/>
        <w:wordWrap/>
        <w:overflowPunct/>
        <w:topLinePunct w:val="0"/>
        <w:autoSpaceDE/>
        <w:autoSpaceDN/>
        <w:bidi w:val="0"/>
        <w:adjustRightInd w:val="0"/>
        <w:snapToGrid w:val="0"/>
        <w:spacing w:before="157" w:beforeLines="50" w:beforeAutospacing="0" w:after="157" w:afterLines="50" w:afterAutospacing="0" w:line="560" w:lineRule="exact"/>
        <w:ind w:left="0" w:leftChars="0" w:firstLine="0" w:firstLineChars="0"/>
        <w:jc w:val="center"/>
        <w:textAlignment w:val="auto"/>
        <w:outlineLvl w:val="1"/>
        <w:rPr>
          <w:rFonts w:hint="eastAsia" w:ascii="文星标宋" w:hAnsi="文星标宋" w:eastAsia="文星标宋" w:cs="文星标宋"/>
          <w:bCs/>
          <w:color w:val="auto"/>
          <w:kern w:val="44"/>
          <w:sz w:val="32"/>
          <w:szCs w:val="32"/>
          <w:highlight w:val="none"/>
          <w:lang w:val="en-US" w:eastAsia="zh-CN" w:bidi="ar"/>
        </w:rPr>
      </w:pPr>
      <w:bookmarkStart w:id="93" w:name="_Toc26695"/>
      <w:r>
        <w:rPr>
          <w:rFonts w:hint="eastAsia" w:ascii="文星标宋" w:hAnsi="文星标宋" w:eastAsia="文星标宋" w:cs="文星标宋"/>
          <w:bCs/>
          <w:color w:val="auto"/>
          <w:kern w:val="44"/>
          <w:sz w:val="32"/>
          <w:szCs w:val="32"/>
          <w:highlight w:val="none"/>
          <w:lang w:val="en-US" w:eastAsia="zh-CN" w:bidi="ar"/>
        </w:rPr>
        <w:t>第二节  持续深入推进污染防治攻坚</w:t>
      </w:r>
      <w:bookmarkEnd w:id="9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黑体" w:hAnsi="黑体" w:eastAsia="黑体" w:cs="黑体"/>
          <w:b w:val="0"/>
          <w:bCs w:val="0"/>
          <w:color w:val="auto"/>
          <w:sz w:val="32"/>
          <w:szCs w:val="32"/>
          <w:highlight w:val="none"/>
          <w:u w:val="none"/>
          <w:lang w:val="en-US" w:eastAsia="zh-CN"/>
        </w:rPr>
      </w:pPr>
      <w:bookmarkStart w:id="94" w:name="_Toc7582"/>
      <w:bookmarkStart w:id="95" w:name="OLE_LINK4"/>
      <w:r>
        <w:rPr>
          <w:rFonts w:hint="eastAsia" w:ascii="黑体" w:hAnsi="黑体" w:eastAsia="黑体" w:cs="黑体"/>
          <w:b w:val="0"/>
          <w:bCs w:val="0"/>
          <w:color w:val="auto"/>
          <w:sz w:val="32"/>
          <w:szCs w:val="32"/>
          <w:highlight w:val="none"/>
          <w:u w:val="none"/>
          <w:lang w:val="en-US" w:eastAsia="zh-CN"/>
        </w:rPr>
        <w:t>一、持续打好蓝天保卫战</w:t>
      </w:r>
      <w:bookmarkEnd w:id="94"/>
    </w:p>
    <w:p>
      <w:pPr>
        <w:keepNext w:val="0"/>
        <w:keepLines w:val="0"/>
        <w:pageBreakBefore w:val="0"/>
        <w:widowControl w:val="0"/>
        <w:kinsoku/>
        <w:wordWrap/>
        <w:topLinePunct w:val="0"/>
        <w:autoSpaceDE/>
        <w:autoSpaceDN/>
        <w:bidi w:val="0"/>
        <w:spacing w:line="560" w:lineRule="exact"/>
        <w:ind w:firstLine="640" w:firstLineChars="200"/>
        <w:jc w:val="both"/>
        <w:textAlignment w:val="auto"/>
        <w:rPr>
          <w:rFonts w:hint="eastAsia" w:ascii="仿宋_GB2312" w:hAnsi="Courier New" w:eastAsia="仿宋_GB2312" w:cs="Times New Roman"/>
          <w:color w:val="auto"/>
          <w:kern w:val="21"/>
          <w:sz w:val="32"/>
          <w:szCs w:val="32"/>
          <w:highlight w:val="none"/>
          <w:u w:val="none"/>
          <w:lang w:val="en-US" w:eastAsia="zh-CN" w:bidi="ar-SA"/>
        </w:rPr>
      </w:pPr>
      <w:r>
        <w:rPr>
          <w:rFonts w:hint="eastAsia" w:ascii="仿宋_GB2312" w:hAnsi="Courier New" w:eastAsia="仿宋_GB2312" w:cs="Times New Roman"/>
          <w:color w:val="auto"/>
          <w:kern w:val="21"/>
          <w:sz w:val="32"/>
          <w:szCs w:val="32"/>
          <w:highlight w:val="none"/>
          <w:u w:val="none"/>
          <w:lang w:val="en-US" w:eastAsia="zh-CN" w:bidi="ar-SA"/>
        </w:rPr>
        <w:t>强化多污染物协同控制和区域协同治理，</w:t>
      </w:r>
      <w:r>
        <w:rPr>
          <w:rFonts w:hint="eastAsia" w:ascii="仿宋_GB2312" w:hAnsi="Calibri" w:eastAsia="仿宋_GB2312" w:cs="Times New Roman"/>
          <w:color w:val="auto"/>
          <w:kern w:val="21"/>
          <w:sz w:val="32"/>
          <w:szCs w:val="32"/>
          <w:highlight w:val="none"/>
          <w:u w:val="none"/>
        </w:rPr>
        <w:t>有序推进国三及以下排放标准非营运柴油货车淘汰</w:t>
      </w:r>
      <w:r>
        <w:rPr>
          <w:rFonts w:hint="eastAsia" w:ascii="仿宋_GB2312" w:hAnsi="Courier New" w:eastAsia="仿宋_GB2312" w:cs="Times New Roman"/>
          <w:color w:val="auto"/>
          <w:kern w:val="21"/>
          <w:sz w:val="32"/>
          <w:szCs w:val="32"/>
          <w:highlight w:val="none"/>
          <w:u w:val="none"/>
          <w:lang w:val="en-US" w:eastAsia="zh-CN" w:bidi="ar-SA"/>
        </w:rPr>
        <w:t>，推动大气环境质量持续向好。严格扬尘污染管控，落实扬尘防治帮包责任制，推动规模以上建设工地“新八条”措施全覆盖。推进工业污染源深度治理，实施水泥等重点行业超低排放改造和挥发性有机物（VOCs）全流程整治，加快含VOCs原辅材料源头替代。强化移动源污染防治，加大柴油货车路检路查和非道路移动机械编码登记力度，严查超标排放行为。</w:t>
      </w:r>
      <w:r>
        <w:rPr>
          <w:rFonts w:hint="eastAsia" w:ascii="仿宋_GB2312" w:hAnsi="Courier New" w:eastAsia="仿宋_GB2312" w:cs="Times New Roman"/>
          <w:color w:val="auto"/>
          <w:kern w:val="21"/>
          <w:sz w:val="32"/>
          <w:szCs w:val="32"/>
          <w:highlight w:val="none"/>
          <w:u w:val="none"/>
          <w:lang w:val="en-US" w:eastAsia="zh-CN"/>
        </w:rPr>
        <w:t>严格烟花爆竹产销储运等环节监管</w:t>
      </w:r>
      <w:r>
        <w:rPr>
          <w:rFonts w:hint="eastAsia" w:ascii="仿宋_GB2312" w:hAnsi="Courier New" w:eastAsia="仿宋_GB2312" w:cs="Times New Roman"/>
          <w:color w:val="auto"/>
          <w:kern w:val="21"/>
          <w:sz w:val="32"/>
          <w:szCs w:val="32"/>
          <w:highlight w:val="none"/>
          <w:u w:val="none"/>
          <w:lang w:eastAsia="zh-CN"/>
        </w:rPr>
        <w:t>，</w:t>
      </w:r>
      <w:r>
        <w:rPr>
          <w:rFonts w:hint="eastAsia" w:ascii="仿宋_GB2312" w:hAnsi="Courier New" w:eastAsia="仿宋_GB2312" w:cs="Times New Roman"/>
          <w:color w:val="auto"/>
          <w:kern w:val="21"/>
          <w:sz w:val="32"/>
          <w:szCs w:val="32"/>
          <w:highlight w:val="none"/>
          <w:u w:val="none"/>
        </w:rPr>
        <w:t>依法依规加强高污染禁燃区</w:t>
      </w:r>
      <w:r>
        <w:rPr>
          <w:rFonts w:hint="eastAsia" w:ascii="仿宋_GB2312" w:hAnsi="Courier New" w:eastAsia="仿宋_GB2312" w:cs="Times New Roman"/>
          <w:color w:val="auto"/>
          <w:kern w:val="21"/>
          <w:sz w:val="32"/>
          <w:szCs w:val="32"/>
          <w:highlight w:val="none"/>
          <w:u w:val="none"/>
          <w:lang w:val="en-US" w:eastAsia="zh-CN"/>
        </w:rPr>
        <w:t>管理</w:t>
      </w:r>
      <w:r>
        <w:rPr>
          <w:rFonts w:hint="eastAsia" w:ascii="仿宋_GB2312" w:hAnsi="Courier New" w:eastAsia="仿宋_GB2312" w:cs="Times New Roman"/>
          <w:color w:val="auto"/>
          <w:kern w:val="21"/>
          <w:sz w:val="32"/>
          <w:szCs w:val="32"/>
          <w:highlight w:val="none"/>
          <w:u w:val="none"/>
        </w:rPr>
        <w:t>。</w:t>
      </w:r>
      <w:r>
        <w:rPr>
          <w:rFonts w:hint="eastAsia" w:ascii="仿宋_GB2312" w:hAnsi="Courier New" w:eastAsia="仿宋_GB2312" w:cs="Times New Roman"/>
          <w:color w:val="auto"/>
          <w:kern w:val="21"/>
          <w:sz w:val="32"/>
          <w:szCs w:val="32"/>
          <w:highlight w:val="none"/>
          <w:u w:val="none"/>
          <w:lang w:val="en-US" w:eastAsia="zh-CN" w:bidi="ar-SA"/>
        </w:rPr>
        <w:t>加强重污染天气应对，完善应急减排清单，提升预警响应能力。强化秸秆禁烧管控，运用无人机、遥感等技术提升监管效能。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黑体" w:hAnsi="黑体" w:eastAsia="黑体" w:cs="黑体"/>
          <w:b w:val="0"/>
          <w:bCs w:val="0"/>
          <w:color w:val="auto"/>
          <w:sz w:val="32"/>
          <w:szCs w:val="32"/>
          <w:highlight w:val="none"/>
          <w:u w:val="none"/>
          <w:lang w:val="en-US" w:eastAsia="zh-CN"/>
        </w:rPr>
      </w:pPr>
      <w:bookmarkStart w:id="96" w:name="_Toc7303"/>
      <w:r>
        <w:rPr>
          <w:rFonts w:hint="eastAsia" w:ascii="黑体" w:hAnsi="黑体" w:eastAsia="黑体" w:cs="黑体"/>
          <w:b w:val="0"/>
          <w:bCs w:val="0"/>
          <w:color w:val="auto"/>
          <w:sz w:val="32"/>
          <w:szCs w:val="32"/>
          <w:highlight w:val="none"/>
          <w:u w:val="none"/>
          <w:lang w:val="en-US" w:eastAsia="zh-CN"/>
        </w:rPr>
        <w:t>二、深入打好碧水保卫战</w:t>
      </w:r>
      <w:bookmarkEnd w:id="96"/>
    </w:p>
    <w:p>
      <w:pPr>
        <w:keepNext w:val="0"/>
        <w:keepLines w:val="0"/>
        <w:pageBreakBefore w:val="0"/>
        <w:widowControl w:val="0"/>
        <w:kinsoku/>
        <w:wordWrap/>
        <w:topLinePunct w:val="0"/>
        <w:autoSpaceDE/>
        <w:autoSpaceDN/>
        <w:bidi w:val="0"/>
        <w:spacing w:line="560" w:lineRule="exact"/>
        <w:ind w:firstLine="640" w:firstLineChars="200"/>
        <w:jc w:val="both"/>
        <w:textAlignment w:val="auto"/>
        <w:rPr>
          <w:rFonts w:hint="eastAsia" w:ascii="仿宋_GB2312" w:hAnsi="Courier New" w:eastAsia="仿宋_GB2312" w:cs="Times New Roman"/>
          <w:color w:val="auto"/>
          <w:kern w:val="21"/>
          <w:sz w:val="32"/>
          <w:szCs w:val="32"/>
          <w:highlight w:val="none"/>
          <w:u w:val="none"/>
          <w:lang w:val="en-US" w:eastAsia="zh-CN" w:bidi="ar-SA"/>
        </w:rPr>
      </w:pPr>
      <w:r>
        <w:rPr>
          <w:rFonts w:hint="eastAsia" w:ascii="仿宋_GB2312" w:hAnsi="仿宋_GB2312" w:eastAsia="仿宋_GB2312" w:cs="仿宋_GB2312"/>
          <w:b w:val="0"/>
          <w:bCs w:val="0"/>
          <w:caps w:val="0"/>
          <w:color w:val="auto"/>
          <w:spacing w:val="0"/>
          <w:kern w:val="0"/>
          <w:sz w:val="32"/>
          <w:szCs w:val="32"/>
          <w:highlight w:val="none"/>
          <w:lang w:val="en-US" w:eastAsia="zh-CN" w:bidi="ar-SA"/>
        </w:rPr>
        <w:t>严格水资源总量控制，大力推广节水工艺和技术，支持企业开展节水技术改造及再生水回用改造，支持工业节水示范（典范）企业、节水型企业、节水标杆园区建设工作。强化城乡黑臭水体监督管理和强化入河排污口整治工作，持续巩固城市建成区市政雨污合流管网改造成果</w:t>
      </w:r>
      <w:r>
        <w:rPr>
          <w:rFonts w:hint="eastAsia" w:ascii="仿宋_GB2312" w:hAnsi="Courier New" w:eastAsia="仿宋_GB2312" w:cs="Times New Roman"/>
          <w:color w:val="auto"/>
          <w:kern w:val="21"/>
          <w:sz w:val="32"/>
          <w:szCs w:val="32"/>
          <w:highlight w:val="none"/>
          <w:u w:val="none"/>
          <w:lang w:val="en-US" w:eastAsia="zh-CN" w:bidi="ar-SA"/>
        </w:rPr>
        <w:t>。抓好国省市控断面水质达标管控工作，加强污染源头防控，持续改善水环境质量。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黑体" w:hAnsi="黑体" w:eastAsia="黑体" w:cs="黑体"/>
          <w:b w:val="0"/>
          <w:bCs w:val="0"/>
          <w:color w:val="auto"/>
          <w:sz w:val="32"/>
          <w:szCs w:val="32"/>
          <w:highlight w:val="none"/>
          <w:u w:val="none"/>
          <w:lang w:val="en-US" w:eastAsia="zh-CN"/>
        </w:rPr>
      </w:pPr>
      <w:bookmarkStart w:id="97" w:name="_Toc156"/>
      <w:r>
        <w:rPr>
          <w:rFonts w:hint="eastAsia" w:ascii="黑体" w:hAnsi="黑体" w:eastAsia="黑体" w:cs="黑体"/>
          <w:b w:val="0"/>
          <w:bCs w:val="0"/>
          <w:color w:val="auto"/>
          <w:sz w:val="32"/>
          <w:szCs w:val="32"/>
          <w:highlight w:val="none"/>
          <w:u w:val="none"/>
          <w:lang w:val="en-US" w:eastAsia="zh-CN"/>
        </w:rPr>
        <w:t>三、深入打好净土保卫战</w:t>
      </w:r>
      <w:bookmarkEnd w:id="97"/>
    </w:p>
    <w:p>
      <w:pPr>
        <w:keepNext w:val="0"/>
        <w:keepLines w:val="0"/>
        <w:pageBreakBefore w:val="0"/>
        <w:widowControl w:val="0"/>
        <w:kinsoku/>
        <w:wordWrap/>
        <w:topLinePunct w:val="0"/>
        <w:autoSpaceDE/>
        <w:autoSpaceDN/>
        <w:bidi w:val="0"/>
        <w:spacing w:line="560" w:lineRule="exact"/>
        <w:ind w:firstLine="640" w:firstLineChars="200"/>
        <w:jc w:val="both"/>
        <w:textAlignment w:val="auto"/>
        <w:rPr>
          <w:rFonts w:ascii="Calibri" w:hAnsi="Calibri" w:eastAsia="宋体" w:cs="Times New Roman"/>
          <w:color w:val="auto"/>
          <w:sz w:val="32"/>
          <w:szCs w:val="32"/>
          <w:highlight w:val="none"/>
        </w:rPr>
      </w:pPr>
      <w:r>
        <w:rPr>
          <w:rFonts w:hint="eastAsia" w:ascii="仿宋_GB2312" w:hAnsi="Calibri" w:eastAsia="仿宋_GB2312" w:cs="Times New Roman"/>
          <w:color w:val="auto"/>
          <w:kern w:val="21"/>
          <w:sz w:val="32"/>
          <w:szCs w:val="32"/>
          <w:highlight w:val="none"/>
          <w:u w:val="none"/>
          <w:lang w:val="en-US" w:eastAsia="zh-CN"/>
        </w:rPr>
        <w:t>实施农用地分类管理，保障农产品质量安全。强化未污染土壤保护，严控新增土壤污染。加强土壤污染重点监管单位管理。严格落实建设用地风险管控和修复名录管理制度。加快实施建筑垃圾综合利用、餐厨垃圾生物处理二期等重点项目</w:t>
      </w:r>
      <w:r>
        <w:rPr>
          <w:rFonts w:hint="eastAsia" w:ascii="仿宋_GB2312" w:hAnsi="Calibri" w:eastAsia="仿宋_GB2312" w:cs="Times New Roman"/>
          <w:color w:val="auto"/>
          <w:kern w:val="21"/>
          <w:sz w:val="32"/>
          <w:szCs w:val="32"/>
          <w:highlight w:val="none"/>
          <w:u w:val="none"/>
        </w:rPr>
        <w:t>。持续做好砂石资源扎口管理运营，深入推进中央和省级生态环境保护督察反馈问题整改。</w:t>
      </w:r>
      <w:r>
        <w:rPr>
          <w:rFonts w:hint="eastAsia" w:ascii="仿宋_GB2312" w:hAnsi="Calibri" w:eastAsia="仿宋_GB2312" w:cs="Times New Roman"/>
          <w:color w:val="auto"/>
          <w:kern w:val="21"/>
          <w:sz w:val="32"/>
          <w:szCs w:val="32"/>
          <w:highlight w:val="none"/>
          <w:u w:val="none"/>
          <w:lang w:eastAsia="zh-CN"/>
        </w:rPr>
        <w:t>持续推进新化学物质环境宣传和监管，探索开展新污染物治理工作</w:t>
      </w:r>
      <w:r>
        <w:rPr>
          <w:rFonts w:hint="eastAsia" w:ascii="仿宋_GB2312" w:hAnsi="Calibri" w:eastAsia="仿宋_GB2312" w:cs="Times New Roman"/>
          <w:color w:val="auto"/>
          <w:kern w:val="21"/>
          <w:sz w:val="32"/>
          <w:szCs w:val="32"/>
          <w:highlight w:val="none"/>
          <w:u w:val="none"/>
        </w:rPr>
        <w:t>。</w:t>
      </w:r>
    </w:p>
    <w:bookmarkEnd w:id="95"/>
    <w:p>
      <w:pPr>
        <w:keepNext w:val="0"/>
        <w:keepLines w:val="0"/>
        <w:pageBreakBefore w:val="0"/>
        <w:widowControl w:val="0"/>
        <w:kinsoku/>
        <w:wordWrap/>
        <w:overflowPunct/>
        <w:topLinePunct w:val="0"/>
        <w:autoSpaceDE/>
        <w:autoSpaceDN/>
        <w:bidi w:val="0"/>
        <w:adjustRightInd w:val="0"/>
        <w:snapToGrid w:val="0"/>
        <w:spacing w:before="157" w:beforeLines="50" w:beforeAutospacing="0" w:after="157" w:afterLines="50" w:afterAutospacing="0" w:line="560" w:lineRule="exact"/>
        <w:ind w:left="0" w:leftChars="0" w:firstLine="0" w:firstLineChars="0"/>
        <w:jc w:val="center"/>
        <w:textAlignment w:val="auto"/>
        <w:outlineLvl w:val="1"/>
        <w:rPr>
          <w:rFonts w:hint="eastAsia" w:ascii="文星标宋" w:hAnsi="文星标宋" w:eastAsia="文星标宋" w:cs="文星标宋"/>
          <w:bCs/>
          <w:color w:val="auto"/>
          <w:kern w:val="44"/>
          <w:sz w:val="32"/>
          <w:szCs w:val="32"/>
          <w:highlight w:val="none"/>
          <w:lang w:val="en-US" w:eastAsia="zh-CN" w:bidi="ar"/>
        </w:rPr>
      </w:pPr>
      <w:bookmarkStart w:id="98" w:name="_Toc13236"/>
      <w:r>
        <w:rPr>
          <w:rFonts w:hint="eastAsia" w:ascii="文星标宋" w:hAnsi="文星标宋" w:eastAsia="文星标宋" w:cs="文星标宋"/>
          <w:bCs/>
          <w:color w:val="auto"/>
          <w:kern w:val="44"/>
          <w:sz w:val="32"/>
          <w:szCs w:val="32"/>
          <w:highlight w:val="none"/>
          <w:lang w:val="en-US" w:eastAsia="zh-CN" w:bidi="ar"/>
        </w:rPr>
        <w:t>第三节  加强生态系统保护修复</w:t>
      </w:r>
      <w:bookmarkEnd w:id="98"/>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黑体" w:hAnsi="黑体" w:eastAsia="黑体" w:cs="黑体"/>
          <w:b w:val="0"/>
          <w:bCs w:val="0"/>
          <w:color w:val="auto"/>
          <w:sz w:val="32"/>
          <w:szCs w:val="32"/>
          <w:highlight w:val="none"/>
          <w:u w:val="none"/>
          <w:lang w:val="en-US" w:eastAsia="zh-CN"/>
        </w:rPr>
      </w:pPr>
      <w:bookmarkStart w:id="99" w:name="_Toc23986"/>
      <w:r>
        <w:rPr>
          <w:rFonts w:hint="eastAsia" w:ascii="黑体" w:hAnsi="黑体" w:eastAsia="黑体" w:cs="黑体"/>
          <w:b w:val="0"/>
          <w:bCs w:val="0"/>
          <w:color w:val="auto"/>
          <w:sz w:val="32"/>
          <w:szCs w:val="32"/>
          <w:highlight w:val="none"/>
          <w:u w:val="none"/>
          <w:lang w:val="en-US" w:eastAsia="zh-CN"/>
        </w:rPr>
        <w:t>一、增强国土空间规划约束功能</w:t>
      </w:r>
      <w:bookmarkEnd w:id="99"/>
    </w:p>
    <w:p>
      <w:pPr>
        <w:keepNext w:val="0"/>
        <w:keepLines w:val="0"/>
        <w:pageBreakBefore w:val="0"/>
        <w:widowControl w:val="0"/>
        <w:kinsoku/>
        <w:wordWrap/>
        <w:topLinePunct w:val="0"/>
        <w:autoSpaceDE/>
        <w:autoSpaceDN/>
        <w:bidi w:val="0"/>
        <w:spacing w:line="560" w:lineRule="exact"/>
        <w:ind w:firstLine="640" w:firstLineChars="200"/>
        <w:jc w:val="both"/>
        <w:textAlignment w:val="auto"/>
        <w:rPr>
          <w:rFonts w:hint="eastAsia" w:ascii="仿宋_GB2312" w:hAnsi="Calibri" w:eastAsia="仿宋_GB2312" w:cs="Times New Roman"/>
          <w:color w:val="auto"/>
          <w:kern w:val="2"/>
          <w:sz w:val="32"/>
          <w:szCs w:val="32"/>
          <w:highlight w:val="none"/>
        </w:rPr>
      </w:pPr>
      <w:r>
        <w:rPr>
          <w:rFonts w:hint="eastAsia" w:ascii="仿宋_GB2312" w:hAnsi="Calibri" w:eastAsia="仿宋_GB2312" w:cs="Times New Roman"/>
          <w:color w:val="auto"/>
          <w:kern w:val="2"/>
          <w:sz w:val="32"/>
          <w:szCs w:val="32"/>
          <w:highlight w:val="none"/>
        </w:rPr>
        <w:t>全面对接省、市国土空间规划纲要，完善“多规合一”协同机制，建立健全规划横向纵向传导机制，强化总体规划战略引领，统筹划定</w:t>
      </w:r>
      <w:r>
        <w:rPr>
          <w:rFonts w:hint="eastAsia" w:ascii="仿宋_GB2312" w:hAnsi="Calibri" w:eastAsia="仿宋_GB2312" w:cs="Times New Roman"/>
          <w:color w:val="auto"/>
          <w:kern w:val="2"/>
          <w:sz w:val="32"/>
          <w:szCs w:val="32"/>
          <w:highlight w:val="none"/>
          <w:lang w:eastAsia="zh-CN"/>
        </w:rPr>
        <w:t>“</w:t>
      </w:r>
      <w:r>
        <w:rPr>
          <w:rFonts w:hint="eastAsia" w:ascii="仿宋_GB2312" w:hAnsi="Calibri" w:eastAsia="仿宋_GB2312" w:cs="Times New Roman"/>
          <w:color w:val="auto"/>
          <w:kern w:val="2"/>
          <w:sz w:val="32"/>
          <w:szCs w:val="32"/>
          <w:highlight w:val="none"/>
        </w:rPr>
        <w:t>三区三线</w:t>
      </w:r>
      <w:r>
        <w:rPr>
          <w:rFonts w:hint="eastAsia" w:ascii="仿宋_GB2312" w:hAnsi="Calibri" w:eastAsia="仿宋_GB2312" w:cs="Times New Roman"/>
          <w:color w:val="auto"/>
          <w:kern w:val="2"/>
          <w:sz w:val="32"/>
          <w:szCs w:val="32"/>
          <w:highlight w:val="none"/>
          <w:lang w:eastAsia="zh-CN"/>
        </w:rPr>
        <w:t>”</w:t>
      </w:r>
      <w:r>
        <w:rPr>
          <w:rFonts w:hint="eastAsia" w:ascii="仿宋_GB2312" w:hAnsi="Calibri" w:eastAsia="仿宋_GB2312" w:cs="Times New Roman"/>
          <w:color w:val="auto"/>
          <w:kern w:val="2"/>
          <w:sz w:val="32"/>
          <w:szCs w:val="32"/>
          <w:highlight w:val="none"/>
        </w:rPr>
        <w:t>，实现规划</w:t>
      </w:r>
      <w:r>
        <w:rPr>
          <w:rFonts w:hint="eastAsia" w:ascii="仿宋_GB2312" w:hAnsi="Calibri" w:eastAsia="仿宋_GB2312" w:cs="Times New Roman"/>
          <w:color w:val="auto"/>
          <w:kern w:val="2"/>
          <w:sz w:val="32"/>
          <w:szCs w:val="32"/>
          <w:highlight w:val="none"/>
          <w:lang w:eastAsia="zh-CN"/>
        </w:rPr>
        <w:t>“</w:t>
      </w:r>
      <w:r>
        <w:rPr>
          <w:rFonts w:hint="eastAsia" w:ascii="仿宋_GB2312" w:hAnsi="Calibri" w:eastAsia="仿宋_GB2312" w:cs="Times New Roman"/>
          <w:color w:val="auto"/>
          <w:kern w:val="2"/>
          <w:sz w:val="32"/>
          <w:szCs w:val="32"/>
          <w:highlight w:val="none"/>
        </w:rPr>
        <w:t>一张图</w:t>
      </w:r>
      <w:r>
        <w:rPr>
          <w:rFonts w:hint="eastAsia" w:ascii="仿宋_GB2312" w:hAnsi="Calibri" w:eastAsia="仿宋_GB2312" w:cs="Times New Roman"/>
          <w:color w:val="auto"/>
          <w:kern w:val="2"/>
          <w:sz w:val="32"/>
          <w:szCs w:val="32"/>
          <w:highlight w:val="none"/>
          <w:lang w:eastAsia="zh-CN"/>
        </w:rPr>
        <w:t>”</w:t>
      </w:r>
      <w:r>
        <w:rPr>
          <w:rFonts w:hint="eastAsia" w:ascii="仿宋_GB2312" w:hAnsi="Calibri" w:eastAsia="仿宋_GB2312" w:cs="Times New Roman"/>
          <w:color w:val="auto"/>
          <w:kern w:val="2"/>
          <w:sz w:val="32"/>
          <w:szCs w:val="32"/>
          <w:highlight w:val="none"/>
        </w:rPr>
        <w:t>、实施</w:t>
      </w:r>
      <w:r>
        <w:rPr>
          <w:rFonts w:hint="eastAsia" w:ascii="仿宋_GB2312" w:hAnsi="Calibri" w:eastAsia="仿宋_GB2312" w:cs="Times New Roman"/>
          <w:color w:val="auto"/>
          <w:kern w:val="2"/>
          <w:sz w:val="32"/>
          <w:szCs w:val="32"/>
          <w:highlight w:val="none"/>
          <w:lang w:eastAsia="zh-CN"/>
        </w:rPr>
        <w:t>“</w:t>
      </w:r>
      <w:r>
        <w:rPr>
          <w:rFonts w:hint="eastAsia" w:ascii="仿宋_GB2312" w:hAnsi="Calibri" w:eastAsia="仿宋_GB2312" w:cs="Times New Roman"/>
          <w:color w:val="auto"/>
          <w:kern w:val="2"/>
          <w:sz w:val="32"/>
          <w:szCs w:val="32"/>
          <w:highlight w:val="none"/>
        </w:rPr>
        <w:t>一盘棋</w:t>
      </w:r>
      <w:r>
        <w:rPr>
          <w:rFonts w:hint="eastAsia" w:ascii="仿宋_GB2312" w:hAnsi="Calibri" w:eastAsia="仿宋_GB2312" w:cs="Times New Roman"/>
          <w:color w:val="auto"/>
          <w:kern w:val="2"/>
          <w:sz w:val="32"/>
          <w:szCs w:val="32"/>
          <w:highlight w:val="none"/>
          <w:lang w:eastAsia="zh-CN"/>
        </w:rPr>
        <w:t>”</w:t>
      </w:r>
      <w:r>
        <w:rPr>
          <w:rFonts w:hint="eastAsia" w:ascii="仿宋_GB2312" w:hAnsi="Calibri" w:eastAsia="仿宋_GB2312" w:cs="Times New Roman"/>
          <w:color w:val="auto"/>
          <w:kern w:val="2"/>
          <w:sz w:val="32"/>
          <w:szCs w:val="32"/>
          <w:highlight w:val="none"/>
        </w:rPr>
        <w:t>、监督</w:t>
      </w:r>
      <w:r>
        <w:rPr>
          <w:rFonts w:hint="eastAsia" w:ascii="仿宋_GB2312" w:hAnsi="Calibri" w:eastAsia="仿宋_GB2312" w:cs="Times New Roman"/>
          <w:color w:val="auto"/>
          <w:kern w:val="2"/>
          <w:sz w:val="32"/>
          <w:szCs w:val="32"/>
          <w:highlight w:val="none"/>
          <w:lang w:eastAsia="zh-CN"/>
        </w:rPr>
        <w:t>“</w:t>
      </w:r>
      <w:r>
        <w:rPr>
          <w:rFonts w:hint="eastAsia" w:ascii="仿宋_GB2312" w:hAnsi="Calibri" w:eastAsia="仿宋_GB2312" w:cs="Times New Roman"/>
          <w:color w:val="auto"/>
          <w:kern w:val="2"/>
          <w:sz w:val="32"/>
          <w:szCs w:val="32"/>
          <w:highlight w:val="none"/>
        </w:rPr>
        <w:t>一张网</w:t>
      </w:r>
      <w:r>
        <w:rPr>
          <w:rFonts w:hint="eastAsia" w:ascii="仿宋_GB2312" w:hAnsi="Calibri" w:eastAsia="仿宋_GB2312" w:cs="Times New Roman"/>
          <w:color w:val="auto"/>
          <w:kern w:val="2"/>
          <w:sz w:val="32"/>
          <w:szCs w:val="32"/>
          <w:highlight w:val="none"/>
          <w:lang w:eastAsia="zh-CN"/>
        </w:rPr>
        <w:t>”。</w:t>
      </w:r>
      <w:r>
        <w:rPr>
          <w:rFonts w:hint="eastAsia" w:ascii="仿宋_GB2312" w:hAnsi="Calibri" w:eastAsia="仿宋_GB2312" w:cs="Times New Roman"/>
          <w:color w:val="auto"/>
          <w:kern w:val="2"/>
          <w:sz w:val="32"/>
          <w:szCs w:val="32"/>
          <w:highlight w:val="none"/>
        </w:rPr>
        <w:t>完善控制性详细规划，合理规划生产、生活、生态空间，统筹谋划产业发展、基础设施、公共服务、资源能源、生态环境</w:t>
      </w:r>
      <w:r>
        <w:rPr>
          <w:rFonts w:hint="eastAsia" w:ascii="仿宋_GB2312" w:hAnsi="Calibri" w:eastAsia="仿宋_GB2312" w:cs="Times New Roman"/>
          <w:color w:val="auto"/>
          <w:kern w:val="2"/>
          <w:sz w:val="32"/>
          <w:szCs w:val="32"/>
          <w:highlight w:val="none"/>
          <w:lang w:val="en-US" w:eastAsia="zh-CN"/>
        </w:rPr>
        <w:t>布局</w:t>
      </w:r>
      <w:r>
        <w:rPr>
          <w:rFonts w:hint="eastAsia" w:ascii="仿宋_GB2312" w:hAnsi="Calibri" w:eastAsia="仿宋_GB2312" w:cs="Times New Roman"/>
          <w:color w:val="auto"/>
          <w:kern w:val="2"/>
          <w:sz w:val="32"/>
          <w:szCs w:val="32"/>
          <w:highlight w:val="none"/>
        </w:rPr>
        <w:t>，合理确定重点片区容积率、绿地率等规范性要求。完善规划法规政策体系，强化规划监督实施，严格审批和监管，确保“一张蓝图干到底”。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黑体" w:hAnsi="黑体" w:eastAsia="黑体" w:cs="黑体"/>
          <w:b w:val="0"/>
          <w:bCs w:val="0"/>
          <w:color w:val="auto"/>
          <w:sz w:val="32"/>
          <w:szCs w:val="32"/>
          <w:highlight w:val="none"/>
          <w:u w:val="none"/>
          <w:lang w:val="en-US" w:eastAsia="zh-CN"/>
        </w:rPr>
      </w:pPr>
      <w:bookmarkStart w:id="100" w:name="_Toc26826"/>
      <w:r>
        <w:rPr>
          <w:rFonts w:hint="eastAsia" w:ascii="黑体" w:hAnsi="黑体" w:eastAsia="黑体" w:cs="黑体"/>
          <w:b w:val="0"/>
          <w:bCs w:val="0"/>
          <w:color w:val="auto"/>
          <w:sz w:val="32"/>
          <w:szCs w:val="32"/>
          <w:highlight w:val="none"/>
          <w:u w:val="none"/>
          <w:lang w:val="en-US" w:eastAsia="zh-CN"/>
        </w:rPr>
        <w:t>二、保护修复自然生态系统</w:t>
      </w:r>
      <w:bookmarkEnd w:id="100"/>
    </w:p>
    <w:p>
      <w:pPr>
        <w:keepNext w:val="0"/>
        <w:keepLines w:val="0"/>
        <w:pageBreakBefore w:val="0"/>
        <w:widowControl w:val="0"/>
        <w:kinsoku/>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加强章丘南部山区生态保护修复，大力开展山体修复、水土流失治理、涵养林建设等生态保护工程，全面提升“泉源、绿肺、水塔”功能。扩大森林面积，进一步发挥国有林场在生态修复与保护中的带动作用，实施破损山体修复，高质量完成环泰山国土绿化项目。严格落实河湖长制，纵深推进河湖“清四乱”常态化规范化，积极开展生态河道建设，打造人水和谐的河湖生态环境。</w:t>
      </w:r>
      <w:r>
        <w:rPr>
          <w:rFonts w:hint="eastAsia" w:ascii="仿宋_GB2312" w:hAnsi="仿宋_GB2312" w:eastAsia="仿宋_GB2312" w:cs="仿宋_GB2312"/>
          <w:b w:val="0"/>
          <w:bCs w:val="0"/>
          <w:color w:val="auto"/>
          <w:spacing w:val="0"/>
          <w:w w:val="100"/>
          <w:kern w:val="21"/>
          <w:sz w:val="32"/>
          <w:szCs w:val="32"/>
          <w:highlight w:val="none"/>
          <w:u w:val="none"/>
        </w:rPr>
        <w:t>巩固提升黄河标准化堤防，加快完善防洪减灾工程体系，全面整治侵占和破坏黄河河道的违法违规行为，确保河道行洪畅通、长久安澜。</w:t>
      </w:r>
      <w:r>
        <w:rPr>
          <w:rFonts w:hint="eastAsia" w:ascii="仿宋_GB2312" w:hAnsi="仿宋_GB2312" w:eastAsia="仿宋_GB2312" w:cs="仿宋_GB2312"/>
          <w:b w:val="0"/>
          <w:bCs w:val="0"/>
          <w:color w:val="auto"/>
          <w:sz w:val="32"/>
          <w:szCs w:val="32"/>
          <w:highlight w:val="none"/>
          <w:lang w:val="en-US" w:eastAsia="zh-CN"/>
        </w:rPr>
        <w:t>扎实推进湿地恢复与建设，筑牢白云湖国家湿地公园生态屏障，抓好湿地公园修复提升、动植物资源保护等基础性工作。深入推进城市增绿和绿化品质提升，提高建成区绿化覆盖率，完善城市绿地布局，提升公园绿地服务功能，为市民群众提供线性绿色开敞空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黑体" w:hAnsi="黑体" w:eastAsia="黑体" w:cs="黑体"/>
          <w:b w:val="0"/>
          <w:bCs w:val="0"/>
          <w:color w:val="auto"/>
          <w:sz w:val="32"/>
          <w:szCs w:val="32"/>
          <w:highlight w:val="none"/>
          <w:u w:val="none"/>
          <w:lang w:val="en-US" w:eastAsia="zh-CN"/>
        </w:rPr>
      </w:pPr>
      <w:bookmarkStart w:id="101" w:name="_Toc2834"/>
      <w:bookmarkStart w:id="102" w:name="_Toc29593"/>
      <w:r>
        <w:rPr>
          <w:rFonts w:hint="eastAsia" w:ascii="黑体" w:hAnsi="黑体" w:eastAsia="黑体" w:cs="黑体"/>
          <w:b w:val="0"/>
          <w:bCs w:val="0"/>
          <w:color w:val="auto"/>
          <w:sz w:val="32"/>
          <w:szCs w:val="32"/>
          <w:highlight w:val="none"/>
          <w:u w:val="none"/>
          <w:lang w:val="en-US" w:eastAsia="zh-CN"/>
        </w:rPr>
        <w:t>三、加强泉水资源保护</w:t>
      </w:r>
      <w:bookmarkEnd w:id="101"/>
      <w:r>
        <w:rPr>
          <w:rFonts w:hint="eastAsia" w:ascii="黑体" w:hAnsi="黑体" w:eastAsia="黑体" w:cs="黑体"/>
          <w:b w:val="0"/>
          <w:bCs w:val="0"/>
          <w:color w:val="auto"/>
          <w:sz w:val="32"/>
          <w:szCs w:val="32"/>
          <w:highlight w:val="none"/>
          <w:u w:val="none"/>
          <w:lang w:val="en-US" w:eastAsia="zh-CN"/>
        </w:rPr>
        <w:t>利用</w:t>
      </w:r>
      <w:bookmarkEnd w:id="102"/>
    </w:p>
    <w:p>
      <w:pPr>
        <w:keepNext w:val="0"/>
        <w:keepLines w:val="0"/>
        <w:pageBreakBefore w:val="0"/>
        <w:widowControl w:val="0"/>
        <w:kinsoku/>
        <w:wordWrap/>
        <w:topLinePunct w:val="0"/>
        <w:autoSpaceDE/>
        <w:autoSpaceDN/>
        <w:bidi w:val="0"/>
        <w:spacing w:line="560" w:lineRule="exact"/>
        <w:ind w:firstLine="640" w:firstLineChars="200"/>
        <w:jc w:val="both"/>
        <w:textAlignment w:val="auto"/>
        <w:rPr>
          <w:rFonts w:hint="eastAsia" w:ascii="仿宋_GB2312" w:hAnsi="宋体" w:eastAsia="仿宋_GB2312" w:cs="仿宋_GB2312"/>
          <w:color w:val="auto"/>
          <w:kern w:val="21"/>
          <w:sz w:val="32"/>
          <w:szCs w:val="32"/>
          <w:highlight w:val="none"/>
          <w:u w:val="none"/>
          <w:lang w:val="en-US" w:eastAsia="zh-CN" w:bidi="ar"/>
        </w:rPr>
      </w:pPr>
      <w:r>
        <w:rPr>
          <w:rFonts w:hint="eastAsia" w:ascii="仿宋_GB2312" w:hAnsi="仿宋_GB2312" w:eastAsia="仿宋_GB2312" w:cs="仿宋_GB2312"/>
          <w:b w:val="0"/>
          <w:bCs w:val="0"/>
          <w:caps w:val="0"/>
          <w:color w:val="auto"/>
          <w:spacing w:val="0"/>
          <w:kern w:val="0"/>
          <w:sz w:val="32"/>
          <w:szCs w:val="32"/>
          <w:highlight w:val="none"/>
          <w:lang w:val="en-US" w:eastAsia="zh-CN" w:bidi="ar-SA"/>
        </w:rPr>
        <w:t>以保持泉水持续喷涌、突出泉城特色为目标，统筹“生态性、景观性、文化性、复合性”四大维度，保护泉水风貌、弘扬泉水文化。针对泉域重点强渗漏区域开展精准补源，确保正常降雨年份百脉泉泉群持续喷涌。推进名泉资源利用，制定实施百脉泉泉群保护提升计划，全面提升百脉泉泉群风貌景观。加强地下水动态监测，合理布置监测网，对全区泉水水质、水位进行动态监测，实现科学预警预报。精细化落实百脉泉、白泉泉域禁止建设区、限制建设区管控要求，加强直接补给区建设项目落实雨水集蓄入渗措施监督管理。结合历史文化名城保护，加强调水保泉循环体系建设，保护泉水街巷、修缮泉水民居，以明水古城景区为核心，辐射带动眼明泉、绣江河等泉水旅游资源，集中连片打造泉水核心风貌带。开展线上线下多形式城市文旅宣传推广活动，举办“清照诗歌艺术节”等重大文化活动，增长泉水文化感召力、吸附力</w:t>
      </w:r>
      <w:r>
        <w:rPr>
          <w:rFonts w:hint="eastAsia" w:ascii="仿宋_GB2312" w:hAnsi="宋体" w:eastAsia="仿宋_GB2312" w:cs="仿宋_GB2312"/>
          <w:color w:val="auto"/>
          <w:kern w:val="21"/>
          <w:sz w:val="32"/>
          <w:szCs w:val="32"/>
          <w:highlight w:val="none"/>
          <w:u w:val="none"/>
          <w:lang w:val="en-US" w:eastAsia="zh-CN" w:bidi="ar"/>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黑体" w:hAnsi="黑体" w:eastAsia="黑体" w:cs="黑体"/>
          <w:b w:val="0"/>
          <w:bCs w:val="0"/>
          <w:color w:val="auto"/>
          <w:sz w:val="32"/>
          <w:szCs w:val="32"/>
          <w:highlight w:val="none"/>
          <w:u w:val="none"/>
          <w:lang w:val="en-US" w:eastAsia="zh-CN"/>
        </w:rPr>
      </w:pPr>
      <w:bookmarkStart w:id="103" w:name="_Toc9946"/>
      <w:r>
        <w:rPr>
          <w:rFonts w:hint="eastAsia" w:ascii="黑体" w:hAnsi="黑体" w:eastAsia="黑体" w:cs="黑体"/>
          <w:b w:val="0"/>
          <w:bCs w:val="0"/>
          <w:color w:val="auto"/>
          <w:sz w:val="32"/>
          <w:szCs w:val="32"/>
          <w:highlight w:val="none"/>
          <w:u w:val="none"/>
          <w:lang w:val="en-US" w:eastAsia="zh-CN"/>
        </w:rPr>
        <w:t>四、健全生态产品价值实现机制</w:t>
      </w:r>
      <w:bookmarkEnd w:id="103"/>
    </w:p>
    <w:p>
      <w:pPr>
        <w:keepNext w:val="0"/>
        <w:keepLines w:val="0"/>
        <w:pageBreakBefore w:val="0"/>
        <w:widowControl w:val="0"/>
        <w:kinsoku/>
        <w:wordWrap/>
        <w:topLinePunct w:val="0"/>
        <w:autoSpaceDE/>
        <w:autoSpaceDN/>
        <w:bidi w:val="0"/>
        <w:spacing w:line="560" w:lineRule="exact"/>
        <w:ind w:firstLine="640" w:firstLineChars="200"/>
        <w:jc w:val="both"/>
        <w:textAlignment w:val="auto"/>
        <w:rPr>
          <w:rFonts w:hint="eastAsia" w:ascii="仿宋_GB2312" w:hAnsi="Calibri" w:eastAsia="仿宋_GB2312" w:cs="Times New Roman"/>
          <w:color w:val="auto"/>
          <w:sz w:val="32"/>
          <w:szCs w:val="32"/>
          <w:highlight w:val="none"/>
        </w:rPr>
      </w:pPr>
      <w:r>
        <w:rPr>
          <w:rFonts w:hint="eastAsia" w:ascii="仿宋_GB2312" w:hAnsi="Calibri" w:eastAsia="仿宋_GB2312" w:cs="Times New Roman"/>
          <w:color w:val="auto"/>
          <w:sz w:val="32"/>
          <w:szCs w:val="32"/>
          <w:highlight w:val="none"/>
        </w:rPr>
        <w:t>建立生态环境保护者受益、使用者付费、破坏者赔偿的利益导向机制，探索政府主导、社会参与、市场化运作、可持续的生态产品价值实现路径。</w:t>
      </w:r>
      <w:r>
        <w:rPr>
          <w:rFonts w:hint="eastAsia" w:ascii="仿宋_GB2312" w:hAnsi="Calibri" w:eastAsia="仿宋_GB2312" w:cs="Times New Roman"/>
          <w:color w:val="auto"/>
          <w:sz w:val="32"/>
          <w:szCs w:val="32"/>
          <w:highlight w:val="none"/>
          <w:lang w:eastAsia="zh-CN"/>
        </w:rPr>
        <w:t>拓展“两山”转换路径，推进生态产业化，积极推动“生态＋”绿色新产品、新业态、新模式融合发展，依托生态优势，提升生态产品附加值，加快推进绿色康养、生态旅游、绿色农产品等深绿产业发展。</w:t>
      </w:r>
      <w:r>
        <w:rPr>
          <w:rFonts w:hint="eastAsia" w:ascii="仿宋_GB2312" w:hAnsi="Calibri" w:eastAsia="仿宋_GB2312" w:cs="Times New Roman"/>
          <w:color w:val="auto"/>
          <w:sz w:val="32"/>
          <w:szCs w:val="32"/>
          <w:highlight w:val="none"/>
        </w:rPr>
        <w:t>建立生态产品调查监测机制，开展生态产品调查，建立生态产品目录清单。深化自然资源资产产权制度改革和资源有偿使用制度，开展自然资源统一确权登记，推动自然资源资产所有权和使用权分离，适度扩大使用权的出让、转让、出租、担保、入股等权能。</w:t>
      </w:r>
    </w:p>
    <w:p>
      <w:pPr>
        <w:keepNext w:val="0"/>
        <w:keepLines w:val="0"/>
        <w:pageBreakBefore w:val="0"/>
        <w:widowControl w:val="0"/>
        <w:kinsoku/>
        <w:wordWrap/>
        <w:topLinePunct w:val="0"/>
        <w:autoSpaceDE/>
        <w:autoSpaceDN/>
        <w:bidi w:val="0"/>
        <w:spacing w:line="560" w:lineRule="exact"/>
        <w:textAlignment w:val="auto"/>
        <w:rPr>
          <w:rFonts w:hint="eastAsia" w:ascii="仿宋_GB2312" w:hAnsi="宋体" w:eastAsia="仿宋_GB2312" w:cs="仿宋_GB2312"/>
          <w:color w:val="auto"/>
          <w:kern w:val="21"/>
          <w:sz w:val="32"/>
          <w:szCs w:val="32"/>
          <w:highlight w:val="none"/>
          <w:u w:val="none"/>
          <w:lang w:val="en-US" w:eastAsia="zh-CN" w:bidi="ar"/>
        </w:rPr>
      </w:pPr>
      <w:r>
        <w:rPr>
          <w:rFonts w:hint="eastAsia" w:ascii="仿宋_GB2312" w:hAnsi="宋体" w:eastAsia="仿宋_GB2312" w:cs="仿宋_GB2312"/>
          <w:color w:val="auto"/>
          <w:kern w:val="21"/>
          <w:sz w:val="32"/>
          <w:szCs w:val="32"/>
          <w:highlight w:val="none"/>
          <w:u w:val="none"/>
          <w:lang w:val="en-US" w:eastAsia="zh-CN" w:bidi="ar"/>
        </w:rPr>
        <w:br w:type="page"/>
      </w:r>
    </w:p>
    <w:p>
      <w:pPr>
        <w:pStyle w:val="8"/>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val="0"/>
          <w:color w:val="auto"/>
          <w:kern w:val="2"/>
          <w:sz w:val="44"/>
          <w:szCs w:val="44"/>
          <w:highlight w:val="none"/>
          <w:lang w:val="en-US" w:eastAsia="zh-CN" w:bidi="ar-SA"/>
        </w:rPr>
      </w:pPr>
      <w:bookmarkStart w:id="104" w:name="_Toc10031"/>
      <w:r>
        <w:rPr>
          <w:rFonts w:hint="eastAsia" w:ascii="方正小标宋简体" w:hAnsi="方正小标宋简体" w:eastAsia="方正小标宋简体" w:cs="方正小标宋简体"/>
          <w:b w:val="0"/>
          <w:bCs w:val="0"/>
          <w:color w:val="auto"/>
          <w:kern w:val="2"/>
          <w:sz w:val="44"/>
          <w:szCs w:val="44"/>
          <w:highlight w:val="none"/>
          <w:lang w:val="en-US" w:eastAsia="zh-CN" w:bidi="ar-SA"/>
        </w:rPr>
        <w:t>第十章  擦亮特色文化品牌，提升城市文化</w:t>
      </w:r>
    </w:p>
    <w:p>
      <w:pPr>
        <w:pStyle w:val="8"/>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val="0"/>
          <w:color w:val="auto"/>
          <w:kern w:val="2"/>
          <w:sz w:val="44"/>
          <w:szCs w:val="44"/>
          <w:highlight w:val="none"/>
          <w:lang w:val="en-US" w:eastAsia="zh-CN" w:bidi="ar-SA"/>
        </w:rPr>
      </w:pPr>
      <w:r>
        <w:rPr>
          <w:rFonts w:hint="eastAsia" w:ascii="方正小标宋简体" w:hAnsi="方正小标宋简体" w:eastAsia="方正小标宋简体" w:cs="方正小标宋简体"/>
          <w:b w:val="0"/>
          <w:bCs w:val="0"/>
          <w:color w:val="auto"/>
          <w:kern w:val="2"/>
          <w:sz w:val="44"/>
          <w:szCs w:val="44"/>
          <w:highlight w:val="none"/>
          <w:lang w:val="en-US" w:eastAsia="zh-CN" w:bidi="ar-SA"/>
        </w:rPr>
        <w:t>影响力</w:t>
      </w:r>
      <w:bookmarkEnd w:id="104"/>
    </w:p>
    <w:p>
      <w:pPr>
        <w:pStyle w:val="8"/>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val="0"/>
          <w:color w:val="auto"/>
          <w:kern w:val="2"/>
          <w:sz w:val="32"/>
          <w:szCs w:val="32"/>
          <w:highlight w:val="none"/>
          <w:lang w:val="en-US" w:eastAsia="zh-CN" w:bidi="ar-SA"/>
        </w:rPr>
      </w:pPr>
    </w:p>
    <w:p>
      <w:pPr>
        <w:keepNext w:val="0"/>
        <w:keepLines w:val="0"/>
        <w:pageBreakBefore w:val="0"/>
        <w:widowControl w:val="0"/>
        <w:kinsoku/>
        <w:wordWrap/>
        <w:overflowPunct w:val="0"/>
        <w:topLinePunct w:val="0"/>
        <w:autoSpaceDE/>
        <w:autoSpaceDN/>
        <w:bidi w:val="0"/>
        <w:adjustRightInd w:val="0"/>
        <w:snapToGrid w:val="0"/>
        <w:spacing w:beforeAutospacing="0" w:line="560" w:lineRule="exact"/>
        <w:ind w:firstLine="640" w:firstLineChars="200"/>
        <w:textAlignment w:val="auto"/>
        <w:outlineLvl w:val="9"/>
        <w:rPr>
          <w:rFonts w:hint="eastAsia" w:ascii="仿宋_GB2312" w:hAnsi="仿宋_GB2312" w:eastAsia="仿宋_GB2312" w:cs="仿宋_GB2312"/>
          <w:b w:val="0"/>
          <w:bCs w:val="0"/>
          <w:color w:val="auto"/>
          <w:sz w:val="32"/>
          <w:szCs w:val="32"/>
          <w:highlight w:val="none"/>
          <w:lang w:val="en-US" w:eastAsia="zh-CN" w:bidi="ar"/>
        </w:rPr>
      </w:pPr>
      <w:bookmarkStart w:id="105" w:name="_Toc5609"/>
      <w:r>
        <w:rPr>
          <w:rFonts w:hint="eastAsia" w:ascii="仿宋_GB2312" w:hAnsi="仿宋_GB2312" w:eastAsia="仿宋_GB2312" w:cs="仿宋_GB2312"/>
          <w:b w:val="0"/>
          <w:bCs w:val="0"/>
          <w:color w:val="auto"/>
          <w:sz w:val="32"/>
          <w:szCs w:val="32"/>
          <w:highlight w:val="none"/>
          <w:lang w:val="en-US" w:eastAsia="zh-CN" w:bidi="ar"/>
        </w:rPr>
        <w:t>坚持马克思主义在意识形态领域的指导地位，繁荣和发展文化事业和文化产业，切实担负起新时代文化使命，推动中华优秀传统文化创造性转化、创新性发展，激发文化创新创造活力，增强城市文化影响力，建设龙山泉韵文旅名城。</w:t>
      </w:r>
    </w:p>
    <w:p>
      <w:pPr>
        <w:keepNext w:val="0"/>
        <w:keepLines w:val="0"/>
        <w:pageBreakBefore w:val="0"/>
        <w:widowControl w:val="0"/>
        <w:kinsoku/>
        <w:wordWrap/>
        <w:overflowPunct/>
        <w:topLinePunct w:val="0"/>
        <w:autoSpaceDE/>
        <w:autoSpaceDN/>
        <w:bidi w:val="0"/>
        <w:adjustRightInd w:val="0"/>
        <w:snapToGrid w:val="0"/>
        <w:spacing w:before="157" w:beforeLines="50" w:beforeAutospacing="0" w:after="157" w:afterLines="50" w:afterAutospacing="0" w:line="560" w:lineRule="exact"/>
        <w:ind w:left="0" w:leftChars="0" w:firstLine="0" w:firstLineChars="0"/>
        <w:jc w:val="center"/>
        <w:textAlignment w:val="auto"/>
        <w:outlineLvl w:val="1"/>
        <w:rPr>
          <w:rFonts w:hint="eastAsia" w:ascii="文星标宋" w:hAnsi="文星标宋" w:eastAsia="文星标宋" w:cs="文星标宋"/>
          <w:bCs/>
          <w:color w:val="auto"/>
          <w:kern w:val="44"/>
          <w:sz w:val="32"/>
          <w:szCs w:val="32"/>
          <w:highlight w:val="none"/>
          <w:lang w:val="en-US" w:eastAsia="zh-CN" w:bidi="ar"/>
        </w:rPr>
      </w:pPr>
      <w:bookmarkStart w:id="106" w:name="_Toc4647"/>
      <w:r>
        <w:rPr>
          <w:rFonts w:hint="eastAsia" w:ascii="文星标宋" w:hAnsi="文星标宋" w:eastAsia="文星标宋" w:cs="文星标宋"/>
          <w:bCs/>
          <w:color w:val="auto"/>
          <w:kern w:val="44"/>
          <w:sz w:val="32"/>
          <w:szCs w:val="32"/>
          <w:highlight w:val="none"/>
          <w:lang w:val="en-US" w:eastAsia="zh-CN" w:bidi="ar"/>
        </w:rPr>
        <w:t xml:space="preserve">第一节  </w:t>
      </w:r>
      <w:r>
        <w:rPr>
          <w:rFonts w:hint="eastAsia" w:ascii="文星标宋" w:hAnsi="文星标宋" w:eastAsia="文星标宋" w:cs="文星标宋"/>
          <w:bCs/>
          <w:color w:val="auto"/>
          <w:kern w:val="44"/>
          <w:sz w:val="32"/>
          <w:szCs w:val="32"/>
          <w:highlight w:val="none"/>
          <w:u w:val="none"/>
          <w:lang w:val="en-US" w:eastAsia="zh-CN" w:bidi="ar"/>
        </w:rPr>
        <w:t>弘扬和践行社会主义核心价值观</w:t>
      </w:r>
      <w:bookmarkEnd w:id="105"/>
      <w:bookmarkEnd w:id="106"/>
    </w:p>
    <w:p>
      <w:pPr>
        <w:keepNext w:val="0"/>
        <w:keepLines w:val="0"/>
        <w:pageBreakBefore w:val="0"/>
        <w:widowControl w:val="0"/>
        <w:kinsoku/>
        <w:wordWrap/>
        <w:topLinePunct w:val="0"/>
        <w:autoSpaceDE/>
        <w:autoSpaceDN/>
        <w:bidi w:val="0"/>
        <w:spacing w:line="56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一、强化思想政治建设</w:t>
      </w:r>
    </w:p>
    <w:p>
      <w:pPr>
        <w:keepNext w:val="0"/>
        <w:keepLines w:val="0"/>
        <w:pageBreakBefore w:val="0"/>
        <w:widowControl w:val="0"/>
        <w:kinsoku/>
        <w:wordWrap/>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pPr>
      <w:r>
        <w:rPr>
          <w:rFonts w:hint="eastAsia" w:ascii="仿宋_GB2312" w:hAnsi="仿宋_GB2312" w:eastAsia="仿宋_GB2312" w:cs="仿宋_GB2312"/>
          <w:b w:val="0"/>
          <w:bCs w:val="0"/>
          <w:color w:val="auto"/>
          <w:spacing w:val="0"/>
          <w:w w:val="100"/>
          <w:kern w:val="21"/>
          <w:sz w:val="32"/>
          <w:szCs w:val="32"/>
          <w:highlight w:val="none"/>
          <w:u w:val="none" w:color="auto"/>
          <w:lang w:val="en-US" w:eastAsia="zh-CN" w:bidi="ar-SA"/>
        </w:rPr>
        <w:t>深化党的创新理论学习和宣传教育，坚持不懈用习近平新时代中国特色社会主义思想凝心铸魂。推进马克思主义理论研究和建设工程，</w:t>
      </w:r>
      <w:r>
        <w:rPr>
          <w:rFonts w:hint="eastAsia" w:ascii="仿宋_GB2312" w:hAnsi="仿宋_GB2312" w:eastAsia="仿宋_GB2312" w:cs="仿宋_GB2312"/>
          <w:b w:val="0"/>
          <w:bCs w:val="0"/>
          <w:color w:val="auto"/>
          <w:kern w:val="21"/>
          <w:sz w:val="32"/>
          <w:szCs w:val="32"/>
          <w:highlight w:val="none"/>
          <w:u w:val="none" w:color="auto"/>
          <w:lang w:val="en-US" w:eastAsia="zh-CN" w:bidi="ar-SA"/>
        </w:rPr>
        <w:t>进一步完善“章丘方桌会”“有理有章”主品牌引领、“涧溪春晓”等子品牌支撑的理论宣讲品牌矩阵，</w:t>
      </w:r>
      <w:r>
        <w:rPr>
          <w:rFonts w:hint="eastAsia" w:ascii="仿宋_GB2312" w:hAnsi="仿宋_GB2312" w:eastAsia="仿宋_GB2312" w:cs="仿宋_GB2312"/>
          <w:b w:val="0"/>
          <w:bCs w:val="0"/>
          <w:color w:val="auto"/>
          <w:spacing w:val="0"/>
          <w:w w:val="100"/>
          <w:kern w:val="21"/>
          <w:sz w:val="32"/>
          <w:szCs w:val="32"/>
          <w:highlight w:val="none"/>
          <w:u w:val="none" w:color="auto"/>
          <w:lang w:val="en-US" w:eastAsia="zh-CN" w:bidi="ar-SA"/>
        </w:rPr>
        <w:t>健全用党的创新理论武装全党、教育人民、指导实践工作体系</w:t>
      </w:r>
      <w:r>
        <w:rPr>
          <w:rFonts w:hint="eastAsia" w:ascii="仿宋_GB2312" w:hAnsi="仿宋_GB2312" w:eastAsia="仿宋_GB2312" w:cs="仿宋_GB2312"/>
          <w:b w:val="0"/>
          <w:bCs w:val="0"/>
          <w:color w:val="auto"/>
          <w:kern w:val="21"/>
          <w:sz w:val="32"/>
          <w:szCs w:val="32"/>
          <w:highlight w:val="none"/>
          <w:u w:val="none" w:color="auto"/>
          <w:lang w:val="en-US" w:eastAsia="zh-CN"/>
        </w:rPr>
        <w:t>。</w:t>
      </w:r>
      <w:r>
        <w:rPr>
          <w:rFonts w:hint="eastAsia" w:ascii="仿宋_GB2312" w:hAnsi="仿宋_GB2312" w:eastAsia="仿宋_GB2312" w:cs="仿宋_GB2312"/>
          <w:b w:val="0"/>
          <w:bCs w:val="0"/>
          <w:color w:val="auto"/>
          <w:sz w:val="32"/>
          <w:szCs w:val="32"/>
          <w:highlight w:val="none"/>
          <w:u w:val="none" w:color="auto"/>
          <w:lang w:val="en-US" w:eastAsia="zh-CN" w:bidi="ar"/>
        </w:rPr>
        <w:t>加强和改进思想政治工作，深化思政教育改革创新，发挥驻章高校与本地特色资源优势，持续推进大中小学思政课一体化建设。持续开展“全民国防教育月”活动，激发干部群众爱我国防、强我国防的政治热情。加强新时代廉洁文化建设，提升廉洁文化传播力和影响力。</w:t>
      </w:r>
    </w:p>
    <w:p>
      <w:pPr>
        <w:keepNext w:val="0"/>
        <w:keepLines w:val="0"/>
        <w:pageBreakBefore w:val="0"/>
        <w:widowControl w:val="0"/>
        <w:kinsoku/>
        <w:wordWrap/>
        <w:topLinePunct w:val="0"/>
        <w:autoSpaceDE/>
        <w:autoSpaceDN/>
        <w:bidi w:val="0"/>
        <w:spacing w:line="560" w:lineRule="exact"/>
        <w:ind w:firstLine="640" w:firstLineChars="200"/>
        <w:textAlignment w:val="auto"/>
        <w:outlineLvl w:val="2"/>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二、加强核心价值引领</w:t>
      </w:r>
    </w:p>
    <w:p>
      <w:pPr>
        <w:keepNext w:val="0"/>
        <w:keepLines w:val="0"/>
        <w:pageBreakBefore w:val="0"/>
        <w:widowControl w:val="0"/>
        <w:kinsoku/>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pPr>
      <w:r>
        <w:rPr>
          <w:rFonts w:hint="eastAsia" w:ascii="仿宋_GB2312" w:hAnsi="仿宋_GB2312" w:eastAsia="仿宋_GB2312" w:cs="仿宋_GB2312"/>
          <w:color w:val="auto"/>
          <w:kern w:val="21"/>
          <w:sz w:val="32"/>
          <w:szCs w:val="32"/>
          <w:highlight w:val="none"/>
          <w:u w:val="none"/>
          <w:lang w:val="en-US" w:eastAsia="zh-CN"/>
        </w:rPr>
        <w:t>完善制度机制、健全工作体系、创新活动载体，</w:t>
      </w:r>
      <w:r>
        <w:rPr>
          <w:rFonts w:hint="eastAsia" w:ascii="仿宋_GB2312" w:hAnsi="仿宋_GB2312" w:eastAsia="仿宋_GB2312" w:cs="仿宋_GB2312"/>
          <w:b w:val="0"/>
          <w:bCs w:val="0"/>
          <w:color w:val="auto"/>
          <w:sz w:val="32"/>
          <w:szCs w:val="32"/>
          <w:highlight w:val="none"/>
          <w:u w:val="none" w:color="auto"/>
          <w:lang w:val="en-US" w:eastAsia="zh-CN" w:bidi="ar"/>
        </w:rPr>
        <w:t>把</w:t>
      </w:r>
      <w:r>
        <w:rPr>
          <w:rFonts w:hint="eastAsia" w:ascii="仿宋_GB2312" w:hAnsi="仿宋_GB2312" w:eastAsia="仿宋_GB2312" w:cs="仿宋_GB2312"/>
          <w:color w:val="auto"/>
          <w:kern w:val="21"/>
          <w:sz w:val="32"/>
          <w:szCs w:val="32"/>
          <w:highlight w:val="none"/>
          <w:u w:val="none"/>
          <w:lang w:val="en-US" w:eastAsia="zh-CN"/>
        </w:rPr>
        <w:t>社会主义核心价值观融入法治建设、融入社会发展、融入日常生活。</w:t>
      </w:r>
      <w:r>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t>推进理想信念教育常态化制度化，加强党史、新中国史、改革开放史、社会主义发展史教育，加强爱国主义、集体主义、社会主义教育。加强爱国主义教育基地建设和红色档案资源、遗址遗迹开发保护利用，</w:t>
      </w:r>
      <w:r>
        <w:rPr>
          <w:rFonts w:hint="eastAsia" w:ascii="仿宋_GB2312" w:hAnsi="仿宋_GB2312" w:eastAsia="仿宋_GB2312" w:cs="仿宋_GB2312"/>
          <w:color w:val="auto"/>
          <w:kern w:val="21"/>
          <w:sz w:val="32"/>
          <w:szCs w:val="32"/>
          <w:highlight w:val="none"/>
          <w:u w:val="none"/>
        </w:rPr>
        <w:t>系统整合提升辛锐</w:t>
      </w:r>
      <w:r>
        <w:rPr>
          <w:rFonts w:hint="eastAsia" w:ascii="仿宋_GB2312" w:hAnsi="仿宋_GB2312" w:eastAsia="仿宋_GB2312" w:cs="仿宋_GB2312"/>
          <w:color w:val="auto"/>
          <w:kern w:val="21"/>
          <w:sz w:val="32"/>
          <w:szCs w:val="32"/>
          <w:highlight w:val="none"/>
          <w:u w:val="none"/>
          <w:lang w:eastAsia="zh-CN"/>
        </w:rPr>
        <w:t>展览馆</w:t>
      </w:r>
      <w:r>
        <w:rPr>
          <w:rFonts w:hint="eastAsia" w:ascii="仿宋_GB2312" w:hAnsi="仿宋_GB2312" w:eastAsia="仿宋_GB2312" w:cs="仿宋_GB2312"/>
          <w:color w:val="auto"/>
          <w:kern w:val="21"/>
          <w:sz w:val="32"/>
          <w:szCs w:val="32"/>
          <w:highlight w:val="none"/>
          <w:u w:val="none"/>
        </w:rPr>
        <w:t>、章丘第一支抗日武装</w:t>
      </w:r>
      <w:r>
        <w:rPr>
          <w:rFonts w:hint="eastAsia" w:ascii="仿宋_GB2312" w:hAnsi="仿宋_GB2312" w:eastAsia="仿宋_GB2312" w:cs="仿宋_GB2312"/>
          <w:color w:val="auto"/>
          <w:kern w:val="21"/>
          <w:sz w:val="32"/>
          <w:szCs w:val="32"/>
          <w:highlight w:val="none"/>
          <w:u w:val="none"/>
          <w:lang w:eastAsia="zh-CN"/>
        </w:rPr>
        <w:t>成立旧址</w:t>
      </w:r>
      <w:r>
        <w:rPr>
          <w:rFonts w:hint="eastAsia" w:ascii="仿宋_GB2312" w:hAnsi="仿宋_GB2312" w:eastAsia="仿宋_GB2312" w:cs="仿宋_GB2312"/>
          <w:color w:val="auto"/>
          <w:kern w:val="21"/>
          <w:sz w:val="32"/>
          <w:szCs w:val="32"/>
          <w:highlight w:val="none"/>
          <w:u w:val="none"/>
        </w:rPr>
        <w:t>、章丘烈士陵园等红色教育基地功能，串点成线，打造“红色导航”和“红色教育精品线路”</w:t>
      </w:r>
      <w:r>
        <w:rPr>
          <w:rFonts w:hint="eastAsia" w:ascii="仿宋_GB2312" w:hAnsi="仿宋_GB2312" w:eastAsia="仿宋_GB2312" w:cs="仿宋_GB2312"/>
          <w:color w:val="auto"/>
          <w:kern w:val="21"/>
          <w:sz w:val="32"/>
          <w:szCs w:val="32"/>
          <w:highlight w:val="none"/>
          <w:u w:val="none"/>
          <w:lang w:eastAsia="zh-CN"/>
        </w:rPr>
        <w:t>。</w:t>
      </w:r>
      <w:r>
        <w:rPr>
          <w:rFonts w:hint="eastAsia" w:ascii="仿宋_GB2312" w:hAnsi="仿宋_GB2312" w:eastAsia="仿宋_GB2312" w:cs="仿宋_GB2312"/>
          <w:color w:val="auto"/>
          <w:kern w:val="21"/>
          <w:sz w:val="32"/>
          <w:szCs w:val="32"/>
          <w:highlight w:val="none"/>
          <w:u w:val="none"/>
          <w:lang w:val="en-US" w:eastAsia="zh-CN"/>
        </w:rPr>
        <w:t>持续推广“行走的章丘方志馆”系列宣讲，扩大“史敢当”志愿宣讲队伍，提升章丘红色故事传播力与影响力</w:t>
      </w:r>
      <w:r>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t>。</w:t>
      </w:r>
    </w:p>
    <w:p>
      <w:pPr>
        <w:keepNext w:val="0"/>
        <w:keepLines w:val="0"/>
        <w:pageBreakBefore w:val="0"/>
        <w:widowControl w:val="0"/>
        <w:kinsoku/>
        <w:wordWrap/>
        <w:topLinePunct w:val="0"/>
        <w:autoSpaceDE/>
        <w:autoSpaceDN/>
        <w:bidi w:val="0"/>
        <w:spacing w:line="56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三、统筹城乡精神文明建设</w:t>
      </w:r>
    </w:p>
    <w:p>
      <w:pPr>
        <w:keepNext w:val="0"/>
        <w:keepLines w:val="0"/>
        <w:pageBreakBefore w:val="0"/>
        <w:widowControl w:val="0"/>
        <w:kinsoku/>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pPr>
      <w:r>
        <w:rPr>
          <w:rFonts w:hint="eastAsia" w:ascii="仿宋_GB2312" w:hAnsi="仿宋_GB2312" w:eastAsia="仿宋_GB2312" w:cs="仿宋_GB2312"/>
          <w:color w:val="auto"/>
          <w:kern w:val="21"/>
          <w:sz w:val="32"/>
          <w:szCs w:val="32"/>
          <w:highlight w:val="none"/>
          <w:u w:val="none"/>
          <w:lang w:val="en-US" w:eastAsia="zh-CN" w:bidi="ar-SA"/>
        </w:rPr>
        <w:t>以“文明有章·全域实践”为抓手，提升文明培育实践创建水平。加强社会公德、职业道德、家庭美德、个人品德、未成年人思想道德建设，深化乡村文明之星、身边好人、道德模范等宣传选树活动，</w:t>
      </w:r>
      <w:r>
        <w:rPr>
          <w:rFonts w:hint="eastAsia" w:ascii="Calibri" w:hAnsi="Calibri" w:eastAsia="仿宋_GB2312" w:cs="Times New Roman"/>
          <w:b w:val="0"/>
          <w:bCs w:val="0"/>
          <w:color w:val="auto"/>
          <w:sz w:val="32"/>
          <w:szCs w:val="24"/>
          <w:highlight w:val="none"/>
          <w:u w:val="none" w:color="auto"/>
          <w:lang w:val="en-US" w:eastAsia="zh-CN"/>
        </w:rPr>
        <w:t>加强家庭家风家教建设，提高群众文明素养和社会文明程度</w:t>
      </w:r>
      <w:r>
        <w:rPr>
          <w:rFonts w:hint="eastAsia" w:ascii="仿宋_GB2312" w:hAnsi="仿宋_GB2312" w:eastAsia="仿宋_GB2312" w:cs="仿宋_GB2312"/>
          <w:color w:val="auto"/>
          <w:kern w:val="21"/>
          <w:sz w:val="32"/>
          <w:szCs w:val="32"/>
          <w:highlight w:val="none"/>
          <w:u w:val="none"/>
          <w:lang w:val="en-US" w:eastAsia="zh-CN" w:bidi="ar-SA"/>
        </w:rPr>
        <w:t>。创新和拓展文明实践载体，深化新时代文明实践中心建设，推动城乡精神文明融合发展，加快文明城市创建向建设城市文明转变。顺应经济结构、社会组织、就业方式深刻变动，推动文明单位创建向新经济组织、新社会组织、新就业群体转变。加强全国文明村镇常态化培育管理，丰富文明家庭、文明校园创建选树宣传</w:t>
      </w:r>
      <w:r>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t>。</w:t>
      </w:r>
    </w:p>
    <w:p>
      <w:pPr>
        <w:keepNext w:val="0"/>
        <w:keepLines w:val="0"/>
        <w:pageBreakBefore w:val="0"/>
        <w:widowControl w:val="0"/>
        <w:kinsoku/>
        <w:wordWrap/>
        <w:topLinePunct w:val="0"/>
        <w:autoSpaceDE/>
        <w:autoSpaceDN/>
        <w:bidi w:val="0"/>
        <w:spacing w:line="56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四、壮大主流舆论宣传引导</w:t>
      </w:r>
    </w:p>
    <w:p>
      <w:pPr>
        <w:keepNext w:val="0"/>
        <w:keepLines w:val="0"/>
        <w:pageBreakBefore w:val="0"/>
        <w:widowControl w:val="0"/>
        <w:kinsoku/>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pPr>
      <w:r>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t>坚持党管媒体原则，牢牢把握正确舆论导向，做大做强主流舆论阵地。深化正面宣传提质增效，紧扣全区中心工作和发展成就，策划系列主题宣传活动，全面提升内容生产、舆论引导、创新传播和综合服务四大核心能力。深化主流媒体系统性变革，健全新闻宣传与网络舆情一体化管理机制，持续增强主流舆论引导力。深化融媒体中心建设，加快AI技术赋能，着力打造彰显章丘特色、具有广泛影响力的媒体品牌。深化新闻发布质效，完善经济民生、热点事件、突发事件及重大信息公开发布机制，精准有效回应社会关切和人民期盼。深化国际传播，积极承接各类国际访学研学活动，讲好新时代章丘故事。深化网络文明建设，严格规范网络行为，构建网上正能量传播矩阵，全面提升网络空间综合治理能力，共同营造清朗网上精神家园。</w:t>
      </w:r>
    </w:p>
    <w:p>
      <w:pPr>
        <w:keepNext w:val="0"/>
        <w:keepLines w:val="0"/>
        <w:pageBreakBefore w:val="0"/>
        <w:widowControl w:val="0"/>
        <w:kinsoku/>
        <w:wordWrap/>
        <w:overflowPunct/>
        <w:topLinePunct w:val="0"/>
        <w:autoSpaceDE/>
        <w:autoSpaceDN/>
        <w:bidi w:val="0"/>
        <w:adjustRightInd w:val="0"/>
        <w:snapToGrid w:val="0"/>
        <w:spacing w:before="157" w:beforeLines="50" w:beforeAutospacing="0" w:after="157" w:afterLines="50" w:afterAutospacing="0" w:line="560" w:lineRule="exact"/>
        <w:ind w:left="0" w:leftChars="0" w:firstLine="0" w:firstLineChars="0"/>
        <w:jc w:val="center"/>
        <w:textAlignment w:val="auto"/>
        <w:outlineLvl w:val="1"/>
        <w:rPr>
          <w:rFonts w:hint="eastAsia" w:ascii="文星标宋" w:hAnsi="文星标宋" w:eastAsia="文星标宋" w:cs="文星标宋"/>
          <w:bCs/>
          <w:color w:val="auto"/>
          <w:kern w:val="44"/>
          <w:sz w:val="32"/>
          <w:szCs w:val="32"/>
          <w:highlight w:val="none"/>
          <w:lang w:val="en-US" w:eastAsia="zh-CN" w:bidi="ar"/>
        </w:rPr>
      </w:pPr>
      <w:bookmarkStart w:id="107" w:name="_Toc31711"/>
      <w:bookmarkStart w:id="108" w:name="_Toc27889"/>
      <w:r>
        <w:rPr>
          <w:rFonts w:hint="eastAsia" w:ascii="文星标宋" w:hAnsi="文星标宋" w:eastAsia="文星标宋" w:cs="文星标宋"/>
          <w:bCs/>
          <w:color w:val="auto"/>
          <w:kern w:val="44"/>
          <w:sz w:val="32"/>
          <w:szCs w:val="32"/>
          <w:highlight w:val="none"/>
          <w:lang w:val="en-US" w:eastAsia="zh-CN" w:bidi="ar"/>
        </w:rPr>
        <w:t>第二节  大力</w:t>
      </w:r>
      <w:bookmarkEnd w:id="107"/>
      <w:r>
        <w:rPr>
          <w:rFonts w:hint="eastAsia" w:ascii="文星标宋" w:hAnsi="文星标宋" w:eastAsia="文星标宋" w:cs="文星标宋"/>
          <w:bCs/>
          <w:color w:val="auto"/>
          <w:kern w:val="44"/>
          <w:sz w:val="32"/>
          <w:szCs w:val="32"/>
          <w:highlight w:val="none"/>
          <w:u w:val="none"/>
          <w:lang w:val="en-US" w:eastAsia="zh-CN" w:bidi="ar"/>
        </w:rPr>
        <w:t>发展文化事业</w:t>
      </w:r>
      <w:bookmarkEnd w:id="108"/>
    </w:p>
    <w:p>
      <w:pPr>
        <w:keepNext w:val="0"/>
        <w:keepLines w:val="0"/>
        <w:pageBreakBefore w:val="0"/>
        <w:widowControl w:val="0"/>
        <w:kinsoku/>
        <w:wordWrap/>
        <w:topLinePunct w:val="0"/>
        <w:autoSpaceDE/>
        <w:autoSpaceDN/>
        <w:bidi w:val="0"/>
        <w:spacing w:line="56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一、推进公共文化服务提质增效</w:t>
      </w:r>
      <w:bookmarkStart w:id="109" w:name="OLE_LINK12"/>
    </w:p>
    <w:p>
      <w:pPr>
        <w:keepNext w:val="0"/>
        <w:keepLines w:val="0"/>
        <w:pageBreakBefore w:val="0"/>
        <w:widowControl w:val="0"/>
        <w:kinsoku/>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pPr>
      <w:r>
        <w:rPr>
          <w:rFonts w:hint="eastAsia" w:ascii="仿宋_GB2312" w:hAnsi="仿宋_GB2312" w:eastAsia="仿宋_GB2312" w:cs="仿宋_GB2312"/>
          <w:color w:val="auto"/>
          <w:spacing w:val="0"/>
          <w:w w:val="100"/>
          <w:kern w:val="21"/>
          <w:sz w:val="32"/>
          <w:szCs w:val="32"/>
          <w:highlight w:val="none"/>
          <w:u w:val="none"/>
          <w:lang w:val="en-US" w:eastAsia="zh-CN"/>
        </w:rPr>
        <w:t>健全公共文化设施网络，持续推进图书馆、文化馆评估定级和提质增效，</w:t>
      </w:r>
      <w:r>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t>全面推进区、</w:t>
      </w:r>
      <w:r>
        <w:rPr>
          <w:rFonts w:hint="eastAsia" w:ascii="仿宋_GB2312" w:hAnsi="仿宋_GB2312" w:eastAsia="仿宋_GB2312" w:cs="仿宋_GB2312"/>
          <w:bCs w:val="0"/>
          <w:color w:val="auto"/>
          <w:kern w:val="2"/>
          <w:sz w:val="32"/>
          <w:szCs w:val="32"/>
          <w:highlight w:val="none"/>
          <w:u w:val="none"/>
          <w:lang w:val="en-US" w:eastAsia="zh-CN" w:bidi="ar-SA"/>
        </w:rPr>
        <w:t>街道（镇）</w:t>
      </w:r>
      <w:r>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t>、村（社区）三级公共文化服务体系建设，鼓励建设泉城书房、文化书院等新型文化空间，打通公共文化服务“最后一公里”。丰富优质文化产品供给，创新实施文化惠民工程，持续开展文化下乡、公益电影放映等活动，搭建“百姓大舞台”等群众参与平台，“十五五”期间每年</w:t>
      </w:r>
      <w:r>
        <w:rPr>
          <w:rFonts w:hint="eastAsia" w:ascii="仿宋_GB2312" w:hAnsi="仿宋_GB2312" w:eastAsia="仿宋_GB2312" w:cs="仿宋_GB2312"/>
          <w:color w:val="auto"/>
          <w:kern w:val="2"/>
          <w:sz w:val="32"/>
          <w:szCs w:val="32"/>
          <w:highlight w:val="none"/>
          <w:u w:val="none"/>
          <w:lang w:val="en-US" w:eastAsia="zh-CN" w:bidi="ar-SA"/>
        </w:rPr>
        <w:t>组织群众性文化活动500场次以上，推动优质文化资源直达基层</w:t>
      </w:r>
      <w:r>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t>。</w:t>
      </w:r>
      <w:r>
        <w:rPr>
          <w:rFonts w:hint="eastAsia" w:ascii="仿宋_GB2312" w:hAnsi="仿宋_GB2312" w:eastAsia="仿宋_GB2312" w:cs="仿宋_GB2312"/>
          <w:color w:val="auto"/>
          <w:kern w:val="21"/>
          <w:sz w:val="32"/>
          <w:szCs w:val="32"/>
          <w:highlight w:val="none"/>
          <w:u w:val="none"/>
        </w:rPr>
        <w:t>依托城子崖遗址</w:t>
      </w:r>
      <w:r>
        <w:rPr>
          <w:rFonts w:hint="eastAsia" w:ascii="仿宋_GB2312" w:hAnsi="仿宋_GB2312" w:eastAsia="仿宋_GB2312" w:cs="仿宋_GB2312"/>
          <w:strike w:val="0"/>
          <w:dstrike w:val="0"/>
          <w:color w:val="auto"/>
          <w:kern w:val="21"/>
          <w:sz w:val="32"/>
          <w:szCs w:val="32"/>
          <w:highlight w:val="none"/>
          <w:u w:val="none"/>
        </w:rPr>
        <w:t>博物馆</w:t>
      </w:r>
      <w:r>
        <w:rPr>
          <w:rFonts w:hint="eastAsia" w:ascii="仿宋_GB2312" w:hAnsi="仿宋_GB2312" w:eastAsia="仿宋_GB2312" w:cs="仿宋_GB2312"/>
          <w:color w:val="auto"/>
          <w:kern w:val="21"/>
          <w:sz w:val="32"/>
          <w:szCs w:val="32"/>
          <w:highlight w:val="none"/>
          <w:u w:val="none"/>
        </w:rPr>
        <w:t>、区博物馆、区文化馆</w:t>
      </w:r>
      <w:r>
        <w:rPr>
          <w:rFonts w:hint="eastAsia" w:ascii="仿宋_GB2312" w:hAnsi="仿宋_GB2312" w:eastAsia="仿宋_GB2312" w:cs="仿宋_GB2312"/>
          <w:color w:val="auto"/>
          <w:kern w:val="21"/>
          <w:sz w:val="32"/>
          <w:szCs w:val="32"/>
          <w:highlight w:val="none"/>
          <w:u w:val="none"/>
          <w:lang w:eastAsia="zh-CN"/>
        </w:rPr>
        <w:t>、</w:t>
      </w:r>
      <w:r>
        <w:rPr>
          <w:rFonts w:hint="eastAsia" w:ascii="仿宋_GB2312" w:hAnsi="仿宋_GB2312" w:eastAsia="仿宋_GB2312" w:cs="仿宋_GB2312"/>
          <w:color w:val="auto"/>
          <w:kern w:val="21"/>
          <w:sz w:val="32"/>
          <w:szCs w:val="32"/>
          <w:highlight w:val="none"/>
          <w:u w:val="none"/>
        </w:rPr>
        <w:t>区</w:t>
      </w:r>
      <w:r>
        <w:rPr>
          <w:rFonts w:hint="eastAsia" w:ascii="仿宋_GB2312" w:hAnsi="仿宋_GB2312" w:eastAsia="仿宋_GB2312" w:cs="仿宋_GB2312"/>
          <w:color w:val="auto"/>
          <w:kern w:val="21"/>
          <w:sz w:val="32"/>
          <w:szCs w:val="32"/>
          <w:highlight w:val="none"/>
          <w:u w:val="none"/>
          <w:lang w:eastAsia="zh-CN"/>
        </w:rPr>
        <w:t>图书馆</w:t>
      </w:r>
      <w:r>
        <w:rPr>
          <w:rFonts w:hint="eastAsia" w:ascii="仿宋_GB2312" w:hAnsi="仿宋_GB2312" w:eastAsia="仿宋_GB2312" w:cs="仿宋_GB2312"/>
          <w:color w:val="auto"/>
          <w:kern w:val="21"/>
          <w:sz w:val="32"/>
          <w:szCs w:val="32"/>
          <w:highlight w:val="none"/>
          <w:u w:val="none"/>
        </w:rPr>
        <w:t>等阵地，开展“龙山泉韵·学问章丘”研学</w:t>
      </w:r>
      <w:r>
        <w:rPr>
          <w:rFonts w:hint="eastAsia" w:ascii="仿宋_GB2312" w:hAnsi="仿宋_GB2312" w:eastAsia="仿宋_GB2312" w:cs="仿宋_GB2312"/>
          <w:color w:val="auto"/>
          <w:kern w:val="21"/>
          <w:sz w:val="32"/>
          <w:szCs w:val="32"/>
          <w:highlight w:val="none"/>
          <w:u w:val="none"/>
          <w:lang w:val="en-US" w:eastAsia="zh-CN"/>
        </w:rPr>
        <w:t>等</w:t>
      </w:r>
      <w:r>
        <w:rPr>
          <w:rFonts w:hint="eastAsia" w:ascii="仿宋_GB2312" w:hAnsi="仿宋_GB2312" w:eastAsia="仿宋_GB2312" w:cs="仿宋_GB2312"/>
          <w:color w:val="auto"/>
          <w:kern w:val="21"/>
          <w:sz w:val="32"/>
          <w:szCs w:val="32"/>
          <w:highlight w:val="none"/>
          <w:u w:val="none"/>
        </w:rPr>
        <w:t>系列活动</w:t>
      </w:r>
      <w:r>
        <w:rPr>
          <w:rFonts w:hint="eastAsia" w:ascii="仿宋_GB2312" w:hAnsi="仿宋_GB2312" w:eastAsia="仿宋_GB2312" w:cs="仿宋_GB2312"/>
          <w:color w:val="auto"/>
          <w:kern w:val="21"/>
          <w:sz w:val="32"/>
          <w:szCs w:val="32"/>
          <w:highlight w:val="none"/>
          <w:u w:val="none"/>
          <w:lang w:eastAsia="zh-CN"/>
        </w:rPr>
        <w:t>，</w:t>
      </w:r>
      <w:r>
        <w:rPr>
          <w:rFonts w:hint="eastAsia" w:ascii="仿宋_GB2312" w:hAnsi="仿宋_GB2312" w:eastAsia="仿宋_GB2312" w:cs="仿宋_GB2312"/>
          <w:color w:val="auto"/>
          <w:kern w:val="21"/>
          <w:sz w:val="32"/>
          <w:szCs w:val="32"/>
          <w:highlight w:val="none"/>
          <w:u w:val="none"/>
          <w:lang w:val="en-US" w:eastAsia="zh-CN"/>
        </w:rPr>
        <w:t>深入推进全民阅读工作开展，营造“爱读书、读好书”的浓厚氛围，建设“书香章丘”</w:t>
      </w:r>
      <w:r>
        <w:rPr>
          <w:rFonts w:hint="eastAsia" w:ascii="仿宋_GB2312" w:hAnsi="仿宋_GB2312" w:eastAsia="仿宋_GB2312" w:cs="仿宋_GB2312"/>
          <w:color w:val="auto"/>
          <w:kern w:val="21"/>
          <w:sz w:val="32"/>
          <w:szCs w:val="32"/>
          <w:highlight w:val="none"/>
          <w:u w:val="none"/>
          <w:lang w:eastAsia="zh-CN"/>
        </w:rPr>
        <w:t>。</w:t>
      </w:r>
      <w:r>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t>加速公共文化数字化进程，推进“数字阅读”等线上服务，打造更多数字文化体验场景，促进文化资源共建、共享。</w:t>
      </w:r>
      <w:r>
        <w:rPr>
          <w:rFonts w:hint="eastAsia" w:ascii="仿宋_GB2312" w:hAnsi="仿宋_GB2312" w:eastAsia="仿宋_GB2312" w:cs="仿宋_GB2312"/>
          <w:color w:val="auto"/>
          <w:spacing w:val="0"/>
          <w:w w:val="100"/>
          <w:kern w:val="21"/>
          <w:sz w:val="32"/>
          <w:szCs w:val="32"/>
          <w:highlight w:val="none"/>
          <w:u w:val="none"/>
          <w:lang w:val="en-US" w:eastAsia="zh-CN"/>
        </w:rPr>
        <w:t>繁荣互联网条件下新大众文艺，创作一批体现时代特征和章丘特色的歌曲戏剧、短视频、微视频等新形态产品</w:t>
      </w:r>
      <w:r>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t>。</w:t>
      </w:r>
    </w:p>
    <w:bookmarkEnd w:id="109"/>
    <w:p>
      <w:pPr>
        <w:keepNext w:val="0"/>
        <w:keepLines w:val="0"/>
        <w:pageBreakBefore w:val="0"/>
        <w:widowControl w:val="0"/>
        <w:kinsoku/>
        <w:wordWrap/>
        <w:topLinePunct w:val="0"/>
        <w:autoSpaceDE/>
        <w:autoSpaceDN/>
        <w:bidi w:val="0"/>
        <w:spacing w:line="56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二、加强优秀传统文化保护传承</w:t>
      </w:r>
    </w:p>
    <w:p>
      <w:pPr>
        <w:keepNext w:val="0"/>
        <w:keepLines w:val="0"/>
        <w:pageBreakBefore w:val="0"/>
        <w:widowControl w:val="0"/>
        <w:kinsoku/>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pPr>
      <w:r>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t>加强东平陵故城、西河遗址、焦家遗址、齐长城遗址、小荆山遗址等历史文化遗产保护管理力度，深入推进中华优秀传统文化创造性转化、创新性发展。强化大遗址系统性考古研究、保护管理和活化利用，做好焦家遗址、城子崖遗址等发掘保护利用，实施重大文化遗产地标性工程，重点打造城子崖国家考古遗址公园、洛庄汉王陵考古遗址公园、黄河国家文化公园（济南段）、长城国家文化公园，不断提升文化遗产保护传承与综合利用水平。高标准完成第四次全国文物普查与常态化保护工作，持续推进重要文物遗迹、历史建筑的抢救性保护与预防性修缮，抓好传统村落保护和历史建筑修缮。</w:t>
      </w:r>
      <w:r>
        <w:rPr>
          <w:rFonts w:hint="eastAsia" w:ascii="仿宋_GB2312" w:hAnsi="仿宋_GB2312" w:eastAsia="仿宋_GB2312" w:cs="仿宋_GB2312"/>
          <w:color w:val="auto"/>
          <w:kern w:val="21"/>
          <w:sz w:val="32"/>
          <w:szCs w:val="32"/>
          <w:highlight w:val="none"/>
          <w:u w:val="none"/>
          <w:lang w:val="en-US" w:eastAsia="zh-CN"/>
        </w:rPr>
        <w:t>深入挖掘章丘深厚历史文化底蕴，实施章丘龙山文化生态保护实验区提升工程，扎实推动非物质文化遗产区域性整体保护。</w:t>
      </w:r>
      <w:r>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t>推动龙山黑陶、章丘铁锅等遗产传承创新，</w:t>
      </w:r>
      <w:r>
        <w:rPr>
          <w:rFonts w:hint="eastAsia" w:ascii="仿宋_GB2312" w:hAnsi="仿宋_GB2312" w:eastAsia="仿宋_GB2312" w:cs="仿宋_GB2312"/>
          <w:color w:val="auto"/>
          <w:kern w:val="21"/>
          <w:sz w:val="32"/>
          <w:szCs w:val="32"/>
          <w:highlight w:val="none"/>
          <w:u w:val="none"/>
          <w:lang w:val="en-US" w:eastAsia="zh-CN"/>
        </w:rPr>
        <w:t>深度融入清照文化等特色IP元素，</w:t>
      </w:r>
      <w:r>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t>促进文化遗产资源向旅游产品转化。</w:t>
      </w:r>
    </w:p>
    <w:p>
      <w:pPr>
        <w:pStyle w:val="8"/>
        <w:keepNext w:val="0"/>
        <w:keepLines w:val="0"/>
        <w:pageBreakBefore w:val="0"/>
        <w:widowControl w:val="0"/>
        <w:kinsoku/>
        <w:wordWrap/>
        <w:topLinePunct w:val="0"/>
        <w:autoSpaceDE/>
        <w:autoSpaceDN/>
        <w:bidi w:val="0"/>
        <w:spacing w:line="560" w:lineRule="exact"/>
        <w:textAlignment w:val="auto"/>
        <w:rPr>
          <w:rFonts w:hint="eastAsia"/>
          <w:highlight w:val="none"/>
          <w:lang w:val="en-US" w:eastAsia="zh-CN"/>
        </w:rPr>
      </w:pPr>
    </w:p>
    <w:tbl>
      <w:tblPr>
        <w:tblStyle w:val="16"/>
        <w:tblW w:w="8296" w:type="dxa"/>
        <w:jc w:val="center"/>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jc w:val="center"/>
        </w:trPr>
        <w:tc>
          <w:tcPr>
            <w:tcW w:w="8296" w:type="dxa"/>
            <w:tcBorders>
              <w:tl2br w:val="nil"/>
              <w:tr2bl w:val="nil"/>
            </w:tcBorders>
            <w:noWrap w:val="0"/>
            <w:vAlign w:val="top"/>
          </w:tcPr>
          <w:p>
            <w:pPr>
              <w:keepNext w:val="0"/>
              <w:keepLines w:val="0"/>
              <w:pageBreakBefore w:val="0"/>
              <w:widowControl w:val="0"/>
              <w:suppressLineNumbers w:val="0"/>
              <w:kinsoku/>
              <w:wordWrap/>
              <w:overflowPunct w:val="0"/>
              <w:topLinePunct w:val="0"/>
              <w:autoSpaceDE/>
              <w:autoSpaceDN/>
              <w:bidi w:val="0"/>
              <w:adjustRightInd w:val="0"/>
              <w:snapToGrid w:val="0"/>
              <w:spacing w:before="0" w:beforeLines="-2147483648" w:beforeAutospacing="0" w:after="0" w:afterLines="-2147483648" w:afterAutospacing="0" w:line="480" w:lineRule="exact"/>
              <w:ind w:left="0" w:right="0" w:firstLine="0" w:firstLineChars="0"/>
              <w:jc w:val="center"/>
              <w:textAlignment w:val="auto"/>
              <w:outlineLvl w:val="9"/>
              <w:rPr>
                <w:rFonts w:hint="default" w:ascii="Calibri" w:hAnsi="楷体_GB2312" w:eastAsia="宋体" w:cs="Times New Roman"/>
                <w:b w:val="0"/>
                <w:bCs w:val="0"/>
                <w:color w:val="auto"/>
                <w:sz w:val="28"/>
                <w:szCs w:val="28"/>
                <w:highlight w:val="none"/>
                <w:lang w:val="en-US"/>
              </w:rPr>
            </w:pPr>
            <w:r>
              <w:rPr>
                <w:rFonts w:hint="eastAsia" w:ascii="楷体_GB2312" w:hAnsi="楷体_GB2312" w:eastAsia="楷体_GB2312" w:cs="楷体_GB2312"/>
                <w:b w:val="0"/>
                <w:bCs w:val="0"/>
                <w:color w:val="auto"/>
                <w:sz w:val="28"/>
                <w:szCs w:val="28"/>
                <w:highlight w:val="none"/>
                <w:lang w:val="zh-CN"/>
              </w:rPr>
              <w:t>专栏</w:t>
            </w:r>
            <w:r>
              <w:rPr>
                <w:rFonts w:hint="eastAsia" w:ascii="楷体_GB2312" w:hAnsi="楷体_GB2312" w:eastAsia="楷体_GB2312" w:cs="楷体_GB2312"/>
                <w:b w:val="0"/>
                <w:bCs w:val="0"/>
                <w:color w:val="auto"/>
                <w:sz w:val="28"/>
                <w:szCs w:val="28"/>
                <w:highlight w:val="none"/>
                <w:lang w:val="en-US" w:eastAsia="zh-CN"/>
              </w:rPr>
              <w:t>14  文物保护和</w:t>
            </w:r>
            <w:r>
              <w:rPr>
                <w:rFonts w:hint="eastAsia" w:ascii="楷体_GB2312" w:hAnsi="楷体_GB2312" w:eastAsia="楷体_GB2312" w:cs="楷体_GB2312"/>
                <w:b w:val="0"/>
                <w:bCs w:val="0"/>
                <w:color w:val="auto"/>
                <w:sz w:val="28"/>
                <w:szCs w:val="28"/>
                <w:highlight w:val="none"/>
                <w:u w:val="none"/>
                <w:vertAlign w:val="baseline"/>
                <w:lang w:val="en-US" w:eastAsia="zh-CN"/>
              </w:rPr>
              <w:t>文化旅游</w:t>
            </w:r>
            <w:r>
              <w:rPr>
                <w:rFonts w:hint="eastAsia" w:ascii="楷体_GB2312" w:hAnsi="楷体_GB2312" w:eastAsia="楷体_GB2312" w:cs="楷体_GB2312"/>
                <w:b w:val="0"/>
                <w:bCs w:val="0"/>
                <w:color w:val="auto"/>
                <w:sz w:val="28"/>
                <w:szCs w:val="28"/>
                <w:highlight w:val="none"/>
                <w:lang w:val="en-US" w:eastAsia="zh-CN"/>
              </w:rPr>
              <w:t>项目</w:t>
            </w:r>
          </w:p>
        </w:tc>
      </w:tr>
      <w:tr>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jc w:val="center"/>
        </w:trPr>
        <w:tc>
          <w:tcPr>
            <w:tcW w:w="8296" w:type="dxa"/>
            <w:tcBorders>
              <w:tl2br w:val="nil"/>
              <w:tr2bl w:val="nil"/>
            </w:tcBorders>
            <w:noWrap w:val="0"/>
            <w:vAlign w:val="top"/>
          </w:tcPr>
          <w:p>
            <w:pPr>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480" w:lineRule="exact"/>
              <w:ind w:left="0" w:right="0" w:firstLine="560" w:firstLineChars="200"/>
              <w:textAlignment w:val="auto"/>
              <w:rPr>
                <w:rFonts w:hint="eastAsia" w:ascii="楷体_GB2312" w:hAnsi="楷体_GB2312" w:eastAsia="楷体_GB2312" w:cs="楷体_GB2312"/>
                <w:b w:val="0"/>
                <w:bCs w:val="0"/>
                <w:color w:val="auto"/>
                <w:kern w:val="2"/>
                <w:sz w:val="28"/>
                <w:szCs w:val="28"/>
                <w:highlight w:val="none"/>
                <w:u w:val="none"/>
                <w:lang w:val="en-US" w:eastAsia="zh-CN" w:bidi="ar-SA"/>
              </w:rPr>
            </w:pPr>
            <w:r>
              <w:rPr>
                <w:rFonts w:hint="eastAsia" w:ascii="楷体_GB2312" w:hAnsi="楷体_GB2312" w:eastAsia="楷体_GB2312" w:cs="楷体_GB2312"/>
                <w:b w:val="0"/>
                <w:bCs w:val="0"/>
                <w:color w:val="auto"/>
                <w:kern w:val="2"/>
                <w:sz w:val="28"/>
                <w:szCs w:val="28"/>
                <w:highlight w:val="none"/>
                <w:u w:val="none"/>
                <w:lang w:val="en-US" w:eastAsia="zh-CN" w:bidi="ar-SA"/>
              </w:rPr>
              <w:t>1.文物保护项目：（1）章丘龙山文物保护基地建设项目；（2）城子崖国家考古遗址公园考古体验中心；（3）西河、马安等中小遗址保护利用项目；（4）东平陵故城南城墙东段保护修缮工程；（5）</w:t>
            </w:r>
            <w:r>
              <w:rPr>
                <w:rFonts w:hint="eastAsia" w:ascii="楷体_GB2312" w:hAnsi="楷体_GB2312" w:eastAsia="楷体_GB2312" w:cs="楷体_GB2312"/>
                <w:color w:val="auto"/>
                <w:sz w:val="28"/>
                <w:szCs w:val="28"/>
                <w:highlight w:val="none"/>
                <w:u w:val="none"/>
              </w:rPr>
              <w:t>洛庄汉墓保护展示工程</w:t>
            </w:r>
            <w:r>
              <w:rPr>
                <w:rFonts w:hint="eastAsia" w:ascii="楷体_GB2312" w:hAnsi="楷体_GB2312" w:eastAsia="楷体_GB2312" w:cs="楷体_GB2312"/>
                <w:b w:val="0"/>
                <w:bCs w:val="0"/>
                <w:color w:val="auto"/>
                <w:kern w:val="2"/>
                <w:sz w:val="28"/>
                <w:szCs w:val="28"/>
                <w:highlight w:val="none"/>
                <w:u w:val="none"/>
                <w:lang w:val="en-US" w:eastAsia="zh-CN" w:bidi="ar-SA"/>
              </w:rPr>
              <w:t>；</w:t>
            </w:r>
          </w:p>
          <w:p>
            <w:pPr>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480" w:lineRule="exact"/>
              <w:ind w:left="0" w:right="0" w:firstLine="560" w:firstLineChars="200"/>
              <w:textAlignment w:val="auto"/>
              <w:rPr>
                <w:rFonts w:hint="eastAsia" w:ascii="楷体_GB2312" w:hAnsi="楷体_GB2312" w:eastAsia="楷体_GB2312" w:cs="楷体_GB2312"/>
                <w:b w:val="0"/>
                <w:bCs w:val="0"/>
                <w:color w:val="auto"/>
                <w:kern w:val="2"/>
                <w:sz w:val="28"/>
                <w:szCs w:val="28"/>
                <w:highlight w:val="none"/>
                <w:u w:val="none"/>
                <w:lang w:val="en-US" w:eastAsia="zh-CN" w:bidi="ar-SA"/>
              </w:rPr>
            </w:pPr>
            <w:r>
              <w:rPr>
                <w:rFonts w:hint="eastAsia" w:ascii="楷体_GB2312" w:hAnsi="楷体_GB2312" w:eastAsia="楷体_GB2312" w:cs="楷体_GB2312"/>
                <w:b w:val="0"/>
                <w:bCs w:val="0"/>
                <w:color w:val="auto"/>
                <w:kern w:val="2"/>
                <w:sz w:val="28"/>
                <w:szCs w:val="28"/>
                <w:highlight w:val="none"/>
                <w:u w:val="none"/>
                <w:lang w:val="en-US" w:eastAsia="zh-CN" w:bidi="ar-SA"/>
              </w:rPr>
              <w:t>2.文化旅游项目：（1）济南埠村综合休闲度假区；（2）大唐白泉驿。</w:t>
            </w:r>
          </w:p>
        </w:tc>
      </w:tr>
    </w:tbl>
    <w:p>
      <w:pPr>
        <w:keepNext w:val="0"/>
        <w:keepLines w:val="0"/>
        <w:pageBreakBefore w:val="0"/>
        <w:widowControl w:val="0"/>
        <w:kinsoku/>
        <w:wordWrap/>
        <w:topLinePunct w:val="0"/>
        <w:autoSpaceDE/>
        <w:autoSpaceDN/>
        <w:bidi w:val="0"/>
        <w:spacing w:line="56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三、构建多元文化传播体系</w:t>
      </w:r>
    </w:p>
    <w:p>
      <w:pPr>
        <w:keepNext w:val="0"/>
        <w:keepLines w:val="0"/>
        <w:pageBreakBefore w:val="0"/>
        <w:widowControl w:val="0"/>
        <w:kinsoku/>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pPr>
      <w:r>
        <w:rPr>
          <w:rFonts w:hint="eastAsia" w:ascii="仿宋_GB2312" w:hAnsi="仿宋_GB2312" w:eastAsia="仿宋_GB2312" w:cs="仿宋_GB2312"/>
          <w:b w:val="0"/>
          <w:bCs w:val="0"/>
          <w:color w:val="auto"/>
          <w:spacing w:val="0"/>
          <w:w w:val="100"/>
          <w:kern w:val="21"/>
          <w:sz w:val="32"/>
          <w:szCs w:val="32"/>
          <w:highlight w:val="none"/>
          <w:u w:val="none" w:color="auto"/>
          <w:lang w:val="en-US" w:eastAsia="zh-CN" w:bidi="ar-SA"/>
        </w:rPr>
        <w:t>深入挖掘和整合挖掘龙山、儒商、清照、泉水等文化资源，持续开展“清照诗歌艺术节”等文化活动，</w:t>
      </w:r>
      <w:r>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t>形成具有鲜明章丘印记的文化符号体系。发挥驻章高校作用，鼓励和支持围绕地方特色文化资源，创作生产一批具有较高思想性、艺术性、观赏性的文学、美术、书法、摄影、戏剧、影视、音乐等精品力作。健全文化创作生产激励机制，加大对优秀作品和人才的扶持奖励力度。拓展对外文化交流渠道，积极参与国家、省、市组织的文化交流活动，依托友好城市等平台，推动章丘优秀文化走出去。适应媒体格局深刻变化，充分运用报刊、广播、电视等传统媒体和“两微一端”、短视频等新媒体平台，创新文化表达和传播方式，提升文化传播效能。</w:t>
      </w:r>
    </w:p>
    <w:p>
      <w:pPr>
        <w:keepNext w:val="0"/>
        <w:keepLines w:val="0"/>
        <w:pageBreakBefore w:val="0"/>
        <w:widowControl w:val="0"/>
        <w:kinsoku/>
        <w:wordWrap/>
        <w:overflowPunct/>
        <w:topLinePunct w:val="0"/>
        <w:autoSpaceDE/>
        <w:autoSpaceDN/>
        <w:bidi w:val="0"/>
        <w:adjustRightInd w:val="0"/>
        <w:snapToGrid w:val="0"/>
        <w:spacing w:before="157" w:beforeLines="50" w:beforeAutospacing="0" w:after="157" w:afterLines="50" w:afterAutospacing="0" w:line="560" w:lineRule="exact"/>
        <w:ind w:left="0" w:leftChars="0" w:firstLine="0" w:firstLineChars="0"/>
        <w:jc w:val="center"/>
        <w:textAlignment w:val="auto"/>
        <w:outlineLvl w:val="1"/>
        <w:rPr>
          <w:rFonts w:hint="eastAsia" w:ascii="文星标宋" w:hAnsi="文星标宋" w:eastAsia="文星标宋" w:cs="文星标宋"/>
          <w:bCs/>
          <w:color w:val="auto"/>
          <w:kern w:val="44"/>
          <w:sz w:val="32"/>
          <w:szCs w:val="32"/>
          <w:highlight w:val="none"/>
          <w:lang w:val="en-US" w:eastAsia="zh-CN" w:bidi="ar"/>
        </w:rPr>
      </w:pPr>
      <w:bookmarkStart w:id="110" w:name="_Toc1455"/>
      <w:bookmarkStart w:id="111" w:name="_Toc30951"/>
      <w:r>
        <w:rPr>
          <w:rFonts w:hint="eastAsia" w:ascii="文星标宋" w:hAnsi="文星标宋" w:eastAsia="文星标宋" w:cs="文星标宋"/>
          <w:bCs/>
          <w:color w:val="auto"/>
          <w:kern w:val="44"/>
          <w:sz w:val="32"/>
          <w:szCs w:val="32"/>
          <w:highlight w:val="none"/>
          <w:lang w:val="en-US" w:eastAsia="zh-CN" w:bidi="ar"/>
        </w:rPr>
        <w:t>第三节  培育壮大文化产业</w:t>
      </w:r>
      <w:bookmarkEnd w:id="110"/>
      <w:bookmarkEnd w:id="111"/>
    </w:p>
    <w:p>
      <w:pPr>
        <w:keepNext w:val="0"/>
        <w:keepLines w:val="0"/>
        <w:pageBreakBefore w:val="0"/>
        <w:widowControl w:val="0"/>
        <w:kinsoku/>
        <w:wordWrap/>
        <w:topLinePunct w:val="0"/>
        <w:autoSpaceDE/>
        <w:autoSpaceDN/>
        <w:bidi w:val="0"/>
        <w:spacing w:line="56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一、持续优化文旅产品供给</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Courier New" w:eastAsia="仿宋_GB2312" w:cs="Times New Roman"/>
          <w:color w:val="auto"/>
          <w:kern w:val="2"/>
          <w:sz w:val="32"/>
          <w:szCs w:val="32"/>
          <w:highlight w:val="none"/>
          <w:u w:val="none"/>
          <w:lang w:val="en-US" w:eastAsia="zh-CN" w:bidi="ar-SA"/>
        </w:rPr>
      </w:pPr>
      <w:r>
        <w:rPr>
          <w:rFonts w:hint="eastAsia" w:ascii="仿宋_GB2312" w:hAnsi="Courier New" w:eastAsia="仿宋_GB2312" w:cs="Times New Roman"/>
          <w:color w:val="auto"/>
          <w:kern w:val="2"/>
          <w:sz w:val="32"/>
          <w:szCs w:val="32"/>
          <w:highlight w:val="none"/>
          <w:u w:val="none"/>
          <w:lang w:val="en-US" w:eastAsia="zh-CN" w:bidi="ar-SA"/>
        </w:rPr>
        <w:t>持续激活文旅经济，</w:t>
      </w:r>
      <w:r>
        <w:rPr>
          <w:rFonts w:hint="eastAsia" w:ascii="仿宋_GB2312" w:hAnsi="仿宋_GB2312" w:eastAsia="仿宋_GB2312" w:cs="仿宋_GB2312"/>
          <w:color w:val="auto"/>
          <w:spacing w:val="0"/>
          <w:w w:val="100"/>
          <w:kern w:val="21"/>
          <w:sz w:val="32"/>
          <w:szCs w:val="32"/>
          <w:highlight w:val="none"/>
          <w:u w:val="none"/>
          <w:lang w:val="en-US" w:eastAsia="zh-CN" w:bidi="ar-SA"/>
        </w:rPr>
        <w:t>提升泉水景观、清照文化知名度，打造“天下泉城新地标”。</w:t>
      </w:r>
      <w:r>
        <w:rPr>
          <w:rFonts w:hint="eastAsia" w:ascii="仿宋_GB2312" w:hAnsi="Courier New" w:eastAsia="仿宋_GB2312" w:cs="Times New Roman"/>
          <w:color w:val="auto"/>
          <w:kern w:val="2"/>
          <w:sz w:val="32"/>
          <w:szCs w:val="32"/>
          <w:highlight w:val="none"/>
          <w:u w:val="none"/>
          <w:lang w:val="en-US" w:eastAsia="zh-CN" w:bidi="ar-SA"/>
        </w:rPr>
        <w:t>全面完成明水古城配套服务区建设，</w:t>
      </w:r>
      <w:r>
        <w:rPr>
          <w:rFonts w:hint="default" w:ascii="仿宋_GB2312" w:hAnsi="Courier New" w:eastAsia="仿宋_GB2312" w:cs="Times New Roman"/>
          <w:color w:val="auto"/>
          <w:sz w:val="32"/>
          <w:szCs w:val="32"/>
          <w:highlight w:val="none"/>
          <w:u w:val="none"/>
        </w:rPr>
        <w:t>主动服务保障济南埠村综合休闲度假区、</w:t>
      </w:r>
      <w:r>
        <w:rPr>
          <w:rFonts w:hint="eastAsia" w:ascii="仿宋_GB2312" w:hAnsi="Courier New" w:eastAsia="仿宋_GB2312" w:cs="Times New Roman"/>
          <w:color w:val="auto"/>
          <w:sz w:val="32"/>
          <w:szCs w:val="32"/>
          <w:highlight w:val="none"/>
          <w:u w:val="none"/>
          <w:lang w:eastAsia="zh-CN"/>
        </w:rPr>
        <w:t>大唐白泉驿</w:t>
      </w:r>
      <w:r>
        <w:rPr>
          <w:rFonts w:hint="default" w:ascii="仿宋_GB2312" w:hAnsi="Courier New" w:eastAsia="仿宋_GB2312" w:cs="Times New Roman"/>
          <w:color w:val="auto"/>
          <w:sz w:val="32"/>
          <w:szCs w:val="32"/>
          <w:highlight w:val="none"/>
          <w:u w:val="none"/>
        </w:rPr>
        <w:t>等重点文旅项目实施，</w:t>
      </w:r>
      <w:r>
        <w:rPr>
          <w:rFonts w:hint="eastAsia" w:ascii="仿宋_GB2312" w:hAnsi="Courier New" w:eastAsia="仿宋_GB2312" w:cs="Times New Roman"/>
          <w:color w:val="auto"/>
          <w:kern w:val="2"/>
          <w:sz w:val="32"/>
          <w:szCs w:val="32"/>
          <w:highlight w:val="none"/>
          <w:u w:val="none"/>
          <w:lang w:val="en-US" w:eastAsia="zh-CN" w:bidi="ar-SA"/>
        </w:rPr>
        <w:t>推动朱家峪、七星台等景区提质焕新</w:t>
      </w:r>
      <w:r>
        <w:rPr>
          <w:rFonts w:hint="default" w:ascii="仿宋_GB2312" w:hAnsi="Courier New" w:eastAsia="仿宋_GB2312" w:cs="Times New Roman"/>
          <w:color w:val="auto"/>
          <w:sz w:val="32"/>
          <w:szCs w:val="32"/>
          <w:highlight w:val="none"/>
          <w:u w:val="none"/>
        </w:rPr>
        <w:t>。做好国家A级旅游景区、精品文旅名镇、旅游重点村、民宿集聚区等创建培育工作。</w:t>
      </w:r>
      <w:r>
        <w:rPr>
          <w:rFonts w:hint="default" w:ascii="仿宋_GB2312" w:hAnsi="Courier New" w:eastAsia="仿宋_GB2312" w:cs="Times New Roman"/>
          <w:color w:val="auto"/>
          <w:sz w:val="32"/>
          <w:szCs w:val="32"/>
          <w:highlight w:val="none"/>
          <w:u w:val="none"/>
          <w:lang w:eastAsia="zh-CN"/>
        </w:rPr>
        <w:t>推动乡村旅游重点村镇建设，</w:t>
      </w:r>
      <w:r>
        <w:rPr>
          <w:rFonts w:hint="default" w:ascii="仿宋_GB2312" w:hAnsi="Courier New" w:eastAsia="仿宋_GB2312" w:cs="Times New Roman"/>
          <w:color w:val="auto"/>
          <w:sz w:val="32"/>
          <w:szCs w:val="32"/>
          <w:highlight w:val="none"/>
          <w:u w:val="none"/>
        </w:rPr>
        <w:t>持续培育</w:t>
      </w:r>
      <w:r>
        <w:rPr>
          <w:rFonts w:hint="eastAsia" w:ascii="仿宋_GB2312" w:hAnsi="Courier New" w:eastAsia="仿宋_GB2312" w:cs="Times New Roman"/>
          <w:color w:val="auto"/>
          <w:sz w:val="32"/>
          <w:szCs w:val="32"/>
          <w:highlight w:val="none"/>
          <w:u w:val="none"/>
          <w:lang w:eastAsia="zh-CN"/>
        </w:rPr>
        <w:t>“</w:t>
      </w:r>
      <w:r>
        <w:rPr>
          <w:rFonts w:hint="default" w:ascii="仿宋_GB2312" w:hAnsi="Courier New" w:eastAsia="仿宋_GB2312" w:cs="Times New Roman"/>
          <w:color w:val="auto"/>
          <w:sz w:val="32"/>
          <w:szCs w:val="32"/>
          <w:highlight w:val="none"/>
          <w:u w:val="none"/>
        </w:rPr>
        <w:t>乡村好时节</w:t>
      </w:r>
      <w:r>
        <w:rPr>
          <w:rFonts w:hint="eastAsia" w:ascii="仿宋_GB2312" w:hAnsi="Courier New" w:eastAsia="仿宋_GB2312" w:cs="Times New Roman"/>
          <w:color w:val="auto"/>
          <w:sz w:val="32"/>
          <w:szCs w:val="32"/>
          <w:highlight w:val="none"/>
          <w:u w:val="none"/>
          <w:lang w:eastAsia="zh-CN"/>
        </w:rPr>
        <w:t>”</w:t>
      </w:r>
      <w:r>
        <w:rPr>
          <w:rFonts w:hint="eastAsia" w:ascii="仿宋_GB2312" w:hAnsi="Courier New" w:eastAsia="仿宋_GB2312" w:cs="Times New Roman"/>
          <w:color w:val="auto"/>
          <w:kern w:val="2"/>
          <w:sz w:val="32"/>
          <w:szCs w:val="32"/>
          <w:highlight w:val="none"/>
          <w:u w:val="none"/>
          <w:lang w:val="en-US" w:eastAsia="zh-CN" w:bidi="ar-SA"/>
        </w:rPr>
        <w:t>“龙山文化旅游季”等</w:t>
      </w:r>
      <w:r>
        <w:rPr>
          <w:rFonts w:hint="default" w:ascii="仿宋_GB2312" w:hAnsi="Courier New" w:eastAsia="仿宋_GB2312" w:cs="Times New Roman"/>
          <w:color w:val="auto"/>
          <w:sz w:val="32"/>
          <w:szCs w:val="32"/>
          <w:highlight w:val="none"/>
          <w:u w:val="none"/>
        </w:rPr>
        <w:t>节庆活动品牌，</w:t>
      </w:r>
      <w:r>
        <w:rPr>
          <w:rFonts w:hint="eastAsia" w:ascii="仿宋_GB2312" w:hAnsi="仿宋_GB2312" w:eastAsia="仿宋_GB2312" w:cs="仿宋_GB2312"/>
          <w:color w:val="auto"/>
          <w:sz w:val="32"/>
          <w:szCs w:val="32"/>
          <w:highlight w:val="none"/>
          <w:u w:val="none"/>
          <w:lang w:eastAsia="zh-CN"/>
        </w:rPr>
        <w:t>融入“村</w:t>
      </w:r>
      <w:r>
        <w:rPr>
          <w:rFonts w:hint="eastAsia" w:ascii="仿宋_GB2312" w:hAnsi="仿宋_GB2312" w:eastAsia="仿宋_GB2312" w:cs="仿宋_GB2312"/>
          <w:color w:val="auto"/>
          <w:sz w:val="32"/>
          <w:szCs w:val="32"/>
          <w:highlight w:val="none"/>
          <w:u w:val="none"/>
          <w:lang w:val="en-US" w:eastAsia="zh-CN"/>
        </w:rPr>
        <w:t>BA</w:t>
      </w:r>
      <w:r>
        <w:rPr>
          <w:rFonts w:hint="eastAsia" w:ascii="仿宋_GB2312" w:hAnsi="仿宋_GB2312" w:eastAsia="仿宋_GB2312" w:cs="仿宋_GB2312"/>
          <w:color w:val="auto"/>
          <w:sz w:val="32"/>
          <w:szCs w:val="32"/>
          <w:highlight w:val="none"/>
          <w:u w:val="none"/>
          <w:lang w:eastAsia="zh-CN"/>
        </w:rPr>
        <w:t>”、冰雪运动等体育赛事活动，</w:t>
      </w:r>
      <w:r>
        <w:rPr>
          <w:rFonts w:hint="default" w:ascii="仿宋_GB2312" w:hAnsi="Courier New" w:eastAsia="仿宋_GB2312" w:cs="Times New Roman"/>
          <w:color w:val="auto"/>
          <w:sz w:val="32"/>
          <w:szCs w:val="32"/>
          <w:highlight w:val="none"/>
          <w:u w:val="none"/>
        </w:rPr>
        <w:t>进一步推动农文旅融合发展。</w:t>
      </w:r>
      <w:r>
        <w:rPr>
          <w:rFonts w:hint="eastAsia" w:ascii="仿宋_GB2312" w:hAnsi="Courier New" w:eastAsia="仿宋_GB2312" w:cs="Times New Roman"/>
          <w:color w:val="auto"/>
          <w:kern w:val="2"/>
          <w:sz w:val="32"/>
          <w:szCs w:val="32"/>
          <w:highlight w:val="none"/>
          <w:u w:val="none"/>
          <w:lang w:val="en-US" w:eastAsia="zh-CN" w:bidi="ar-SA"/>
        </w:rPr>
        <w:t>实施“非遗进景区”“演艺进景区”工程，推动龙山黑陶、章丘铁锅等在国家A级旅游景区内进行展示体验</w:t>
      </w:r>
      <w:r>
        <w:rPr>
          <w:rFonts w:hint="eastAsia" w:ascii="仿宋_GB2312" w:hAnsi="Courier New" w:eastAsia="仿宋_GB2312" w:cs="Times New Roman"/>
          <w:color w:val="auto"/>
          <w:sz w:val="32"/>
          <w:szCs w:val="32"/>
          <w:highlight w:val="none"/>
          <w:u w:val="none"/>
          <w:lang w:eastAsia="zh-CN"/>
        </w:rPr>
        <w:t>，</w:t>
      </w:r>
      <w:r>
        <w:rPr>
          <w:rFonts w:hint="eastAsia" w:ascii="仿宋_GB2312" w:hAnsi="Courier New" w:eastAsia="仿宋_GB2312" w:cs="Times New Roman"/>
          <w:color w:val="auto"/>
          <w:sz w:val="32"/>
          <w:szCs w:val="32"/>
          <w:highlight w:val="none"/>
          <w:u w:val="none"/>
        </w:rPr>
        <w:t>鼓励开发</w:t>
      </w:r>
      <w:r>
        <w:rPr>
          <w:rFonts w:hint="eastAsia" w:ascii="仿宋_GB2312" w:hAnsi="Courier New" w:eastAsia="仿宋_GB2312" w:cs="Times New Roman"/>
          <w:color w:val="auto"/>
          <w:sz w:val="32"/>
          <w:szCs w:val="32"/>
          <w:highlight w:val="none"/>
          <w:u w:val="none"/>
          <w:lang w:eastAsia="zh-CN"/>
        </w:rPr>
        <w:t>融入章丘文化元素的</w:t>
      </w:r>
      <w:r>
        <w:rPr>
          <w:rFonts w:hint="eastAsia" w:ascii="仿宋_GB2312" w:hAnsi="Courier New" w:eastAsia="仿宋_GB2312" w:cs="Times New Roman"/>
          <w:color w:val="auto"/>
          <w:sz w:val="32"/>
          <w:szCs w:val="32"/>
          <w:highlight w:val="none"/>
          <w:u w:val="none"/>
        </w:rPr>
        <w:t>文创产品和旅游商品，提升旅游产业附加值和文化吸引力</w:t>
      </w:r>
      <w:r>
        <w:rPr>
          <w:rFonts w:hint="eastAsia" w:ascii="仿宋_GB2312" w:hAnsi="Courier New" w:eastAsia="仿宋_GB2312" w:cs="Times New Roman"/>
          <w:color w:val="auto"/>
          <w:sz w:val="32"/>
          <w:szCs w:val="32"/>
          <w:highlight w:val="none"/>
          <w:u w:val="none"/>
          <w:lang w:eastAsia="zh-CN"/>
        </w:rPr>
        <w:t>，</w:t>
      </w:r>
      <w:r>
        <w:rPr>
          <w:rFonts w:hint="eastAsia" w:ascii="仿宋_GB2312" w:hAnsi="Courier New" w:eastAsia="仿宋_GB2312" w:cs="Times New Roman"/>
          <w:b w:val="0"/>
          <w:bCs w:val="0"/>
          <w:color w:val="auto"/>
          <w:sz w:val="32"/>
          <w:szCs w:val="32"/>
          <w:highlight w:val="none"/>
          <w:u w:val="none" w:color="auto"/>
          <w:lang w:eastAsia="zh-CN"/>
        </w:rPr>
        <w:t>打造影视、演艺等文化产业集聚区</w:t>
      </w:r>
      <w:r>
        <w:rPr>
          <w:rFonts w:hint="eastAsia" w:ascii="仿宋_GB2312" w:hAnsi="Courier New" w:eastAsia="仿宋_GB2312" w:cs="Times New Roman"/>
          <w:color w:val="auto"/>
          <w:kern w:val="2"/>
          <w:sz w:val="32"/>
          <w:szCs w:val="32"/>
          <w:highlight w:val="none"/>
          <w:u w:val="none"/>
          <w:lang w:val="en-US" w:eastAsia="zh-CN" w:bidi="ar-SA"/>
        </w:rPr>
        <w:t>。繁荣夜间文旅经济，依托明水古城、济南野生动物世界、七星台等景区，开发特色夜间旅游产品和消费场景。到2030年，</w:t>
      </w:r>
      <w:r>
        <w:rPr>
          <w:rFonts w:hint="eastAsia" w:ascii="仿宋_GB2312" w:hAnsi="仿宋_GB2312" w:eastAsia="仿宋_GB2312" w:cs="仿宋_GB2312"/>
          <w:color w:val="auto"/>
          <w:spacing w:val="0"/>
          <w:w w:val="100"/>
          <w:kern w:val="21"/>
          <w:sz w:val="32"/>
          <w:szCs w:val="32"/>
          <w:highlight w:val="none"/>
          <w:u w:val="none"/>
          <w:lang w:val="en-US" w:eastAsia="zh-CN" w:bidi="ar-SA"/>
        </w:rPr>
        <w:t>文化旅游营业收入达到5亿元左右。</w:t>
      </w:r>
    </w:p>
    <w:p>
      <w:pPr>
        <w:keepNext w:val="0"/>
        <w:keepLines w:val="0"/>
        <w:pageBreakBefore w:val="0"/>
        <w:widowControl w:val="0"/>
        <w:kinsoku/>
        <w:wordWrap/>
        <w:topLinePunct w:val="0"/>
        <w:autoSpaceDE/>
        <w:autoSpaceDN/>
        <w:bidi w:val="0"/>
        <w:spacing w:line="56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二</w:t>
      </w:r>
      <w:bookmarkStart w:id="112" w:name="OLE_LINK9"/>
      <w:r>
        <w:rPr>
          <w:rFonts w:hint="eastAsia" w:ascii="黑体" w:hAnsi="黑体" w:eastAsia="黑体" w:cs="黑体"/>
          <w:b w:val="0"/>
          <w:bCs w:val="0"/>
          <w:color w:val="auto"/>
          <w:sz w:val="32"/>
          <w:szCs w:val="32"/>
          <w:highlight w:val="none"/>
          <w:lang w:val="en-US" w:eastAsia="zh-CN"/>
        </w:rPr>
        <w:t>、加快“文化＋”产业融合发展</w:t>
      </w:r>
    </w:p>
    <w:p>
      <w:pPr>
        <w:keepNext w:val="0"/>
        <w:keepLines w:val="0"/>
        <w:pageBreakBefore w:val="0"/>
        <w:widowControl w:val="0"/>
        <w:kinsoku/>
        <w:wordWrap/>
        <w:topLinePunct w:val="0"/>
        <w:autoSpaceDE/>
        <w:autoSpaceDN/>
        <w:bidi w:val="0"/>
        <w:spacing w:line="560" w:lineRule="exact"/>
        <w:ind w:firstLine="640" w:firstLineChars="200"/>
        <w:textAlignment w:val="auto"/>
        <w:rPr>
          <w:rFonts w:hint="eastAsia" w:ascii="仿宋_GB2312" w:hAnsi="Courier New" w:eastAsia="仿宋_GB2312" w:cs="Times New Roman"/>
          <w:color w:val="auto"/>
          <w:kern w:val="2"/>
          <w:sz w:val="32"/>
          <w:szCs w:val="32"/>
          <w:highlight w:val="none"/>
          <w:u w:val="none"/>
          <w:lang w:val="en-US" w:eastAsia="zh-CN" w:bidi="ar-SA"/>
        </w:rPr>
      </w:pPr>
      <w:r>
        <w:rPr>
          <w:rFonts w:hint="default" w:ascii="仿宋_GB2312" w:hAnsi="Courier New" w:eastAsia="仿宋_GB2312" w:cs="Times New Roman"/>
          <w:color w:val="auto"/>
          <w:kern w:val="2"/>
          <w:sz w:val="32"/>
          <w:szCs w:val="32"/>
          <w:highlight w:val="none"/>
          <w:u w:val="none"/>
          <w:lang w:val="en-US" w:eastAsia="zh-CN" w:bidi="ar-SA"/>
        </w:rPr>
        <w:t>坚持以文塑旅、以旅彰文，</w:t>
      </w:r>
      <w:r>
        <w:rPr>
          <w:rFonts w:hint="default" w:ascii="仿宋_GB2312" w:hAnsi="Courier New" w:eastAsia="仿宋_GB2312" w:cs="Times New Roman"/>
          <w:color w:val="auto"/>
          <w:sz w:val="32"/>
          <w:szCs w:val="32"/>
          <w:highlight w:val="none"/>
          <w:u w:val="none"/>
        </w:rPr>
        <w:t>引导景区、乡村旅游点、工业旅游点、研学基地、旅游民宿等深挖文化内涵，</w:t>
      </w:r>
      <w:r>
        <w:rPr>
          <w:rFonts w:ascii="仿宋_GB2312" w:hAnsi="Courier New" w:eastAsia="仿宋_GB2312" w:cs="Times New Roman"/>
          <w:b w:val="0"/>
          <w:bCs w:val="0"/>
          <w:i w:val="0"/>
          <w:iCs w:val="0"/>
          <w:caps w:val="0"/>
          <w:color w:val="auto"/>
          <w:spacing w:val="0"/>
          <w:sz w:val="32"/>
          <w:szCs w:val="32"/>
          <w:highlight w:val="none"/>
          <w:u w:val="none"/>
          <w:shd w:val="clear"/>
        </w:rPr>
        <w:t>形成多元业态融合发展的全域旅游新格局。</w:t>
      </w:r>
      <w:r>
        <w:rPr>
          <w:rFonts w:hint="eastAsia" w:ascii="仿宋_GB2312" w:hAnsi="Courier New" w:eastAsia="仿宋_GB2312" w:cs="Times New Roman"/>
          <w:color w:val="auto"/>
          <w:kern w:val="2"/>
          <w:sz w:val="32"/>
          <w:szCs w:val="32"/>
          <w:highlight w:val="none"/>
          <w:u w:val="none"/>
          <w:lang w:val="en-US" w:eastAsia="zh-CN" w:bidi="ar-SA"/>
        </w:rPr>
        <w:t>高标准</w:t>
      </w:r>
      <w:r>
        <w:rPr>
          <w:rFonts w:hint="default" w:ascii="仿宋_GB2312" w:hAnsi="Courier New" w:eastAsia="仿宋_GB2312" w:cs="Times New Roman"/>
          <w:color w:val="auto"/>
          <w:kern w:val="2"/>
          <w:sz w:val="32"/>
          <w:szCs w:val="32"/>
          <w:highlight w:val="none"/>
          <w:u w:val="none"/>
          <w:lang w:val="en-US" w:eastAsia="zh-CN" w:bidi="ar-SA"/>
        </w:rPr>
        <w:t>推进</w:t>
      </w:r>
      <w:r>
        <w:rPr>
          <w:rFonts w:hint="eastAsia" w:ascii="仿宋_GB2312" w:hAnsi="Courier New" w:eastAsia="仿宋_GB2312" w:cs="Times New Roman"/>
          <w:color w:val="auto"/>
          <w:kern w:val="2"/>
          <w:sz w:val="32"/>
          <w:szCs w:val="32"/>
          <w:highlight w:val="none"/>
          <w:u w:val="none"/>
          <w:lang w:val="en-US" w:eastAsia="zh-CN" w:bidi="ar-SA"/>
        </w:rPr>
        <w:t>“</w:t>
      </w:r>
      <w:r>
        <w:rPr>
          <w:rFonts w:hint="default" w:ascii="仿宋_GB2312" w:hAnsi="Courier New" w:eastAsia="仿宋_GB2312" w:cs="Times New Roman"/>
          <w:color w:val="auto"/>
          <w:kern w:val="2"/>
          <w:sz w:val="32"/>
          <w:szCs w:val="32"/>
          <w:highlight w:val="none"/>
          <w:u w:val="none"/>
          <w:lang w:val="en-US" w:eastAsia="zh-CN" w:bidi="ar-SA"/>
        </w:rPr>
        <w:t>山水五镇</w:t>
      </w:r>
      <w:r>
        <w:rPr>
          <w:rFonts w:hint="eastAsia" w:ascii="仿宋_GB2312" w:hAnsi="Courier New" w:eastAsia="仿宋_GB2312" w:cs="Times New Roman"/>
          <w:color w:val="auto"/>
          <w:kern w:val="2"/>
          <w:sz w:val="32"/>
          <w:szCs w:val="32"/>
          <w:highlight w:val="none"/>
          <w:u w:val="none"/>
          <w:lang w:val="en-US" w:eastAsia="zh-CN" w:bidi="ar-SA"/>
        </w:rPr>
        <w:t>”</w:t>
      </w:r>
      <w:r>
        <w:rPr>
          <w:rFonts w:hint="default" w:ascii="仿宋_GB2312" w:hAnsi="Courier New" w:eastAsia="仿宋_GB2312" w:cs="Times New Roman"/>
          <w:color w:val="auto"/>
          <w:kern w:val="2"/>
          <w:sz w:val="32"/>
          <w:szCs w:val="32"/>
          <w:highlight w:val="none"/>
          <w:u w:val="none"/>
          <w:lang w:val="en-US" w:eastAsia="zh-CN" w:bidi="ar-SA"/>
        </w:rPr>
        <w:t>片区一体化开发，突出生态观光、休闲度假、文化体验功能</w:t>
      </w:r>
      <w:r>
        <w:rPr>
          <w:rFonts w:hint="eastAsia" w:ascii="仿宋_GB2312" w:hAnsi="Courier New" w:eastAsia="仿宋_GB2312" w:cs="Times New Roman"/>
          <w:color w:val="auto"/>
          <w:kern w:val="2"/>
          <w:sz w:val="32"/>
          <w:szCs w:val="32"/>
          <w:highlight w:val="none"/>
          <w:u w:val="none"/>
          <w:lang w:val="en-US" w:eastAsia="zh-CN" w:bidi="ar-SA"/>
        </w:rPr>
        <w:t>。做活</w:t>
      </w:r>
      <w:r>
        <w:rPr>
          <w:rFonts w:hint="default" w:ascii="仿宋_GB2312" w:hAnsi="Courier New" w:eastAsia="仿宋_GB2312" w:cs="Times New Roman"/>
          <w:color w:val="auto"/>
          <w:kern w:val="2"/>
          <w:sz w:val="32"/>
          <w:szCs w:val="32"/>
          <w:highlight w:val="none"/>
          <w:u w:val="none"/>
          <w:lang w:val="en-US" w:eastAsia="zh-CN" w:bidi="ar-SA"/>
        </w:rPr>
        <w:t>白云湖</w:t>
      </w:r>
      <w:r>
        <w:rPr>
          <w:rFonts w:hint="eastAsia" w:ascii="仿宋_GB2312" w:hAnsi="Courier New" w:eastAsia="仿宋_GB2312" w:cs="Times New Roman"/>
          <w:color w:val="auto"/>
          <w:kern w:val="2"/>
          <w:sz w:val="32"/>
          <w:szCs w:val="32"/>
          <w:highlight w:val="none"/>
          <w:u w:val="none"/>
          <w:lang w:val="en-US" w:eastAsia="zh-CN" w:bidi="ar-SA"/>
        </w:rPr>
        <w:t>湿地</w:t>
      </w:r>
      <w:r>
        <w:rPr>
          <w:rFonts w:hint="default" w:ascii="仿宋_GB2312" w:hAnsi="Courier New" w:eastAsia="仿宋_GB2312" w:cs="Times New Roman"/>
          <w:color w:val="auto"/>
          <w:kern w:val="2"/>
          <w:sz w:val="32"/>
          <w:szCs w:val="32"/>
          <w:highlight w:val="none"/>
          <w:u w:val="none"/>
          <w:lang w:val="en-US" w:eastAsia="zh-CN" w:bidi="ar-SA"/>
        </w:rPr>
        <w:t>水文章，发展亲水娱乐、湿地观光、康养休闲</w:t>
      </w:r>
      <w:r>
        <w:rPr>
          <w:rFonts w:hint="eastAsia" w:ascii="仿宋_GB2312" w:hAnsi="Courier New" w:eastAsia="仿宋_GB2312" w:cs="Times New Roman"/>
          <w:color w:val="auto"/>
          <w:kern w:val="2"/>
          <w:sz w:val="32"/>
          <w:szCs w:val="32"/>
          <w:highlight w:val="none"/>
          <w:u w:val="none"/>
          <w:lang w:val="en-US" w:eastAsia="zh-CN" w:bidi="ar-SA"/>
        </w:rPr>
        <w:t>。</w:t>
      </w:r>
      <w:r>
        <w:rPr>
          <w:rFonts w:hint="default" w:ascii="仿宋_GB2312" w:hAnsi="Courier New" w:eastAsia="仿宋_GB2312" w:cs="Times New Roman"/>
          <w:color w:val="auto"/>
          <w:kern w:val="2"/>
          <w:sz w:val="32"/>
          <w:szCs w:val="32"/>
          <w:highlight w:val="none"/>
          <w:u w:val="none"/>
          <w:lang w:val="en-US" w:eastAsia="zh-CN" w:bidi="ar-SA"/>
        </w:rPr>
        <w:t>依托黄河章丘段独特生态风貌和人文资源，打造黄河生态</w:t>
      </w:r>
      <w:r>
        <w:rPr>
          <w:rFonts w:hint="eastAsia" w:ascii="仿宋_GB2312" w:hAnsi="Courier New" w:eastAsia="仿宋_GB2312" w:cs="Times New Roman"/>
          <w:color w:val="auto"/>
          <w:kern w:val="2"/>
          <w:sz w:val="32"/>
          <w:szCs w:val="32"/>
          <w:highlight w:val="none"/>
          <w:u w:val="none"/>
          <w:lang w:val="en-US" w:eastAsia="zh-CN" w:bidi="ar-SA"/>
        </w:rPr>
        <w:t>保护走</w:t>
      </w:r>
      <w:r>
        <w:rPr>
          <w:rFonts w:hint="default" w:ascii="仿宋_GB2312" w:hAnsi="Courier New" w:eastAsia="仿宋_GB2312" w:cs="Times New Roman"/>
          <w:color w:val="auto"/>
          <w:kern w:val="2"/>
          <w:sz w:val="32"/>
          <w:szCs w:val="32"/>
          <w:highlight w:val="none"/>
          <w:u w:val="none"/>
          <w:lang w:val="en-US" w:eastAsia="zh-CN" w:bidi="ar-SA"/>
        </w:rPr>
        <w:t>廊，发展生态旅游、研学旅行。</w:t>
      </w:r>
      <w:r>
        <w:rPr>
          <w:rFonts w:hint="eastAsia" w:ascii="仿宋_GB2312" w:hAnsi="仿宋_GB2312" w:eastAsia="仿宋_GB2312" w:cs="仿宋_GB2312"/>
          <w:color w:val="auto"/>
          <w:kern w:val="2"/>
          <w:sz w:val="32"/>
          <w:szCs w:val="32"/>
          <w:highlight w:val="none"/>
          <w:u w:val="none"/>
          <w:lang w:val="en-US" w:eastAsia="zh-CN" w:bidi="ar-SA"/>
        </w:rPr>
        <w:t>发挥“长城寻迹廊道”旅游公路品牌影响力，结合垛庄丰富的摩旅元素，完善沿线观景平台、服务驿站、旅游导览、安全保障等配套设施，打造旅游新IP</w:t>
      </w:r>
      <w:r>
        <w:rPr>
          <w:rFonts w:hint="default" w:ascii="仿宋_GB2312" w:hAnsi="Courier New" w:eastAsia="仿宋_GB2312" w:cs="Times New Roman"/>
          <w:color w:val="auto"/>
          <w:kern w:val="2"/>
          <w:sz w:val="32"/>
          <w:szCs w:val="32"/>
          <w:highlight w:val="none"/>
          <w:u w:val="none"/>
          <w:lang w:val="en-US" w:eastAsia="zh-CN" w:bidi="ar-SA"/>
        </w:rPr>
        <w:t>。</w:t>
      </w:r>
      <w:r>
        <w:rPr>
          <w:rFonts w:hint="eastAsia" w:ascii="仿宋_GB2312" w:hAnsi="Courier New" w:eastAsia="仿宋_GB2312" w:cs="Times New Roman"/>
          <w:color w:val="auto"/>
          <w:kern w:val="2"/>
          <w:sz w:val="32"/>
          <w:szCs w:val="32"/>
          <w:highlight w:val="none"/>
          <w:u w:val="none"/>
          <w:lang w:val="en-US" w:eastAsia="zh-CN" w:bidi="ar-SA"/>
        </w:rPr>
        <w:t>依托乡村</w:t>
      </w:r>
      <w:r>
        <w:rPr>
          <w:rFonts w:hint="default" w:ascii="仿宋_GB2312" w:hAnsi="Courier New" w:eastAsia="仿宋_GB2312" w:cs="Times New Roman"/>
          <w:color w:val="auto"/>
          <w:kern w:val="2"/>
          <w:sz w:val="32"/>
          <w:szCs w:val="32"/>
          <w:highlight w:val="none"/>
          <w:u w:val="none"/>
          <w:lang w:val="en-US" w:eastAsia="zh-CN" w:bidi="ar-SA"/>
        </w:rPr>
        <w:t>优质生态本底，</w:t>
      </w:r>
      <w:r>
        <w:rPr>
          <w:rFonts w:hint="eastAsia" w:ascii="仿宋_GB2312" w:hAnsi="Courier New" w:eastAsia="仿宋_GB2312" w:cs="Times New Roman"/>
          <w:color w:val="auto"/>
          <w:sz w:val="32"/>
          <w:szCs w:val="32"/>
          <w:highlight w:val="none"/>
          <w:u w:val="none"/>
          <w:lang w:val="en-US" w:eastAsia="zh-CN"/>
        </w:rPr>
        <w:t>丰富提升“帐篷露营、房车营地、木屋民宿、户外活动、自然教育”等业态体系</w:t>
      </w:r>
      <w:r>
        <w:rPr>
          <w:rFonts w:hint="default" w:ascii="仿宋_GB2312" w:hAnsi="Courier New" w:eastAsia="仿宋_GB2312" w:cs="Times New Roman"/>
          <w:color w:val="auto"/>
          <w:kern w:val="2"/>
          <w:sz w:val="32"/>
          <w:szCs w:val="32"/>
          <w:highlight w:val="none"/>
          <w:u w:val="none"/>
          <w:lang w:val="en-US" w:eastAsia="zh-CN" w:bidi="ar-SA"/>
        </w:rPr>
        <w:t>，打造区域性知名露营目的地。</w:t>
      </w:r>
      <w:r>
        <w:rPr>
          <w:rFonts w:hint="eastAsia" w:ascii="仿宋_GB2312" w:hAnsi="仿宋_GB2312" w:eastAsia="仿宋_GB2312" w:cs="仿宋_GB2312"/>
          <w:color w:val="auto"/>
          <w:spacing w:val="0"/>
          <w:w w:val="100"/>
          <w:kern w:val="21"/>
          <w:sz w:val="32"/>
          <w:szCs w:val="32"/>
          <w:highlight w:val="none"/>
          <w:u w:val="none"/>
          <w:lang w:val="en-US" w:eastAsia="zh-CN" w:bidi="ar-SA"/>
        </w:rPr>
        <w:t>以文博中心等载体为依托，加大研学游、亲子游等文旅产品开发，开拓客源市场，打造具有章丘特色的系列研学旅行产品。</w:t>
      </w:r>
      <w:r>
        <w:rPr>
          <w:rFonts w:hint="default" w:ascii="仿宋_GB2312" w:hAnsi="Courier New" w:eastAsia="仿宋_GB2312" w:cs="Times New Roman"/>
          <w:color w:val="auto"/>
          <w:kern w:val="2"/>
          <w:sz w:val="32"/>
          <w:szCs w:val="32"/>
          <w:highlight w:val="none"/>
          <w:u w:val="none"/>
          <w:lang w:val="en-US" w:eastAsia="zh-CN" w:bidi="ar-SA"/>
        </w:rPr>
        <w:t>强化文化创意设计的赋能作用，推动与高端装备制造、家居纺织、工艺品、特色农产品等制造业和消费品工业深度融合。</w:t>
      </w:r>
      <w:r>
        <w:rPr>
          <w:rFonts w:hint="default" w:ascii="仿宋_GB2312" w:hAnsi="Courier New" w:eastAsia="仿宋_GB2312" w:cs="Times New Roman"/>
          <w:color w:val="auto"/>
          <w:sz w:val="32"/>
          <w:szCs w:val="32"/>
          <w:highlight w:val="none"/>
          <w:u w:val="none"/>
        </w:rPr>
        <w:t>积极赴外地开展专题推介，加强与周边区域的交流合作</w:t>
      </w:r>
      <w:r>
        <w:rPr>
          <w:rFonts w:hint="eastAsia" w:ascii="仿宋_GB2312" w:hAnsi="Courier New" w:eastAsia="仿宋_GB2312" w:cs="Times New Roman"/>
          <w:color w:val="auto"/>
          <w:sz w:val="32"/>
          <w:szCs w:val="32"/>
          <w:highlight w:val="none"/>
          <w:u w:val="none"/>
          <w:lang w:eastAsia="zh-CN"/>
        </w:rPr>
        <w:t>，</w:t>
      </w:r>
      <w:r>
        <w:rPr>
          <w:rFonts w:hint="eastAsia" w:ascii="仿宋_GB2312" w:hAnsi="Courier New" w:eastAsia="仿宋_GB2312" w:cs="Times New Roman"/>
          <w:color w:val="auto"/>
          <w:sz w:val="32"/>
          <w:szCs w:val="32"/>
          <w:highlight w:val="none"/>
          <w:u w:val="none"/>
          <w:lang w:val="en-US" w:eastAsia="zh-CN"/>
        </w:rPr>
        <w:t>持续</w:t>
      </w:r>
      <w:r>
        <w:rPr>
          <w:rFonts w:hint="default" w:ascii="仿宋_GB2312" w:hAnsi="Courier New" w:eastAsia="仿宋_GB2312" w:cs="Times New Roman"/>
          <w:color w:val="auto"/>
          <w:sz w:val="32"/>
          <w:szCs w:val="32"/>
          <w:highlight w:val="none"/>
          <w:u w:val="none"/>
        </w:rPr>
        <w:t>做优做强</w:t>
      </w:r>
      <w:r>
        <w:rPr>
          <w:rFonts w:hint="eastAsia" w:ascii="仿宋_GB2312" w:hAnsi="Courier New" w:eastAsia="仿宋_GB2312" w:cs="Times New Roman"/>
          <w:color w:val="auto"/>
          <w:sz w:val="32"/>
          <w:szCs w:val="32"/>
          <w:highlight w:val="none"/>
          <w:u w:val="none"/>
          <w:lang w:eastAsia="zh-CN"/>
        </w:rPr>
        <w:t>“</w:t>
      </w:r>
      <w:r>
        <w:rPr>
          <w:rFonts w:hint="default" w:ascii="仿宋_GB2312" w:hAnsi="Courier New" w:eastAsia="仿宋_GB2312" w:cs="Times New Roman"/>
          <w:color w:val="auto"/>
          <w:sz w:val="32"/>
          <w:szCs w:val="32"/>
          <w:highlight w:val="none"/>
          <w:u w:val="none"/>
        </w:rPr>
        <w:t>这里是章丘</w:t>
      </w:r>
      <w:r>
        <w:rPr>
          <w:rFonts w:hint="eastAsia" w:ascii="仿宋_GB2312" w:hAnsi="Courier New" w:eastAsia="仿宋_GB2312" w:cs="Times New Roman"/>
          <w:color w:val="auto"/>
          <w:sz w:val="32"/>
          <w:szCs w:val="32"/>
          <w:highlight w:val="none"/>
          <w:u w:val="none"/>
          <w:lang w:eastAsia="zh-CN"/>
        </w:rPr>
        <w:t>”</w:t>
      </w:r>
      <w:r>
        <w:rPr>
          <w:rFonts w:hint="default" w:ascii="仿宋_GB2312" w:hAnsi="Courier New" w:eastAsia="仿宋_GB2312" w:cs="Times New Roman"/>
          <w:color w:val="auto"/>
          <w:sz w:val="32"/>
          <w:szCs w:val="32"/>
          <w:highlight w:val="none"/>
          <w:u w:val="none"/>
        </w:rPr>
        <w:t>文旅品牌</w:t>
      </w:r>
      <w:r>
        <w:rPr>
          <w:rFonts w:hint="eastAsia" w:ascii="仿宋_GB2312" w:hAnsi="Courier New" w:eastAsia="仿宋_GB2312" w:cs="Times New Roman"/>
          <w:color w:val="auto"/>
          <w:sz w:val="32"/>
          <w:szCs w:val="32"/>
          <w:highlight w:val="none"/>
          <w:u w:val="none"/>
          <w:lang w:eastAsia="zh-CN"/>
        </w:rPr>
        <w:t>。</w:t>
      </w:r>
    </w:p>
    <w:bookmarkEnd w:id="112"/>
    <w:p>
      <w:pPr>
        <w:keepNext w:val="0"/>
        <w:keepLines w:val="0"/>
        <w:pageBreakBefore w:val="0"/>
        <w:widowControl w:val="0"/>
        <w:kinsoku/>
        <w:wordWrap/>
        <w:topLinePunct w:val="0"/>
        <w:autoSpaceDE/>
        <w:autoSpaceDN/>
        <w:bidi w:val="0"/>
        <w:spacing w:line="560" w:lineRule="exact"/>
        <w:ind w:firstLine="640" w:firstLineChars="200"/>
        <w:textAlignment w:val="auto"/>
        <w:outlineLvl w:val="2"/>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三、健全现代文化市场体系</w:t>
      </w:r>
    </w:p>
    <w:p>
      <w:pPr>
        <w:keepNext w:val="0"/>
        <w:keepLines w:val="0"/>
        <w:pageBreakBefore w:val="0"/>
        <w:widowControl w:val="0"/>
        <w:kinsoku/>
        <w:wordWrap/>
        <w:topLinePunct w:val="0"/>
        <w:autoSpaceDE/>
        <w:autoSpaceDN/>
        <w:bidi w:val="0"/>
        <w:spacing w:line="560" w:lineRule="exact"/>
        <w:ind w:firstLine="640" w:firstLineChars="200"/>
        <w:textAlignment w:val="auto"/>
        <w:rPr>
          <w:rFonts w:hint="default" w:ascii="仿宋_GB2312" w:hAnsi="Courier New" w:eastAsia="仿宋_GB2312" w:cs="Times New Roman"/>
          <w:color w:val="auto"/>
          <w:kern w:val="2"/>
          <w:sz w:val="32"/>
          <w:szCs w:val="32"/>
          <w:highlight w:val="none"/>
          <w:u w:val="none"/>
          <w:lang w:val="en-US" w:eastAsia="zh-CN" w:bidi="ar-SA"/>
        </w:rPr>
      </w:pPr>
      <w:r>
        <w:rPr>
          <w:rFonts w:hint="eastAsia" w:ascii="Calibri" w:hAnsi="Calibri" w:eastAsia="仿宋_GB2312" w:cs="Times New Roman"/>
          <w:color w:val="auto"/>
          <w:sz w:val="32"/>
          <w:szCs w:val="32"/>
          <w:highlight w:val="none"/>
          <w:lang w:val="en-US" w:eastAsia="zh-CN"/>
        </w:rPr>
        <w:t>加强文化和旅游市场综合监管，健全跨部门、跨领域综合执法机制，运用大数据、物联网等技术提升智慧监管水平，持续整治规范市场秩序。着力激发各类文化市场主体活力，实施文化企业培育工程，建立梯度培育体系，重点引进一批在内容创作、技术研发、业态创新、品牌运营等方面具有核心竞争力和带动效应的龙头文化企业及重大产业项目。</w:t>
      </w:r>
      <w:r>
        <w:rPr>
          <w:rFonts w:hint="default" w:ascii="仿宋_GB2312" w:hAnsi="Courier New" w:eastAsia="仿宋_GB2312" w:cs="Times New Roman"/>
          <w:color w:val="auto"/>
          <w:kern w:val="2"/>
          <w:sz w:val="32"/>
          <w:szCs w:val="32"/>
          <w:highlight w:val="none"/>
          <w:u w:val="none"/>
          <w:lang w:val="en-US" w:eastAsia="zh-CN" w:bidi="ar-SA"/>
        </w:rPr>
        <w:t>加强</w:t>
      </w:r>
      <w:r>
        <w:rPr>
          <w:rFonts w:hint="eastAsia" w:ascii="仿宋_GB2312" w:hAnsi="Courier New" w:eastAsia="仿宋_GB2312" w:cs="Times New Roman"/>
          <w:color w:val="auto"/>
          <w:kern w:val="2"/>
          <w:sz w:val="32"/>
          <w:szCs w:val="32"/>
          <w:highlight w:val="none"/>
          <w:u w:val="none"/>
          <w:lang w:val="en-US" w:eastAsia="zh-CN" w:bidi="ar-SA"/>
        </w:rPr>
        <w:t>“</w:t>
      </w:r>
      <w:r>
        <w:rPr>
          <w:rFonts w:hint="default" w:ascii="仿宋_GB2312" w:hAnsi="Courier New" w:eastAsia="仿宋_GB2312" w:cs="Times New Roman"/>
          <w:color w:val="auto"/>
          <w:kern w:val="2"/>
          <w:sz w:val="32"/>
          <w:szCs w:val="32"/>
          <w:highlight w:val="none"/>
          <w:u w:val="none"/>
          <w:lang w:val="en-US" w:eastAsia="zh-CN" w:bidi="ar-SA"/>
        </w:rPr>
        <w:t>中国龙山 泉韵章丘</w:t>
      </w:r>
      <w:r>
        <w:rPr>
          <w:rFonts w:hint="eastAsia" w:ascii="仿宋_GB2312" w:hAnsi="Courier New" w:eastAsia="仿宋_GB2312" w:cs="Times New Roman"/>
          <w:color w:val="auto"/>
          <w:kern w:val="2"/>
          <w:sz w:val="32"/>
          <w:szCs w:val="32"/>
          <w:highlight w:val="none"/>
          <w:u w:val="none"/>
          <w:lang w:val="en-US" w:eastAsia="zh-CN" w:bidi="ar-SA"/>
        </w:rPr>
        <w:t>”</w:t>
      </w:r>
      <w:r>
        <w:rPr>
          <w:rFonts w:hint="default" w:ascii="仿宋_GB2312" w:hAnsi="Courier New" w:eastAsia="仿宋_GB2312" w:cs="Times New Roman"/>
          <w:color w:val="auto"/>
          <w:kern w:val="2"/>
          <w:sz w:val="32"/>
          <w:szCs w:val="32"/>
          <w:highlight w:val="none"/>
          <w:u w:val="none"/>
          <w:lang w:val="en-US" w:eastAsia="zh-CN" w:bidi="ar-SA"/>
        </w:rPr>
        <w:t>城市品牌整体策划，策划举办具有全国影响力的文化节会、体育赛事、论坛展览等活动，提升城市文化品牌的辨识度、美誉度和影响力</w:t>
      </w:r>
      <w:r>
        <w:rPr>
          <w:rFonts w:hint="eastAsia" w:ascii="仿宋_GB2312" w:hAnsi="Courier New" w:eastAsia="仿宋_GB2312" w:cs="Times New Roman"/>
          <w:color w:val="auto"/>
          <w:kern w:val="2"/>
          <w:sz w:val="32"/>
          <w:szCs w:val="32"/>
          <w:highlight w:val="none"/>
          <w:u w:val="none"/>
          <w:lang w:val="en-US" w:eastAsia="zh-CN" w:bidi="ar-SA"/>
        </w:rPr>
        <w:t>。</w:t>
      </w:r>
    </w:p>
    <w:p>
      <w:pPr>
        <w:keepNext w:val="0"/>
        <w:keepLines w:val="0"/>
        <w:pageBreakBefore w:val="0"/>
        <w:widowControl w:val="0"/>
        <w:kinsoku/>
        <w:wordWrap/>
        <w:autoSpaceDE/>
        <w:autoSpaceDN/>
        <w:bidi w:val="0"/>
        <w:spacing w:line="560" w:lineRule="exact"/>
        <w:textAlignment w:val="auto"/>
        <w:rPr>
          <w:rFonts w:hint="default" w:ascii="仿宋_GB2312" w:hAnsi="Courier New" w:eastAsia="仿宋_GB2312" w:cs="Times New Roman"/>
          <w:color w:val="auto"/>
          <w:kern w:val="2"/>
          <w:sz w:val="32"/>
          <w:szCs w:val="32"/>
          <w:highlight w:val="none"/>
          <w:u w:val="none"/>
          <w:lang w:val="en-US" w:eastAsia="zh-CN" w:bidi="ar-SA"/>
        </w:rPr>
      </w:pPr>
      <w:r>
        <w:rPr>
          <w:rFonts w:hint="default" w:ascii="仿宋_GB2312" w:hAnsi="Courier New" w:eastAsia="仿宋_GB2312" w:cs="Times New Roman"/>
          <w:color w:val="auto"/>
          <w:kern w:val="2"/>
          <w:sz w:val="32"/>
          <w:szCs w:val="32"/>
          <w:highlight w:val="none"/>
          <w:u w:val="none"/>
          <w:lang w:val="en-US" w:eastAsia="zh-CN" w:bidi="ar-SA"/>
        </w:rPr>
        <w:br w:type="page"/>
      </w:r>
    </w:p>
    <w:p>
      <w:pPr>
        <w:pStyle w:val="8"/>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val="0"/>
          <w:color w:val="auto"/>
          <w:kern w:val="2"/>
          <w:sz w:val="44"/>
          <w:szCs w:val="44"/>
          <w:highlight w:val="none"/>
          <w:lang w:val="en-US" w:eastAsia="zh-CN" w:bidi="ar-SA"/>
        </w:rPr>
      </w:pPr>
      <w:bookmarkStart w:id="113" w:name="_Toc2961"/>
      <w:r>
        <w:rPr>
          <w:rFonts w:hint="eastAsia" w:ascii="方正小标宋简体" w:hAnsi="方正小标宋简体" w:eastAsia="方正小标宋简体" w:cs="方正小标宋简体"/>
          <w:b w:val="0"/>
          <w:bCs w:val="0"/>
          <w:color w:val="auto"/>
          <w:kern w:val="2"/>
          <w:sz w:val="44"/>
          <w:szCs w:val="44"/>
          <w:highlight w:val="none"/>
          <w:lang w:val="en-US" w:eastAsia="zh-CN" w:bidi="ar-SA"/>
        </w:rPr>
        <w:t>第十一章  持续增进民生福祉，织密兜牢幸福安居保障网</w:t>
      </w:r>
      <w:bookmarkEnd w:id="113"/>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eastAsia" w:ascii="仿宋_GB2312" w:hAnsi="Calibri" w:eastAsia="仿宋_GB2312" w:cs="Times New Roman"/>
          <w:color w:val="auto"/>
          <w:sz w:val="32"/>
          <w:szCs w:val="32"/>
          <w:highlight w:val="none"/>
          <w:u w:val="none"/>
          <w:lang w:val="en-US" w:eastAsia="zh-CN"/>
        </w:rPr>
      </w:pPr>
      <w:bookmarkStart w:id="114" w:name="_Toc8823"/>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eastAsia" w:ascii="黑体" w:hAnsi="黑体" w:eastAsia="黑体" w:cs="黑体"/>
          <w:bCs/>
          <w:color w:val="auto"/>
          <w:kern w:val="44"/>
          <w:sz w:val="32"/>
          <w:szCs w:val="48"/>
          <w:highlight w:val="none"/>
          <w:lang w:val="en-US" w:eastAsia="zh-CN" w:bidi="ar"/>
        </w:rPr>
      </w:pPr>
      <w:r>
        <w:rPr>
          <w:rFonts w:hint="eastAsia" w:ascii="仿宋_GB2312" w:hAnsi="Calibri" w:eastAsia="仿宋_GB2312" w:cs="Times New Roman"/>
          <w:color w:val="auto"/>
          <w:sz w:val="32"/>
          <w:szCs w:val="32"/>
          <w:highlight w:val="none"/>
          <w:u w:val="none"/>
          <w:lang w:val="en-US" w:eastAsia="zh-CN"/>
        </w:rPr>
        <w:t>坚持尽力而为、量力而行，着力补齐民生短板、破解民生难题、兜牢民生底线，</w:t>
      </w:r>
      <w:r>
        <w:rPr>
          <w:rFonts w:hint="eastAsia" w:ascii="仿宋_GB2312" w:hAnsi="Calibri" w:eastAsia="仿宋_GB2312" w:cs="Times New Roman"/>
          <w:color w:val="auto"/>
          <w:sz w:val="32"/>
          <w:szCs w:val="32"/>
          <w:highlight w:val="none"/>
          <w:u w:val="none" w:color="auto"/>
          <w:lang w:val="en-US" w:eastAsia="zh-CN"/>
        </w:rPr>
        <w:t>持续完善基本公共服务体系，</w:t>
      </w:r>
      <w:r>
        <w:rPr>
          <w:rFonts w:hint="eastAsia" w:ascii="仿宋_GB2312" w:hAnsi="Calibri" w:eastAsia="仿宋_GB2312" w:cs="Times New Roman"/>
          <w:color w:val="auto"/>
          <w:sz w:val="32"/>
          <w:szCs w:val="32"/>
          <w:highlight w:val="none"/>
          <w:u w:val="none"/>
          <w:lang w:val="en-US" w:eastAsia="zh-CN"/>
        </w:rPr>
        <w:t>推动教育、医疗、社会保障事业均衡发展，系统打造全龄友好型城区，解决好人民群众急难愁盼问题，提高人民生活品质。</w:t>
      </w:r>
    </w:p>
    <w:p>
      <w:pPr>
        <w:keepNext w:val="0"/>
        <w:keepLines w:val="0"/>
        <w:pageBreakBefore w:val="0"/>
        <w:widowControl w:val="0"/>
        <w:kinsoku/>
        <w:wordWrap/>
        <w:overflowPunct/>
        <w:topLinePunct w:val="0"/>
        <w:autoSpaceDE/>
        <w:autoSpaceDN/>
        <w:bidi w:val="0"/>
        <w:adjustRightInd w:val="0"/>
        <w:snapToGrid w:val="0"/>
        <w:spacing w:before="157" w:beforeLines="50" w:beforeAutospacing="0" w:after="157" w:afterLines="50" w:afterAutospacing="0" w:line="560" w:lineRule="exact"/>
        <w:ind w:left="0" w:leftChars="0" w:firstLine="0" w:firstLineChars="0"/>
        <w:jc w:val="center"/>
        <w:textAlignment w:val="auto"/>
        <w:outlineLvl w:val="1"/>
        <w:rPr>
          <w:rFonts w:hint="eastAsia" w:ascii="文星标宋" w:hAnsi="文星标宋" w:eastAsia="文星标宋" w:cs="文星标宋"/>
          <w:bCs/>
          <w:color w:val="auto"/>
          <w:kern w:val="44"/>
          <w:sz w:val="32"/>
          <w:szCs w:val="48"/>
          <w:highlight w:val="none"/>
          <w:lang w:val="en-US" w:eastAsia="zh-CN" w:bidi="ar"/>
        </w:rPr>
      </w:pPr>
      <w:bookmarkStart w:id="115" w:name="_Toc26442"/>
      <w:r>
        <w:rPr>
          <w:rFonts w:hint="eastAsia" w:ascii="文星标宋" w:hAnsi="文星标宋" w:eastAsia="文星标宋" w:cs="文星标宋"/>
          <w:bCs/>
          <w:color w:val="auto"/>
          <w:kern w:val="44"/>
          <w:sz w:val="32"/>
          <w:szCs w:val="48"/>
          <w:highlight w:val="none"/>
          <w:lang w:val="en-US" w:eastAsia="zh-CN" w:bidi="ar"/>
        </w:rPr>
        <w:t>第一节  扎实推进稳就业促增收</w:t>
      </w:r>
      <w:bookmarkEnd w:id="115"/>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2"/>
        <w:rPr>
          <w:rFonts w:hint="eastAsia" w:ascii="黑体" w:hAnsi="黑体" w:eastAsia="黑体" w:cs="黑体"/>
          <w:color w:val="auto"/>
          <w:spacing w:val="0"/>
          <w:w w:val="100"/>
          <w:kern w:val="21"/>
          <w:sz w:val="32"/>
          <w:szCs w:val="32"/>
          <w:highlight w:val="none"/>
          <w:lang w:val="en-US" w:eastAsia="zh-CN" w:bidi="ar-SA"/>
        </w:rPr>
      </w:pPr>
      <w:r>
        <w:rPr>
          <w:rFonts w:hint="eastAsia" w:ascii="黑体" w:hAnsi="黑体" w:eastAsia="黑体" w:cs="黑体"/>
          <w:color w:val="auto"/>
          <w:spacing w:val="0"/>
          <w:w w:val="100"/>
          <w:kern w:val="21"/>
          <w:sz w:val="32"/>
          <w:szCs w:val="32"/>
          <w:highlight w:val="none"/>
          <w:lang w:val="en-US" w:eastAsia="zh-CN" w:bidi="ar-SA"/>
        </w:rPr>
        <w:t>一、加大就业服务保障力度</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color w:val="auto"/>
          <w:spacing w:val="0"/>
          <w:sz w:val="32"/>
          <w:szCs w:val="32"/>
          <w:highlight w:val="none"/>
          <w:shd w:val="clear" w:color="auto" w:fill="auto"/>
          <w:lang w:val="en-US" w:eastAsia="zh-CN"/>
        </w:rPr>
      </w:pPr>
      <w:r>
        <w:rPr>
          <w:rFonts w:hint="eastAsia" w:ascii="仿宋_GB2312" w:hAnsi="仿宋_GB2312" w:eastAsia="仿宋_GB2312" w:cs="仿宋_GB2312"/>
          <w:b w:val="0"/>
          <w:bCs w:val="0"/>
          <w:color w:val="auto"/>
          <w:spacing w:val="0"/>
          <w:sz w:val="32"/>
          <w:szCs w:val="32"/>
          <w:highlight w:val="none"/>
          <w:shd w:val="clear" w:color="auto" w:fill="auto"/>
          <w:lang w:val="en-US" w:eastAsia="zh-CN"/>
        </w:rPr>
        <w:t>千方百计稳定和扩大就业，提供优质求职招聘服务，开展“春风行动”“周五职聘”“金秋招聘月”等促就业活动，加强岗位供给、拓宽就业渠道。实施就业援助政策，着力解决高校毕业生、退役军人、农村转移劳动力、残疾人、城镇就业困难人员等重点群体的就业问题。进一步发挥失业保险稳定就业、预防失业的重要作用，持续落实失业保险、稳岗返还、技能提升等补贴政策，支持企业稳定就业岗位，全力促发展保民生。充分发挥公岗作用，按照“因事设岗、以岗定员”的原则，合理开发协管、环卫、养护、保洁、护林、保绿等公益性岗位，优先安置就业困难人员，加强公益性岗位日常监管，提升服务质效，促进高质量充分就业。落实各项就业援助政策，积极开展“送岗位、送技能、送服务”工作，让就业困难人员就地就近实现就业。“十五五”时期，累计新增城镇就业3.35万人。</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2"/>
        <w:rPr>
          <w:rFonts w:hint="eastAsia" w:ascii="黑体" w:hAnsi="黑体" w:eastAsia="黑体" w:cs="黑体"/>
          <w:color w:val="auto"/>
          <w:spacing w:val="0"/>
          <w:w w:val="100"/>
          <w:kern w:val="21"/>
          <w:sz w:val="32"/>
          <w:szCs w:val="32"/>
          <w:highlight w:val="none"/>
          <w:lang w:val="en-US" w:eastAsia="zh-CN" w:bidi="ar-SA"/>
        </w:rPr>
      </w:pPr>
      <w:r>
        <w:rPr>
          <w:rFonts w:hint="eastAsia" w:ascii="黑体" w:hAnsi="黑体" w:eastAsia="黑体" w:cs="黑体"/>
          <w:color w:val="auto"/>
          <w:spacing w:val="0"/>
          <w:w w:val="100"/>
          <w:kern w:val="21"/>
          <w:sz w:val="32"/>
          <w:szCs w:val="32"/>
          <w:highlight w:val="none"/>
          <w:lang w:val="en-US" w:eastAsia="zh-CN" w:bidi="ar-SA"/>
        </w:rPr>
        <w:t>二、鼓励支持自主创业</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color w:val="auto"/>
          <w:spacing w:val="0"/>
          <w:sz w:val="32"/>
          <w:szCs w:val="32"/>
          <w:highlight w:val="none"/>
          <w:shd w:val="clear" w:color="auto" w:fill="auto"/>
          <w:lang w:val="en-US" w:eastAsia="zh-CN"/>
        </w:rPr>
      </w:pPr>
      <w:r>
        <w:rPr>
          <w:rFonts w:hint="eastAsia" w:ascii="仿宋_GB2312" w:hAnsi="仿宋_GB2312" w:eastAsia="仿宋_GB2312" w:cs="仿宋_GB2312"/>
          <w:b w:val="0"/>
          <w:bCs w:val="0"/>
          <w:color w:val="auto"/>
          <w:spacing w:val="0"/>
          <w:sz w:val="32"/>
          <w:szCs w:val="32"/>
          <w:highlight w:val="none"/>
          <w:shd w:val="clear" w:color="auto" w:fill="auto"/>
          <w:lang w:val="en-US" w:eastAsia="zh-CN"/>
        </w:rPr>
        <w:t>加强对青年创业者和初创企业的帮扶支持力度，创新实施创业“名师高徒”专项行动，建立优秀企业家与创业者常态化“帮带结对”机制。搭建乡情人才信息库，借助政策扶持、亲情联络等多元举措，积极吸引在外章丘籍高层次人才与企业家返乡创业，为返乡人才提供场地、融资、政策等一站式服务。挖掘本地文化特色和资源优势，加强创业街区及创业导师队伍建设。强化创业担保贷款、创业补贴宣传落实，积极发掘推荐优质平台载体申报市级创业孵化基地，推动高质量创业带动就业，打造创新创业优势生态。</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2"/>
        <w:rPr>
          <w:rFonts w:hint="default" w:ascii="黑体" w:hAnsi="黑体" w:eastAsia="黑体" w:cs="黑体"/>
          <w:color w:val="auto"/>
          <w:spacing w:val="0"/>
          <w:w w:val="100"/>
          <w:kern w:val="21"/>
          <w:sz w:val="32"/>
          <w:szCs w:val="32"/>
          <w:highlight w:val="none"/>
          <w:lang w:val="en-US" w:eastAsia="zh-CN" w:bidi="ar-SA"/>
        </w:rPr>
      </w:pPr>
      <w:r>
        <w:rPr>
          <w:rFonts w:hint="eastAsia" w:ascii="黑体" w:hAnsi="黑体" w:eastAsia="黑体" w:cs="黑体"/>
          <w:color w:val="auto"/>
          <w:spacing w:val="0"/>
          <w:w w:val="100"/>
          <w:kern w:val="21"/>
          <w:sz w:val="32"/>
          <w:szCs w:val="32"/>
          <w:highlight w:val="none"/>
          <w:lang w:val="en-US" w:eastAsia="zh-CN" w:bidi="ar-SA"/>
        </w:rPr>
        <w:t>三、提升职业技能培训质效</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color w:val="auto"/>
          <w:spacing w:val="0"/>
          <w:sz w:val="32"/>
          <w:szCs w:val="32"/>
          <w:highlight w:val="none"/>
          <w:shd w:val="clear" w:color="auto" w:fill="auto"/>
          <w:lang w:val="en-US" w:eastAsia="zh-CN"/>
        </w:rPr>
      </w:pPr>
      <w:r>
        <w:rPr>
          <w:rFonts w:hint="eastAsia" w:ascii="仿宋_GB2312" w:hAnsi="仿宋_GB2312" w:eastAsia="仿宋_GB2312" w:cs="仿宋_GB2312"/>
          <w:b w:val="0"/>
          <w:bCs w:val="0"/>
          <w:color w:val="auto"/>
          <w:spacing w:val="0"/>
          <w:sz w:val="32"/>
          <w:szCs w:val="32"/>
          <w:highlight w:val="none"/>
          <w:shd w:val="clear" w:color="auto" w:fill="auto"/>
          <w:lang w:val="en-US" w:eastAsia="zh-CN"/>
        </w:rPr>
        <w:t>鼓励企业采取分段开展、累计学时等方式开展岗位培训，支持中小微企业采取市场化手段开展企业职工技能培训。充分发挥驻章职业高校“主力军”作用，推动校企合作“订单班”“定岗班”培训。开展针对防止返贫致贫监测对象、毕业年度高校毕业生、城乡未升学应届初高中毕业生、农村转移劳动力、城乡登记失业人员、就业困难人员等重点群体的职业技能专项培训。积极争取市级项目制培训资格，推动乡村工匠、养老护理员、育婴师等特色工种培训。组织举办职工职业技能竞赛，深度挖掘和培养优秀技能人才，拓展竞赛领域和项目，创造更多技术就业岗位。</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2"/>
        <w:rPr>
          <w:rFonts w:hint="default" w:ascii="黑体" w:hAnsi="黑体" w:eastAsia="黑体" w:cs="黑体"/>
          <w:color w:val="auto"/>
          <w:spacing w:val="0"/>
          <w:w w:val="100"/>
          <w:kern w:val="21"/>
          <w:sz w:val="32"/>
          <w:szCs w:val="32"/>
          <w:highlight w:val="none"/>
          <w:lang w:val="en-US" w:eastAsia="zh-CN" w:bidi="ar-SA"/>
        </w:rPr>
      </w:pPr>
      <w:r>
        <w:rPr>
          <w:rFonts w:hint="eastAsia" w:ascii="黑体" w:hAnsi="黑体" w:eastAsia="黑体" w:cs="黑体"/>
          <w:color w:val="auto"/>
          <w:spacing w:val="0"/>
          <w:w w:val="100"/>
          <w:kern w:val="21"/>
          <w:sz w:val="32"/>
          <w:szCs w:val="32"/>
          <w:highlight w:val="none"/>
          <w:lang w:val="en-US" w:eastAsia="zh-CN" w:bidi="ar-SA"/>
        </w:rPr>
        <w:t>四、促进居民收入合理增长</w:t>
      </w:r>
    </w:p>
    <w:p>
      <w:pPr>
        <w:keepNext w:val="0"/>
        <w:keepLines w:val="0"/>
        <w:pageBreakBefore w:val="0"/>
        <w:widowControl w:val="0"/>
        <w:numPr>
          <w:ilvl w:val="0"/>
          <w:numId w:val="0"/>
        </w:numPr>
        <w:tabs>
          <w:tab w:val="right" w:leader="dot" w:pos="8640"/>
        </w:tabs>
        <w:kinsoku/>
        <w:wordWrap/>
        <w:overflowPunct w:val="0"/>
        <w:topLinePunct w:val="0"/>
        <w:autoSpaceDE/>
        <w:autoSpaceDN/>
        <w:bidi w:val="0"/>
        <w:adjustRightInd/>
        <w:snapToGrid/>
        <w:spacing w:line="560" w:lineRule="exact"/>
        <w:ind w:left="0" w:leftChars="0" w:firstLine="640" w:firstLineChars="200"/>
        <w:textAlignment w:val="auto"/>
        <w:rPr>
          <w:rFonts w:hint="default" w:ascii="仿宋_GB2312" w:hAnsi="仿宋_GB2312" w:eastAsia="黑体" w:cs="仿宋_GB2312"/>
          <w:bCs/>
          <w:color w:val="auto"/>
          <w:kern w:val="44"/>
          <w:sz w:val="32"/>
          <w:szCs w:val="48"/>
          <w:highlight w:val="none"/>
          <w:lang w:val="en-US" w:eastAsia="zh-CN" w:bidi="ar"/>
        </w:rPr>
      </w:pPr>
      <w:r>
        <w:rPr>
          <w:rFonts w:hint="eastAsia" w:ascii="仿宋_GB2312" w:hAnsi="仿宋_GB2312" w:eastAsia="仿宋_GB2312" w:cs="仿宋_GB2312"/>
          <w:b w:val="0"/>
          <w:bCs w:val="0"/>
          <w:color w:val="auto"/>
          <w:spacing w:val="0"/>
          <w:sz w:val="32"/>
          <w:szCs w:val="32"/>
          <w:highlight w:val="none"/>
          <w:shd w:val="clear" w:color="auto" w:fill="auto"/>
          <w:lang w:val="en-US" w:eastAsia="zh-CN"/>
        </w:rPr>
        <w:t>健全劳动报酬提高与劳动生产率提高基本同步机制，执行国家、省促增收相关政策，落实全市最低工资标准，稳步增加居民劳动收入。配合市相关部门指导企业合理确定技能劳动者的工资水平，配合市级部门引导企业工资分配进一步向关键岗位、生产一线倾斜，促进企业职工工资与企业效益挂钩。依法保护劳动者权益，加强欠薪源头治理，保障劳动者劳动报酬及时足额支付，鼓励和引导企业提高员工福利待遇。鼓励农村地区因地制宜发展休闲农业、乡村旅游等富民产业，鼓励农村组织成立农民劳务专业合作社，承接当地小型工程项目、季节性农业生产、企业辅助性用工等业务，增加农民财产性收益。</w:t>
      </w:r>
    </w:p>
    <w:p>
      <w:pPr>
        <w:keepNext w:val="0"/>
        <w:keepLines w:val="0"/>
        <w:pageBreakBefore w:val="0"/>
        <w:widowControl w:val="0"/>
        <w:kinsoku/>
        <w:wordWrap/>
        <w:overflowPunct w:val="0"/>
        <w:topLinePunct w:val="0"/>
        <w:autoSpaceDE/>
        <w:autoSpaceDN/>
        <w:bidi w:val="0"/>
        <w:adjustRightInd w:val="0"/>
        <w:snapToGrid w:val="0"/>
        <w:spacing w:before="157" w:beforeLines="50" w:beforeAutospacing="0" w:after="157" w:afterLines="50" w:afterAutospacing="0" w:line="560" w:lineRule="exact"/>
        <w:ind w:left="0" w:leftChars="0" w:firstLine="0" w:firstLineChars="0"/>
        <w:jc w:val="center"/>
        <w:textAlignment w:val="auto"/>
        <w:outlineLvl w:val="1"/>
        <w:rPr>
          <w:rFonts w:hint="eastAsia" w:ascii="文星标宋" w:hAnsi="文星标宋" w:eastAsia="文星标宋" w:cs="文星标宋"/>
          <w:bCs/>
          <w:color w:val="auto"/>
          <w:kern w:val="44"/>
          <w:sz w:val="32"/>
          <w:szCs w:val="48"/>
          <w:highlight w:val="none"/>
          <w:lang w:val="en-US" w:eastAsia="zh-CN" w:bidi="ar"/>
        </w:rPr>
      </w:pPr>
      <w:bookmarkStart w:id="116" w:name="_Toc13048"/>
      <w:r>
        <w:rPr>
          <w:rFonts w:hint="eastAsia" w:ascii="文星标宋" w:hAnsi="文星标宋" w:eastAsia="文星标宋" w:cs="文星标宋"/>
          <w:bCs/>
          <w:color w:val="auto"/>
          <w:kern w:val="44"/>
          <w:sz w:val="32"/>
          <w:szCs w:val="48"/>
          <w:highlight w:val="none"/>
          <w:lang w:val="en-US" w:eastAsia="zh-CN" w:bidi="ar"/>
        </w:rPr>
        <w:t>第二节  推动教育优质均衡发展</w:t>
      </w:r>
      <w:bookmarkEnd w:id="114"/>
      <w:bookmarkEnd w:id="116"/>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2"/>
        <w:rPr>
          <w:rFonts w:hint="eastAsia" w:ascii="黑体" w:hAnsi="黑体" w:eastAsia="黑体" w:cs="黑体"/>
          <w:color w:val="auto"/>
          <w:spacing w:val="0"/>
          <w:w w:val="100"/>
          <w:kern w:val="21"/>
          <w:sz w:val="32"/>
          <w:szCs w:val="32"/>
          <w:highlight w:val="none"/>
          <w:lang w:val="en-US" w:eastAsia="zh-CN" w:bidi="ar-SA"/>
        </w:rPr>
      </w:pPr>
      <w:bookmarkStart w:id="117" w:name="_Toc4459"/>
      <w:r>
        <w:rPr>
          <w:rFonts w:hint="eastAsia" w:ascii="黑体" w:hAnsi="黑体" w:eastAsia="黑体" w:cs="黑体"/>
          <w:color w:val="auto"/>
          <w:spacing w:val="0"/>
          <w:w w:val="100"/>
          <w:kern w:val="21"/>
          <w:sz w:val="32"/>
          <w:szCs w:val="32"/>
          <w:highlight w:val="none"/>
          <w:lang w:val="en-US" w:eastAsia="zh-CN" w:bidi="ar-SA"/>
        </w:rPr>
        <w:t>一、推动学前教育普惠优质发展</w:t>
      </w:r>
    </w:p>
    <w:p>
      <w:pPr>
        <w:keepNext w:val="0"/>
        <w:keepLines w:val="0"/>
        <w:pageBreakBefore w:val="0"/>
        <w:widowControl w:val="0"/>
        <w:numPr>
          <w:ilvl w:val="0"/>
          <w:numId w:val="0"/>
        </w:numPr>
        <w:tabs>
          <w:tab w:val="right" w:leader="dot" w:pos="8640"/>
        </w:tabs>
        <w:kinsoku/>
        <w:wordWrap/>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shd w:val="clear" w:color="auto" w:fill="auto"/>
          <w:lang w:val="en-US" w:eastAsia="zh-CN"/>
        </w:rPr>
      </w:pPr>
      <w:r>
        <w:rPr>
          <w:rFonts w:hint="eastAsia" w:ascii="仿宋_GB2312" w:hAnsi="仿宋_GB2312" w:eastAsia="仿宋_GB2312" w:cs="仿宋_GB2312"/>
          <w:color w:val="auto"/>
          <w:kern w:val="2"/>
          <w:sz w:val="32"/>
          <w:szCs w:val="32"/>
          <w:highlight w:val="none"/>
          <w:shd w:val="clear" w:color="auto" w:fill="auto"/>
          <w:lang w:val="en-US" w:eastAsia="zh-CN"/>
        </w:rPr>
        <w:t>建立适应</w:t>
      </w:r>
      <w:r>
        <w:rPr>
          <w:rFonts w:hint="eastAsia" w:ascii="仿宋_GB2312" w:hAnsi="仿宋_GB2312" w:eastAsia="仿宋_GB2312" w:cs="仿宋_GB2312"/>
          <w:color w:val="auto"/>
          <w:kern w:val="2"/>
          <w:sz w:val="32"/>
          <w:szCs w:val="32"/>
          <w:highlight w:val="none"/>
          <w:shd w:val="clear" w:color="auto" w:fill="auto"/>
        </w:rPr>
        <w:t>新型城镇化发展和学龄人口变化趋势的城乡幼儿园学位供给调整机制，</w:t>
      </w:r>
      <w:r>
        <w:rPr>
          <w:rFonts w:hint="eastAsia" w:ascii="仿宋_GB2312" w:hAnsi="仿宋_GB2312" w:eastAsia="仿宋_GB2312" w:cs="仿宋_GB2312"/>
          <w:color w:val="auto"/>
          <w:kern w:val="2"/>
          <w:sz w:val="32"/>
          <w:szCs w:val="32"/>
          <w:highlight w:val="none"/>
          <w:shd w:val="clear" w:color="auto" w:fill="auto"/>
          <w:lang w:val="en-US" w:eastAsia="zh-CN"/>
        </w:rPr>
        <w:t>扩大</w:t>
      </w:r>
      <w:r>
        <w:rPr>
          <w:rFonts w:hint="eastAsia" w:ascii="仿宋_GB2312" w:hAnsi="仿宋_GB2312" w:eastAsia="仿宋_GB2312" w:cs="仿宋_GB2312"/>
          <w:color w:val="auto"/>
          <w:kern w:val="2"/>
          <w:sz w:val="32"/>
          <w:szCs w:val="32"/>
          <w:highlight w:val="none"/>
          <w:shd w:val="clear" w:color="auto" w:fill="auto"/>
        </w:rPr>
        <w:t>优质学前教育资源</w:t>
      </w:r>
      <w:r>
        <w:rPr>
          <w:rFonts w:hint="eastAsia" w:ascii="仿宋_GB2312" w:hAnsi="仿宋_GB2312" w:eastAsia="仿宋_GB2312" w:cs="仿宋_GB2312"/>
          <w:color w:val="auto"/>
          <w:kern w:val="2"/>
          <w:sz w:val="32"/>
          <w:szCs w:val="32"/>
          <w:highlight w:val="none"/>
          <w:shd w:val="clear" w:color="auto" w:fill="auto"/>
          <w:lang w:val="en-US" w:eastAsia="zh-CN"/>
        </w:rPr>
        <w:t>供给</w:t>
      </w:r>
      <w:r>
        <w:rPr>
          <w:rFonts w:hint="eastAsia" w:ascii="仿宋_GB2312" w:hAnsi="仿宋_GB2312" w:eastAsia="仿宋_GB2312" w:cs="仿宋_GB2312"/>
          <w:color w:val="auto"/>
          <w:kern w:val="2"/>
          <w:sz w:val="32"/>
          <w:szCs w:val="32"/>
          <w:highlight w:val="none"/>
          <w:shd w:val="clear" w:color="auto" w:fill="auto"/>
        </w:rPr>
        <w:t>，</w:t>
      </w:r>
      <w:r>
        <w:rPr>
          <w:rFonts w:hint="eastAsia" w:ascii="仿宋_GB2312" w:hAnsi="仿宋_GB2312" w:eastAsia="仿宋_GB2312" w:cs="仿宋_GB2312"/>
          <w:color w:val="auto"/>
          <w:kern w:val="2"/>
          <w:sz w:val="32"/>
          <w:szCs w:val="32"/>
          <w:highlight w:val="none"/>
          <w:shd w:val="clear" w:color="auto" w:fill="auto"/>
          <w:lang w:val="en-US" w:eastAsia="zh-CN"/>
        </w:rPr>
        <w:t>加快形成</w:t>
      </w:r>
      <w:r>
        <w:rPr>
          <w:rFonts w:hint="eastAsia" w:ascii="仿宋_GB2312" w:hAnsi="仿宋_GB2312" w:eastAsia="仿宋_GB2312" w:cs="仿宋_GB2312"/>
          <w:color w:val="auto"/>
          <w:kern w:val="2"/>
          <w:sz w:val="32"/>
          <w:szCs w:val="32"/>
          <w:highlight w:val="none"/>
          <w:shd w:val="clear" w:color="auto" w:fill="auto"/>
        </w:rPr>
        <w:t>学前教育优质普惠发展格局。</w:t>
      </w:r>
      <w:r>
        <w:rPr>
          <w:rFonts w:hint="eastAsia" w:ascii="仿宋_GB2312" w:hAnsi="仿宋_GB2312" w:eastAsia="仿宋_GB2312" w:cs="仿宋_GB2312"/>
          <w:color w:val="auto"/>
          <w:kern w:val="2"/>
          <w:sz w:val="32"/>
          <w:szCs w:val="32"/>
          <w:highlight w:val="none"/>
          <w:shd w:val="clear" w:color="auto" w:fill="auto"/>
          <w:lang w:val="en-US" w:eastAsia="zh-CN"/>
        </w:rPr>
        <w:t>落实居住区教育设施配建工作，保障新开发片区和新规划建设的居住区学位供给。</w:t>
      </w:r>
      <w:r>
        <w:rPr>
          <w:rFonts w:hint="eastAsia" w:ascii="仿宋_GB2312" w:hAnsi="仿宋_GB2312" w:eastAsia="仿宋_GB2312" w:cs="仿宋_GB2312"/>
          <w:color w:val="auto"/>
          <w:sz w:val="32"/>
          <w:szCs w:val="32"/>
          <w:highlight w:val="none"/>
          <w:u w:val="none"/>
          <w:shd w:val="clear" w:color="auto" w:fill="auto"/>
          <w:lang w:val="en-US" w:eastAsia="zh-CN"/>
        </w:rPr>
        <w:t>提升学前教育发展水平，</w:t>
      </w:r>
      <w:r>
        <w:rPr>
          <w:rFonts w:hint="eastAsia" w:ascii="仿宋_GB2312" w:hAnsi="仿宋_GB2312" w:eastAsia="仿宋_GB2312" w:cs="仿宋_GB2312"/>
          <w:color w:val="auto"/>
          <w:kern w:val="2"/>
          <w:sz w:val="32"/>
          <w:szCs w:val="32"/>
          <w:highlight w:val="none"/>
          <w:shd w:val="clear" w:color="auto" w:fill="auto"/>
        </w:rPr>
        <w:t>巩固提升普惠性幼儿园覆盖率，</w:t>
      </w:r>
      <w:r>
        <w:rPr>
          <w:rFonts w:hint="eastAsia" w:ascii="仿宋_GB2312" w:hAnsi="仿宋_GB2312" w:eastAsia="仿宋_GB2312" w:cs="仿宋_GB2312"/>
          <w:color w:val="auto"/>
          <w:sz w:val="32"/>
          <w:szCs w:val="32"/>
          <w:highlight w:val="none"/>
          <w:u w:val="none"/>
          <w:shd w:val="clear" w:color="auto" w:fill="auto"/>
          <w:lang w:val="en-US" w:eastAsia="zh-CN"/>
        </w:rPr>
        <w:t>优化普惠性学前教育资源结构，逐步免除学前教育保育教育费。加快形成以公办幼儿园为主、普惠性民办幼儿园为辅的学前教育供给体系，鼓励和支持有条件的幼儿园招收2至3岁幼儿，到2030年，公办园在园幼儿占比力争达到65%以上。</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2"/>
        <w:rPr>
          <w:rFonts w:hint="default" w:ascii="黑体" w:hAnsi="黑体" w:eastAsia="黑体" w:cs="黑体"/>
          <w:color w:val="auto"/>
          <w:spacing w:val="0"/>
          <w:w w:val="100"/>
          <w:kern w:val="21"/>
          <w:sz w:val="32"/>
          <w:szCs w:val="32"/>
          <w:highlight w:val="none"/>
          <w:lang w:val="en-US" w:eastAsia="zh-CN" w:bidi="ar-SA"/>
        </w:rPr>
      </w:pPr>
      <w:r>
        <w:rPr>
          <w:rFonts w:hint="eastAsia" w:ascii="黑体" w:hAnsi="黑体" w:eastAsia="黑体" w:cs="黑体"/>
          <w:color w:val="auto"/>
          <w:spacing w:val="0"/>
          <w:w w:val="100"/>
          <w:kern w:val="21"/>
          <w:sz w:val="32"/>
          <w:szCs w:val="32"/>
          <w:highlight w:val="none"/>
          <w:lang w:val="en-US" w:eastAsia="zh-CN" w:bidi="ar-SA"/>
        </w:rPr>
        <w:t>二、提高义务教育办学质量</w:t>
      </w:r>
    </w:p>
    <w:p>
      <w:pPr>
        <w:keepNext w:val="0"/>
        <w:keepLines w:val="0"/>
        <w:pageBreakBefore w:val="0"/>
        <w:widowControl w:val="0"/>
        <w:numPr>
          <w:ilvl w:val="0"/>
          <w:numId w:val="0"/>
        </w:numPr>
        <w:kinsoku/>
        <w:wordWrap/>
        <w:overflowPunct w:val="0"/>
        <w:topLinePunct/>
        <w:autoSpaceDE/>
        <w:autoSpaceDN/>
        <w:bidi w:val="0"/>
        <w:adjustRightInd/>
        <w:snapToGrid/>
        <w:spacing w:line="560" w:lineRule="exact"/>
        <w:ind w:firstLine="640" w:firstLineChars="200"/>
        <w:jc w:val="both"/>
        <w:textAlignment w:val="auto"/>
        <w:rPr>
          <w:rFonts w:hint="default" w:ascii="仿宋_GB2312" w:hAnsi="Calibri" w:eastAsia="仿宋_GB2312" w:cs="Times New Roman"/>
          <w:color w:val="auto"/>
          <w:sz w:val="32"/>
          <w:szCs w:val="32"/>
          <w:highlight w:val="none"/>
          <w:u w:val="none"/>
          <w:lang w:val="en-US" w:eastAsia="zh-CN"/>
        </w:rPr>
      </w:pPr>
      <w:r>
        <w:rPr>
          <w:rFonts w:hint="eastAsia" w:ascii="仿宋_GB2312" w:hAnsi="Calibri" w:eastAsia="仿宋_GB2312" w:cs="Times New Roman"/>
          <w:color w:val="auto"/>
          <w:sz w:val="32"/>
          <w:szCs w:val="32"/>
          <w:highlight w:val="none"/>
          <w:u w:val="none"/>
          <w:lang w:val="en-US" w:eastAsia="zh-CN"/>
        </w:rPr>
        <w:t>健全与人口变化相适应的基础教育资源统筹调配机制，加强教育资源跨学段动态调整和余缺调配，扩大学龄人口净流入城镇教育资源供给。探索人财物统一管理新路径，实施强校扩优行动，推进章丘区部分中小学纳入集团化办学试点，持续推进特殊教育办学条件提升，优化教育资源配置。</w:t>
      </w:r>
      <w:r>
        <w:rPr>
          <w:rFonts w:hint="eastAsia" w:ascii="仿宋_GB2312" w:hAnsi="仿宋_GB2312" w:eastAsia="仿宋_GB2312" w:cs="仿宋_GB2312"/>
          <w:b w:val="0"/>
          <w:bCs w:val="0"/>
          <w:color w:val="auto"/>
          <w:sz w:val="32"/>
          <w:szCs w:val="32"/>
          <w:highlight w:val="none"/>
          <w:lang w:eastAsia="zh-CN"/>
        </w:rPr>
        <w:t>巩固拓展“双减”成果，加强教师减负制度化、规范化建设，全面提升课堂教学水平，提高课后服务质量。</w:t>
      </w:r>
      <w:r>
        <w:rPr>
          <w:rFonts w:hint="eastAsia" w:ascii="仿宋_GB2312" w:hAnsi="Calibri" w:eastAsia="仿宋_GB2312" w:cs="Times New Roman"/>
          <w:color w:val="auto"/>
          <w:sz w:val="32"/>
          <w:szCs w:val="32"/>
          <w:highlight w:val="none"/>
          <w:u w:val="none"/>
          <w:lang w:val="en-US" w:eastAsia="zh-CN"/>
        </w:rPr>
        <w:t>推行“全区一体化大教研”模式，加强教师业务培训，发挥教育科研对教学的引领促进作用。落实五育并举，做好心理健康教育、家庭教育研究工作，重视体育教学研究，促进学生身心健康发展。深入实施教学评估改革，完善发展性增量评价，引导学校优化教师评价考核。</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2"/>
        <w:rPr>
          <w:rFonts w:hint="eastAsia" w:ascii="黑体" w:hAnsi="黑体" w:eastAsia="黑体" w:cs="黑体"/>
          <w:color w:val="auto"/>
          <w:spacing w:val="0"/>
          <w:w w:val="100"/>
          <w:kern w:val="21"/>
          <w:sz w:val="32"/>
          <w:szCs w:val="32"/>
          <w:highlight w:val="none"/>
          <w:lang w:val="en-US" w:eastAsia="zh-CN" w:bidi="ar-SA"/>
        </w:rPr>
      </w:pPr>
      <w:r>
        <w:rPr>
          <w:rFonts w:hint="eastAsia" w:ascii="黑体" w:hAnsi="黑体" w:eastAsia="黑体" w:cs="黑体"/>
          <w:color w:val="auto"/>
          <w:spacing w:val="0"/>
          <w:w w:val="100"/>
          <w:kern w:val="21"/>
          <w:sz w:val="32"/>
          <w:szCs w:val="32"/>
          <w:highlight w:val="none"/>
          <w:lang w:val="en-US" w:eastAsia="zh-CN" w:bidi="ar-SA"/>
        </w:rPr>
        <w:t>三、扩大普通高中和职业教育供给</w:t>
      </w:r>
    </w:p>
    <w:p>
      <w:pPr>
        <w:keepNext w:val="0"/>
        <w:keepLines w:val="0"/>
        <w:pageBreakBefore w:val="0"/>
        <w:widowControl w:val="0"/>
        <w:numPr>
          <w:ilvl w:val="0"/>
          <w:numId w:val="0"/>
        </w:numPr>
        <w:kinsoku/>
        <w:wordWrap/>
        <w:overflowPunct w:val="0"/>
        <w:topLinePunct/>
        <w:autoSpaceDE/>
        <w:autoSpaceDN/>
        <w:bidi w:val="0"/>
        <w:adjustRightInd/>
        <w:snapToGrid/>
        <w:spacing w:line="560" w:lineRule="exact"/>
        <w:ind w:firstLine="640" w:firstLineChars="200"/>
        <w:jc w:val="both"/>
        <w:textAlignment w:val="auto"/>
        <w:rPr>
          <w:rFonts w:hint="eastAsia" w:ascii="仿宋_GB2312" w:hAnsi="Calibri" w:eastAsia="仿宋_GB2312" w:cs="Times New Roman"/>
          <w:color w:val="auto"/>
          <w:sz w:val="32"/>
          <w:szCs w:val="32"/>
          <w:highlight w:val="none"/>
          <w:u w:val="none"/>
          <w:lang w:val="en-US" w:eastAsia="zh-CN"/>
        </w:rPr>
      </w:pPr>
      <w:r>
        <w:rPr>
          <w:rFonts w:hint="eastAsia" w:ascii="仿宋_GB2312" w:hAnsi="Calibri" w:eastAsia="仿宋_GB2312" w:cs="Times New Roman"/>
          <w:color w:val="auto"/>
          <w:sz w:val="32"/>
          <w:szCs w:val="32"/>
          <w:highlight w:val="none"/>
          <w:u w:val="none"/>
          <w:lang w:val="en-US" w:eastAsia="zh-CN"/>
        </w:rPr>
        <w:t>推进公办普通高中扩容提质增位，完成章丘四中绣源河校区建设，积极推进清照中学新建项目。采取公办高中对口帮扶、指导民办高中等模式提升民办普通高中规范办学，加强特色高中和学科基地建设，促进高中阶段学校多样化发展。健全现代职业教育体系，持续增强职业教育适应性，深化职普融通、产教融合、校企合作，以章丘区主导产业和优势产业为导向，集中力量发展智能制造、信息技术、财经商贸等领域，大力培养适应社会需求的高素质技能人才。</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2"/>
        <w:rPr>
          <w:rFonts w:hint="eastAsia" w:ascii="黑体" w:hAnsi="黑体" w:eastAsia="黑体" w:cs="黑体"/>
          <w:color w:val="auto"/>
          <w:spacing w:val="0"/>
          <w:w w:val="100"/>
          <w:kern w:val="21"/>
          <w:sz w:val="32"/>
          <w:szCs w:val="32"/>
          <w:highlight w:val="none"/>
          <w:lang w:val="en-US" w:eastAsia="zh-CN" w:bidi="ar-SA"/>
        </w:rPr>
      </w:pPr>
      <w:r>
        <w:rPr>
          <w:rFonts w:hint="eastAsia" w:ascii="黑体" w:hAnsi="黑体" w:eastAsia="黑体" w:cs="黑体"/>
          <w:color w:val="auto"/>
          <w:spacing w:val="0"/>
          <w:w w:val="100"/>
          <w:kern w:val="21"/>
          <w:sz w:val="32"/>
          <w:szCs w:val="32"/>
          <w:highlight w:val="none"/>
          <w:lang w:val="en-US" w:eastAsia="zh-CN" w:bidi="ar-SA"/>
        </w:rPr>
        <w:t>四、建设高质量多类型教育体系</w:t>
      </w:r>
    </w:p>
    <w:p>
      <w:pPr>
        <w:keepNext w:val="0"/>
        <w:keepLines w:val="0"/>
        <w:pageBreakBefore w:val="0"/>
        <w:widowControl w:val="0"/>
        <w:numPr>
          <w:ilvl w:val="0"/>
          <w:numId w:val="0"/>
        </w:numPr>
        <w:kinsoku/>
        <w:wordWrap/>
        <w:overflowPunct w:val="0"/>
        <w:topLinePunct/>
        <w:autoSpaceDE/>
        <w:autoSpaceDN/>
        <w:bidi w:val="0"/>
        <w:adjustRightInd/>
        <w:snapToGrid/>
        <w:spacing w:line="560" w:lineRule="exact"/>
        <w:ind w:firstLine="640" w:firstLineChars="200"/>
        <w:jc w:val="both"/>
        <w:textAlignment w:val="auto"/>
        <w:rPr>
          <w:rFonts w:hint="default" w:ascii="仿宋_GB2312" w:hAnsi="Calibri" w:eastAsia="仿宋_GB2312" w:cs="Times New Roman"/>
          <w:color w:val="auto"/>
          <w:sz w:val="32"/>
          <w:szCs w:val="32"/>
          <w:highlight w:val="none"/>
          <w:u w:val="none"/>
          <w:lang w:val="en-US" w:eastAsia="zh-CN"/>
        </w:rPr>
      </w:pPr>
      <w:r>
        <w:rPr>
          <w:rFonts w:hint="eastAsia" w:ascii="仿宋_GB2312" w:hAnsi="Calibri" w:eastAsia="仿宋_GB2312" w:cs="Times New Roman"/>
          <w:color w:val="auto"/>
          <w:sz w:val="32"/>
          <w:szCs w:val="32"/>
          <w:highlight w:val="none"/>
          <w:u w:val="none"/>
          <w:lang w:val="en-US" w:eastAsia="zh-CN"/>
        </w:rPr>
        <w:t>支持驻章高校高水平大学和高水平学科建设，促进科研、人才和学科优势与经济社会发展深度融合。健全特殊教育、专门教育保障机制，完善民办教育、成人教育、继续教育、少数民族教育管理机制，积极探索开放式教育新模式、新路径。持续加强学习型城区基础能力建设，推进各类学习资源的建设与共享，引导驻章高校、科研机构和企业对外开放学习资源，健全服务全民终身学习的教育体系。</w:t>
      </w:r>
    </w:p>
    <w:p>
      <w:pPr>
        <w:keepNext w:val="0"/>
        <w:keepLines w:val="0"/>
        <w:pageBreakBefore w:val="0"/>
        <w:widowControl w:val="0"/>
        <w:kinsoku/>
        <w:wordWrap/>
        <w:overflowPunct w:val="0"/>
        <w:topLinePunct w:val="0"/>
        <w:autoSpaceDE/>
        <w:autoSpaceDN/>
        <w:bidi w:val="0"/>
        <w:adjustRightInd w:val="0"/>
        <w:snapToGrid w:val="0"/>
        <w:spacing w:before="157" w:beforeLines="50" w:beforeAutospacing="0" w:after="157" w:afterLines="50" w:afterAutospacing="0" w:line="560" w:lineRule="exact"/>
        <w:ind w:left="0" w:leftChars="0" w:firstLine="0" w:firstLineChars="0"/>
        <w:jc w:val="center"/>
        <w:textAlignment w:val="auto"/>
        <w:outlineLvl w:val="1"/>
        <w:rPr>
          <w:rFonts w:hint="eastAsia" w:ascii="文星标宋" w:hAnsi="文星标宋" w:eastAsia="文星标宋" w:cs="文星标宋"/>
          <w:bCs/>
          <w:color w:val="auto"/>
          <w:kern w:val="44"/>
          <w:sz w:val="32"/>
          <w:szCs w:val="48"/>
          <w:highlight w:val="none"/>
          <w:lang w:val="en-US" w:eastAsia="zh-CN" w:bidi="ar"/>
        </w:rPr>
      </w:pPr>
      <w:bookmarkStart w:id="118" w:name="_Toc32402"/>
      <w:r>
        <w:rPr>
          <w:rFonts w:hint="eastAsia" w:ascii="文星标宋" w:hAnsi="文星标宋" w:eastAsia="文星标宋" w:cs="文星标宋"/>
          <w:bCs/>
          <w:color w:val="auto"/>
          <w:kern w:val="44"/>
          <w:sz w:val="32"/>
          <w:szCs w:val="48"/>
          <w:highlight w:val="none"/>
          <w:lang w:val="en-US" w:eastAsia="zh-CN" w:bidi="ar"/>
        </w:rPr>
        <w:t>第三节  全面提升全民健康水平</w:t>
      </w:r>
      <w:bookmarkEnd w:id="117"/>
      <w:bookmarkEnd w:id="118"/>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2"/>
        <w:rPr>
          <w:rFonts w:hint="default" w:ascii="黑体" w:hAnsi="黑体" w:eastAsia="黑体" w:cs="黑体"/>
          <w:color w:val="auto"/>
          <w:spacing w:val="0"/>
          <w:w w:val="100"/>
          <w:kern w:val="21"/>
          <w:sz w:val="32"/>
          <w:szCs w:val="32"/>
          <w:highlight w:val="none"/>
          <w:lang w:val="en-US" w:eastAsia="zh-CN" w:bidi="ar-SA"/>
        </w:rPr>
      </w:pPr>
      <w:bookmarkStart w:id="119" w:name="_Toc7699"/>
      <w:r>
        <w:rPr>
          <w:rFonts w:hint="eastAsia" w:ascii="黑体" w:hAnsi="黑体" w:eastAsia="黑体" w:cs="黑体"/>
          <w:color w:val="auto"/>
          <w:spacing w:val="0"/>
          <w:w w:val="100"/>
          <w:kern w:val="21"/>
          <w:sz w:val="32"/>
          <w:szCs w:val="32"/>
          <w:highlight w:val="none"/>
          <w:lang w:val="en-US" w:eastAsia="zh-CN" w:bidi="ar-SA"/>
        </w:rPr>
        <w:t>一、优化基层医疗卫生资源配置</w:t>
      </w:r>
    </w:p>
    <w:p>
      <w:pPr>
        <w:keepNext w:val="0"/>
        <w:keepLines w:val="0"/>
        <w:pageBreakBefore w:val="0"/>
        <w:widowControl w:val="0"/>
        <w:numPr>
          <w:ilvl w:val="0"/>
          <w:numId w:val="0"/>
        </w:numPr>
        <w:kinsoku/>
        <w:wordWrap/>
        <w:overflowPunct w:val="0"/>
        <w:topLinePunct/>
        <w:autoSpaceDE/>
        <w:autoSpaceDN/>
        <w:bidi w:val="0"/>
        <w:adjustRightInd/>
        <w:snapToGrid/>
        <w:spacing w:line="560" w:lineRule="exact"/>
        <w:ind w:firstLine="640" w:firstLineChars="200"/>
        <w:jc w:val="both"/>
        <w:textAlignment w:val="auto"/>
        <w:rPr>
          <w:rFonts w:hint="eastAsia" w:ascii="仿宋_GB2312" w:hAnsi="Calibri" w:eastAsia="仿宋_GB2312" w:cs="Times New Roman"/>
          <w:color w:val="auto"/>
          <w:sz w:val="32"/>
          <w:szCs w:val="32"/>
          <w:highlight w:val="none"/>
          <w:u w:val="none"/>
          <w:lang w:val="en-US" w:eastAsia="zh-CN"/>
        </w:rPr>
      </w:pPr>
      <w:r>
        <w:rPr>
          <w:rFonts w:hint="eastAsia" w:ascii="仿宋_GB2312" w:hAnsi="Calibri" w:eastAsia="仿宋_GB2312" w:cs="Times New Roman"/>
          <w:color w:val="auto"/>
          <w:sz w:val="32"/>
          <w:szCs w:val="32"/>
          <w:highlight w:val="none"/>
          <w:u w:val="none"/>
          <w:lang w:val="en-US" w:eastAsia="zh-CN"/>
        </w:rPr>
        <w:t>加快优质医疗资源扩容下沉和均衡布局，促进“三医”协同发展和治理，健全人口发展和支持服务体系，构建以健康为中心的整合型卫生健康服务体系。深化紧密型县域医共体建设，持续完善“1＋5＋20＋N”服务体系，推动业务、医技、药品等资源深度融合，扎实推进打包付费改革落地见效。依托街道（镇）卫生院资源建设县域医疗服务次中心，巩固社区医院建设成果，加快建设分级诊疗体系，夯实城乡基层医疗卫生服务网络，健全优质医疗卫生资源支持帮扶基层长效机制，聚力打造优质高效、系统连续的基本医疗卫生服务。重点加强乡村医疗卫生机构设备和服务功能提升，扶持一批薄弱卫生院，建强一批高水平卫生院。引导规范民营医院发展，实现与公立医院互补发展。</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2"/>
        <w:rPr>
          <w:rFonts w:hint="eastAsia" w:ascii="黑体" w:hAnsi="黑体" w:eastAsia="黑体" w:cs="黑体"/>
          <w:color w:val="auto"/>
          <w:spacing w:val="0"/>
          <w:w w:val="100"/>
          <w:kern w:val="21"/>
          <w:sz w:val="32"/>
          <w:szCs w:val="32"/>
          <w:highlight w:val="none"/>
          <w:lang w:val="en-US" w:eastAsia="zh-CN" w:bidi="ar-SA"/>
        </w:rPr>
      </w:pPr>
      <w:r>
        <w:rPr>
          <w:rFonts w:hint="eastAsia" w:ascii="黑体" w:hAnsi="黑体" w:eastAsia="黑体" w:cs="黑体"/>
          <w:color w:val="auto"/>
          <w:spacing w:val="0"/>
          <w:w w:val="100"/>
          <w:kern w:val="21"/>
          <w:sz w:val="32"/>
          <w:szCs w:val="32"/>
          <w:highlight w:val="none"/>
          <w:lang w:val="en-US" w:eastAsia="zh-CN" w:bidi="ar-SA"/>
        </w:rPr>
        <w:t>二、提升医疗服务保障能力</w:t>
      </w:r>
    </w:p>
    <w:p>
      <w:pPr>
        <w:keepNext w:val="0"/>
        <w:keepLines w:val="0"/>
        <w:pageBreakBefore w:val="0"/>
        <w:widowControl w:val="0"/>
        <w:kinsoku/>
        <w:wordWrap/>
        <w:overflowPunct w:val="0"/>
        <w:topLinePunct w:val="0"/>
        <w:autoSpaceDE/>
        <w:autoSpaceDN/>
        <w:bidi w:val="0"/>
        <w:adjustRightInd w:val="0"/>
        <w:snapToGrid w:val="0"/>
        <w:spacing w:line="560" w:lineRule="exact"/>
        <w:ind w:right="0" w:firstLine="640" w:firstLineChars="200"/>
        <w:jc w:val="left"/>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加强章丘区人民医院、章丘区中医医院、章丘区妇幼保健院等医疗机构医疗服务能力建设，扎实推进基层卫生综合改革。全面加强临床专科能力建设，强化儿科、康复科、结石病科服务供给，不断创新专病诊疗模式，推动全区主要疾病和重大疾病的临床专科达到省内领先水平。深入开展“千名医护进乡村”活动，实施“一院一专科”服务提升项目，推动优质医疗资源有序下沉。稳步实施病房改造和护理队伍建设，增加医院病床供给，实现“一般病在区内解决、日常疾病在基层解决”。全面实现区、街道（镇）、村（社区）三级医疗机构检验检查结果互认共享，提升基层诊疗协同效率。健全医疗机构医疗质量管理质控网络，加大质量控制监管力度，定期对医疗质量进行检查督导、分析点评。持续加强疾控中心设置管理和医疗质量管理。</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2"/>
        <w:rPr>
          <w:rFonts w:hint="eastAsia" w:ascii="黑体" w:hAnsi="黑体" w:eastAsia="黑体" w:cs="黑体"/>
          <w:color w:val="auto"/>
          <w:spacing w:val="0"/>
          <w:w w:val="100"/>
          <w:kern w:val="21"/>
          <w:sz w:val="32"/>
          <w:szCs w:val="32"/>
          <w:highlight w:val="none"/>
          <w:lang w:val="en-US" w:eastAsia="zh-CN" w:bidi="ar-SA"/>
        </w:rPr>
      </w:pPr>
      <w:r>
        <w:rPr>
          <w:rFonts w:hint="eastAsia" w:ascii="黑体" w:hAnsi="黑体" w:eastAsia="黑体" w:cs="黑体"/>
          <w:color w:val="auto"/>
          <w:spacing w:val="0"/>
          <w:w w:val="100"/>
          <w:kern w:val="21"/>
          <w:sz w:val="32"/>
          <w:szCs w:val="32"/>
          <w:highlight w:val="none"/>
          <w:lang w:val="en-US" w:eastAsia="zh-CN" w:bidi="ar-SA"/>
        </w:rPr>
        <w:t>三、推动中医药传承创新发展</w:t>
      </w:r>
    </w:p>
    <w:p>
      <w:pPr>
        <w:keepNext w:val="0"/>
        <w:keepLines w:val="0"/>
        <w:pageBreakBefore w:val="0"/>
        <w:widowControl w:val="0"/>
        <w:numPr>
          <w:ilvl w:val="0"/>
          <w:numId w:val="0"/>
        </w:numPr>
        <w:kinsoku/>
        <w:wordWrap/>
        <w:overflowPunct w:val="0"/>
        <w:topLinePunct/>
        <w:autoSpaceDE/>
        <w:autoSpaceDN/>
        <w:bidi w:val="0"/>
        <w:adjustRightInd/>
        <w:snapToGrid/>
        <w:spacing w:line="560" w:lineRule="exact"/>
        <w:ind w:firstLine="640" w:firstLineChars="200"/>
        <w:jc w:val="both"/>
        <w:textAlignment w:val="auto"/>
        <w:rPr>
          <w:rFonts w:hint="eastAsia" w:ascii="仿宋_GB2312" w:hAnsi="Calibri" w:eastAsia="仿宋_GB2312" w:cs="Times New Roman"/>
          <w:color w:val="auto"/>
          <w:sz w:val="32"/>
          <w:szCs w:val="32"/>
          <w:highlight w:val="none"/>
          <w:u w:val="none"/>
          <w:lang w:val="en-US" w:eastAsia="zh-CN"/>
        </w:rPr>
      </w:pPr>
      <w:r>
        <w:rPr>
          <w:rFonts w:hint="eastAsia" w:ascii="仿宋_GB2312" w:hAnsi="Calibri" w:eastAsia="仿宋_GB2312" w:cs="Times New Roman"/>
          <w:color w:val="auto"/>
          <w:sz w:val="32"/>
          <w:szCs w:val="32"/>
          <w:highlight w:val="none"/>
          <w:u w:val="none"/>
          <w:lang w:val="en-US" w:eastAsia="zh-CN"/>
        </w:rPr>
        <w:t>坚持中西医并重、中西药并用，提高章丘区中医医院中医诊疗水平，完善中医药传承创新发展机制，积极培育国家级、省级重点专科（学科），加强中医优势专科集群建设，系统培育中医药特色服务品牌。探索建立县域中医药发展评价指数，建立健全社会经济发展考核中医药要素体系，建立和完善符合中医药特点的科研评价标准、疗效评价体系。鼓励医疗机构开展中西医结合参与防治重大、难治、罕见疾病和新发突发传染病等临床研究，加快中医关键技术装备和中药新药创新研究。聚焦妇女、儿童、老年人及青少年等重点人群，深入开展中医药健康促进专项行动。优化中医药服务体系布局，统筹推进中医药人才队伍、创新能力、文化实力、产业发展和信息化建设，加大中医药适宜技术和特色疗法推广应用力度，丰富中医药救治手段。</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2"/>
        <w:rPr>
          <w:rFonts w:hint="eastAsia" w:ascii="黑体" w:hAnsi="黑体" w:eastAsia="黑体" w:cs="黑体"/>
          <w:color w:val="auto"/>
          <w:spacing w:val="0"/>
          <w:w w:val="100"/>
          <w:kern w:val="21"/>
          <w:sz w:val="32"/>
          <w:szCs w:val="32"/>
          <w:highlight w:val="none"/>
          <w:lang w:val="en-US" w:eastAsia="zh-CN" w:bidi="ar-SA"/>
        </w:rPr>
      </w:pPr>
      <w:r>
        <w:rPr>
          <w:rFonts w:hint="eastAsia" w:ascii="黑体" w:hAnsi="黑体" w:eastAsia="黑体" w:cs="黑体"/>
          <w:color w:val="auto"/>
          <w:spacing w:val="0"/>
          <w:w w:val="100"/>
          <w:kern w:val="21"/>
          <w:sz w:val="32"/>
          <w:szCs w:val="32"/>
          <w:highlight w:val="none"/>
          <w:lang w:val="en-US" w:eastAsia="zh-CN" w:bidi="ar-SA"/>
        </w:rPr>
        <w:t>四、筑牢全民健康防线</w:t>
      </w:r>
    </w:p>
    <w:p>
      <w:pPr>
        <w:keepNext w:val="0"/>
        <w:keepLines w:val="0"/>
        <w:pageBreakBefore w:val="0"/>
        <w:widowControl w:val="0"/>
        <w:numPr>
          <w:ilvl w:val="0"/>
          <w:numId w:val="0"/>
        </w:numPr>
        <w:kinsoku/>
        <w:wordWrap/>
        <w:overflowPunct w:val="0"/>
        <w:topLinePunct/>
        <w:autoSpaceDE/>
        <w:autoSpaceDN/>
        <w:bidi w:val="0"/>
        <w:adjustRightInd/>
        <w:snapToGrid/>
        <w:spacing w:line="560" w:lineRule="exact"/>
        <w:ind w:firstLine="640" w:firstLineChars="200"/>
        <w:jc w:val="both"/>
        <w:textAlignment w:val="auto"/>
        <w:rPr>
          <w:rFonts w:hint="eastAsia" w:ascii="仿宋_GB2312" w:hAnsi="Calibri" w:eastAsia="仿宋_GB2312" w:cs="Times New Roman"/>
          <w:color w:val="auto"/>
          <w:sz w:val="32"/>
          <w:szCs w:val="32"/>
          <w:highlight w:val="none"/>
          <w:u w:val="none"/>
          <w:lang w:val="en-US" w:eastAsia="zh-CN"/>
        </w:rPr>
      </w:pPr>
      <w:r>
        <w:rPr>
          <w:rFonts w:hint="eastAsia" w:ascii="仿宋_GB2312" w:hAnsi="Calibri" w:eastAsia="仿宋_GB2312" w:cs="Times New Roman"/>
          <w:color w:val="auto"/>
          <w:sz w:val="32"/>
          <w:szCs w:val="32"/>
          <w:highlight w:val="none"/>
          <w:u w:val="none"/>
          <w:lang w:val="en-US" w:eastAsia="zh-CN"/>
        </w:rPr>
        <w:t>加强预防接种体系建设，保持高水平基础免疫接种率，加强预防接种规范化管理，实施重点人群疫苗免费预防接种策略。深入开展爱国卫生运动，倡导文明健康、绿色环保生活方式，推进健康乡村建设，提升全社会卫生健康治理水平。完善妇女、儿童、老年人等重点群体健康服务体系，加强职业健康管理。推动食品安全风险监测提质增效，提升食源性疾病监测、预警和暴发应对处置能力。深入开展营养健康食堂（餐厅）、营养健康学校建设，发挥营养健康单位的示范引领作用。加强心理健康和精神卫生服务。完善全民健身公共服务体系建设，开展多种形式全民健身活动，推进学校体育场地对公众开放，促进全民体育发展。坚持预防为主平急结合，强化公共卫生事件研判能力和预防能力，实施传染病医疗救治能力提升工程，打造“平急两用”医疗服务体系，提升平急转换能力。健全医疗机构与疾控、妇幼、精神卫生等专业卫生机构协作机制，推进疾病三级预防和连续管理，全方位维护人民健康。</w:t>
      </w:r>
    </w:p>
    <w:p>
      <w:pPr>
        <w:keepNext w:val="0"/>
        <w:keepLines w:val="0"/>
        <w:pageBreakBefore w:val="0"/>
        <w:widowControl w:val="0"/>
        <w:kinsoku/>
        <w:wordWrap/>
        <w:overflowPunct w:val="0"/>
        <w:topLinePunct w:val="0"/>
        <w:autoSpaceDE/>
        <w:autoSpaceDN/>
        <w:bidi w:val="0"/>
        <w:adjustRightInd w:val="0"/>
        <w:snapToGrid w:val="0"/>
        <w:spacing w:before="157" w:beforeLines="50" w:beforeAutospacing="0" w:after="157" w:afterLines="50" w:afterAutospacing="0" w:line="560" w:lineRule="exact"/>
        <w:ind w:left="0" w:leftChars="0" w:firstLine="0" w:firstLineChars="0"/>
        <w:jc w:val="center"/>
        <w:textAlignment w:val="auto"/>
        <w:outlineLvl w:val="1"/>
        <w:rPr>
          <w:rFonts w:hint="eastAsia" w:ascii="文星标宋" w:hAnsi="文星标宋" w:eastAsia="文星标宋" w:cs="文星标宋"/>
          <w:bCs/>
          <w:color w:val="auto"/>
          <w:kern w:val="44"/>
          <w:sz w:val="32"/>
          <w:szCs w:val="48"/>
          <w:highlight w:val="none"/>
          <w:lang w:val="en-US" w:eastAsia="zh-CN" w:bidi="ar"/>
        </w:rPr>
      </w:pPr>
      <w:bookmarkStart w:id="120" w:name="_Toc28229"/>
      <w:r>
        <w:rPr>
          <w:rFonts w:hint="eastAsia" w:ascii="文星标宋" w:hAnsi="文星标宋" w:eastAsia="文星标宋" w:cs="文星标宋"/>
          <w:bCs/>
          <w:color w:val="auto"/>
          <w:kern w:val="44"/>
          <w:sz w:val="32"/>
          <w:szCs w:val="48"/>
          <w:highlight w:val="none"/>
          <w:lang w:val="en-US" w:eastAsia="zh-CN" w:bidi="ar"/>
        </w:rPr>
        <w:t>第四节  持续提升社会保障水平</w:t>
      </w:r>
      <w:bookmarkEnd w:id="119"/>
      <w:bookmarkEnd w:id="120"/>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2"/>
        <w:rPr>
          <w:rFonts w:hint="eastAsia" w:ascii="黑体" w:hAnsi="黑体" w:eastAsia="黑体" w:cs="黑体"/>
          <w:color w:val="auto"/>
          <w:spacing w:val="0"/>
          <w:w w:val="100"/>
          <w:kern w:val="21"/>
          <w:sz w:val="32"/>
          <w:szCs w:val="32"/>
          <w:highlight w:val="none"/>
          <w:lang w:val="en-US" w:eastAsia="zh-CN" w:bidi="ar-SA"/>
        </w:rPr>
      </w:pPr>
      <w:r>
        <w:rPr>
          <w:rFonts w:hint="eastAsia" w:ascii="黑体" w:hAnsi="黑体" w:eastAsia="黑体" w:cs="黑体"/>
          <w:color w:val="auto"/>
          <w:spacing w:val="0"/>
          <w:w w:val="100"/>
          <w:kern w:val="21"/>
          <w:sz w:val="32"/>
          <w:szCs w:val="32"/>
          <w:highlight w:val="none"/>
          <w:lang w:val="en-US" w:eastAsia="zh-CN" w:bidi="ar-SA"/>
        </w:rPr>
        <w:t>一、健全多层次养老保险体系</w:t>
      </w:r>
    </w:p>
    <w:p>
      <w:pPr>
        <w:keepNext w:val="0"/>
        <w:keepLines w:val="0"/>
        <w:pageBreakBefore w:val="0"/>
        <w:widowControl w:val="0"/>
        <w:numPr>
          <w:ilvl w:val="0"/>
          <w:numId w:val="0"/>
        </w:numPr>
        <w:kinsoku/>
        <w:wordWrap/>
        <w:overflowPunct w:val="0"/>
        <w:topLinePunct/>
        <w:autoSpaceDE/>
        <w:autoSpaceDN/>
        <w:bidi w:val="0"/>
        <w:adjustRightInd/>
        <w:snapToGrid/>
        <w:spacing w:line="560" w:lineRule="exact"/>
        <w:ind w:firstLine="640" w:firstLineChars="200"/>
        <w:jc w:val="both"/>
        <w:textAlignment w:val="auto"/>
        <w:outlineLvl w:val="9"/>
        <w:rPr>
          <w:rFonts w:hint="eastAsia" w:ascii="楷体_GB2312" w:hAnsi="楷体_GB2312" w:eastAsia="楷体_GB2312" w:cs="楷体_GB2312"/>
          <w:color w:val="auto"/>
          <w:sz w:val="32"/>
          <w:szCs w:val="32"/>
          <w:highlight w:val="none"/>
          <w:u w:val="none"/>
          <w:lang w:val="en-US" w:eastAsia="zh-CN"/>
        </w:rPr>
      </w:pPr>
      <w:r>
        <w:rPr>
          <w:rFonts w:hint="eastAsia" w:ascii="仿宋_GB2312" w:hAnsi="Calibri" w:eastAsia="仿宋_GB2312" w:cs="Times New Roman"/>
          <w:color w:val="auto"/>
          <w:sz w:val="32"/>
          <w:szCs w:val="32"/>
          <w:highlight w:val="none"/>
          <w:u w:val="none"/>
          <w:lang w:val="en-US" w:eastAsia="zh-CN"/>
        </w:rPr>
        <w:t>深入实施“全民参保·福暖万家”工程，引导更多符合条件的灵活就业人员、农民工、新就业形态人员参加社会保险，促进高质量全民参保。推动居民养老保险适龄参保人员应保尽保，落实被征地农民参加基本养老保险及缴费困难群体帮扶政策。扩大工伤保险覆盖面，落实特定从业人员参加工伤保险制度，促进工伤保险政策向职业劳动者的广覆盖。做好城镇职工基本养老金、工伤保险待遇调整工作，落实逐步提高居民养老保险基础养老金政策。落实基本养老保险全国统筹政策，推广应用统一的社保公共服务平台和经办管理服务，推动社会保险关系转移接续等社保经办服务更加便捷高效。按照上级发展多层次多支柱养老保险工作部署，做好个人养老金制度落实。</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2"/>
        <w:rPr>
          <w:rFonts w:hint="eastAsia" w:ascii="黑体" w:hAnsi="黑体" w:eastAsia="黑体" w:cs="黑体"/>
          <w:color w:val="auto"/>
          <w:spacing w:val="0"/>
          <w:w w:val="100"/>
          <w:kern w:val="21"/>
          <w:sz w:val="32"/>
          <w:szCs w:val="32"/>
          <w:highlight w:val="none"/>
          <w:lang w:val="en-US" w:eastAsia="zh-CN" w:bidi="ar-SA"/>
        </w:rPr>
      </w:pPr>
      <w:r>
        <w:rPr>
          <w:rFonts w:hint="eastAsia" w:ascii="黑体" w:hAnsi="黑体" w:eastAsia="黑体" w:cs="黑体"/>
          <w:color w:val="auto"/>
          <w:spacing w:val="0"/>
          <w:w w:val="100"/>
          <w:kern w:val="21"/>
          <w:sz w:val="32"/>
          <w:szCs w:val="32"/>
          <w:highlight w:val="none"/>
          <w:lang w:val="en-US" w:eastAsia="zh-CN" w:bidi="ar-SA"/>
        </w:rPr>
        <w:t>二、完善医疗保障体系建设</w:t>
      </w:r>
    </w:p>
    <w:p>
      <w:pPr>
        <w:keepNext w:val="0"/>
        <w:keepLines w:val="0"/>
        <w:pageBreakBefore w:val="0"/>
        <w:widowControl w:val="0"/>
        <w:numPr>
          <w:ilvl w:val="0"/>
          <w:numId w:val="0"/>
        </w:numPr>
        <w:kinsoku/>
        <w:wordWrap/>
        <w:overflowPunct w:val="0"/>
        <w:topLinePunct/>
        <w:autoSpaceDE/>
        <w:autoSpaceDN/>
        <w:bidi w:val="0"/>
        <w:adjustRightInd/>
        <w:snapToGrid/>
        <w:spacing w:line="560" w:lineRule="exact"/>
        <w:ind w:firstLine="640" w:firstLineChars="200"/>
        <w:jc w:val="both"/>
        <w:textAlignment w:val="auto"/>
        <w:rPr>
          <w:rFonts w:hint="eastAsia" w:ascii="仿宋_GB2312" w:hAnsi="Calibri" w:eastAsia="仿宋_GB2312" w:cs="Times New Roman"/>
          <w:color w:val="auto"/>
          <w:sz w:val="32"/>
          <w:szCs w:val="32"/>
          <w:highlight w:val="none"/>
          <w:u w:val="none"/>
          <w:lang w:val="en-US" w:eastAsia="zh-CN"/>
        </w:rPr>
      </w:pPr>
      <w:r>
        <w:rPr>
          <w:rFonts w:hint="eastAsia" w:ascii="仿宋_GB2312" w:hAnsi="Calibri" w:eastAsia="仿宋_GB2312" w:cs="Times New Roman"/>
          <w:color w:val="auto"/>
          <w:sz w:val="32"/>
          <w:szCs w:val="32"/>
          <w:highlight w:val="none"/>
          <w:u w:val="none"/>
          <w:lang w:val="en-US" w:eastAsia="zh-CN"/>
        </w:rPr>
        <w:t>巩固拓展全民参保成果，全面实现医保经办服务事项全程网办，推动更多就医“一件事”高效集成办理，实现从参保登记到待遇享受全链条衔接，推进部门信息共享机制，实现精准扩面、应保尽保。严格落实医疗保障待遇清单制度，落实重特大疾病医疗保险和救助制度，完善职工大额医疗费用补助。发挥各类商业保险补充保障作用，做好与基本医疗保险衔接，促进多层次医疗保障体系发展。构建权责明晰、严密有力、安全规范、法治高效的医保基金使用常态化监管体系，建立健全激励和约束并重的监管机制，强化定点医药机构规范使用医保基金的主体责任。建立完善以市场为主导的药品、医用耗材价格形成机制，完善药品供应和采购信息共享机制，建立健全药品价格常态化监管机制。强化异地就医跨区域业务协同机制，完善异地就医结算政策，实行参保地和就医地同质化管理。加强基金运行分析和风险预警，守好“两条线”，防范基金运行风险。</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2"/>
        <w:rPr>
          <w:rFonts w:hint="default" w:ascii="黑体" w:hAnsi="黑体" w:eastAsia="黑体" w:cs="黑体"/>
          <w:color w:val="auto"/>
          <w:spacing w:val="0"/>
          <w:w w:val="100"/>
          <w:kern w:val="21"/>
          <w:sz w:val="32"/>
          <w:szCs w:val="32"/>
          <w:highlight w:val="none"/>
          <w:lang w:val="en-US" w:eastAsia="zh-CN" w:bidi="ar-SA"/>
        </w:rPr>
      </w:pPr>
      <w:r>
        <w:rPr>
          <w:rFonts w:hint="eastAsia" w:ascii="黑体" w:hAnsi="黑体" w:eastAsia="黑体" w:cs="黑体"/>
          <w:color w:val="auto"/>
          <w:spacing w:val="0"/>
          <w:w w:val="100"/>
          <w:kern w:val="21"/>
          <w:sz w:val="32"/>
          <w:szCs w:val="32"/>
          <w:highlight w:val="none"/>
          <w:lang w:val="en-US" w:eastAsia="zh-CN" w:bidi="ar-SA"/>
        </w:rPr>
        <w:t>三、落实重点群体社会保障和社会救助</w:t>
      </w:r>
    </w:p>
    <w:p>
      <w:pPr>
        <w:keepNext w:val="0"/>
        <w:keepLines w:val="0"/>
        <w:pageBreakBefore w:val="0"/>
        <w:widowControl w:val="0"/>
        <w:numPr>
          <w:ilvl w:val="0"/>
          <w:numId w:val="0"/>
        </w:numPr>
        <w:kinsoku/>
        <w:wordWrap/>
        <w:overflowPunct w:val="0"/>
        <w:topLinePunct/>
        <w:autoSpaceDE/>
        <w:autoSpaceDN/>
        <w:bidi w:val="0"/>
        <w:adjustRightInd/>
        <w:snapToGrid/>
        <w:spacing w:line="560" w:lineRule="exact"/>
        <w:ind w:firstLine="640" w:firstLineChars="200"/>
        <w:jc w:val="both"/>
        <w:textAlignment w:val="auto"/>
        <w:rPr>
          <w:rFonts w:hint="eastAsia" w:ascii="仿宋_GB2312" w:hAnsi="Calibri" w:eastAsia="仿宋_GB2312" w:cs="Times New Roman"/>
          <w:color w:val="auto"/>
          <w:sz w:val="32"/>
          <w:szCs w:val="32"/>
          <w:highlight w:val="none"/>
          <w:u w:val="none"/>
          <w:lang w:val="en-US" w:eastAsia="zh-CN"/>
        </w:rPr>
      </w:pPr>
      <w:r>
        <w:rPr>
          <w:rFonts w:hint="eastAsia" w:ascii="仿宋_GB2312" w:hAnsi="仿宋_GB2312" w:eastAsia="仿宋_GB2312" w:cs="仿宋_GB2312"/>
          <w:b w:val="0"/>
          <w:bCs/>
          <w:caps w:val="0"/>
          <w:color w:val="auto"/>
          <w:spacing w:val="0"/>
          <w:kern w:val="2"/>
          <w:sz w:val="32"/>
          <w:szCs w:val="32"/>
          <w:highlight w:val="none"/>
          <w:lang w:val="en-US" w:eastAsia="zh-CN" w:bidi="ar-SA"/>
        </w:rPr>
        <w:t>健全社会救助体系，提升救助效能，积极推进综合救助，在有效保障困难群众基本生活的基础上，推动社会救助向“物质＋服务”综合救助转变。</w:t>
      </w:r>
      <w:r>
        <w:rPr>
          <w:rFonts w:hint="eastAsia" w:ascii="仿宋_GB2312" w:hAnsi="Calibri" w:eastAsia="仿宋_GB2312" w:cs="Times New Roman"/>
          <w:color w:val="auto"/>
          <w:sz w:val="32"/>
          <w:szCs w:val="32"/>
          <w:highlight w:val="none"/>
          <w:u w:val="none"/>
          <w:lang w:val="en-US" w:eastAsia="zh-CN"/>
        </w:rPr>
        <w:t>精准保障孤困儿童基本生活，大力实施助医、助学、助康项目，助力孤困儿童健康快乐成长。落实残疾人“两项补贴”制度，加大数据比对和动态复核力度，推动补贴资金更精准更公平惠及残疾人群体。重视精神障碍者康复，持续推进“精康融合三年行动”。</w:t>
      </w:r>
      <w:r>
        <w:rPr>
          <w:rFonts w:hint="eastAsia" w:ascii="仿宋_GB2312" w:hAnsi="仿宋_GB2312" w:eastAsia="仿宋_GB2312" w:cs="仿宋_GB2312"/>
          <w:color w:val="auto"/>
          <w:sz w:val="32"/>
          <w:szCs w:val="32"/>
          <w:highlight w:val="none"/>
          <w:lang w:val="en-US" w:eastAsia="zh-CN"/>
        </w:rPr>
        <w:t>逐步完善失地农民社会保障机制，推动失地农民与城镇居民养老保险制度相衔接。</w:t>
      </w:r>
      <w:r>
        <w:rPr>
          <w:rFonts w:hint="eastAsia" w:ascii="仿宋_GB2312" w:hAnsi="Calibri" w:eastAsia="仿宋_GB2312" w:cs="Times New Roman"/>
          <w:color w:val="auto"/>
          <w:sz w:val="32"/>
          <w:szCs w:val="32"/>
          <w:highlight w:val="none"/>
          <w:u w:val="none"/>
          <w:lang w:val="en-US" w:eastAsia="zh-CN"/>
        </w:rPr>
        <w:t>重点对失业人员、灵活就业人员、低保边缘人员、防止返贫监测对象等重点群体，做好基本生活救助、医疗救助和临时救助，继续实施对低保居民和特困职工在水、气、暖方面的价格优惠政策，有效保障困难群众基本生活。推动社会救助向“物质＋服务”综合救助转变，对分散供养特困人员、生活不能自理的低保人员、困难家庭学龄阶段的年轻人等，提供多样化救助和照料方式。坚持男女平等基本国策，保障妇女儿童合法权益。做好新时代双拥工作，加强退役军人服务保障，严格落实国家关于退役金、抚恤金、优待金等动态调整政策，完善优待制度。</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2"/>
        <w:rPr>
          <w:rFonts w:hint="default" w:ascii="黑体" w:hAnsi="黑体" w:eastAsia="黑体" w:cs="黑体"/>
          <w:color w:val="auto"/>
          <w:spacing w:val="0"/>
          <w:w w:val="100"/>
          <w:kern w:val="21"/>
          <w:sz w:val="32"/>
          <w:szCs w:val="32"/>
          <w:highlight w:val="none"/>
          <w:lang w:val="en-US" w:eastAsia="zh-CN" w:bidi="ar-SA"/>
        </w:rPr>
      </w:pPr>
      <w:r>
        <w:rPr>
          <w:rFonts w:hint="eastAsia" w:ascii="黑体" w:hAnsi="黑体" w:eastAsia="黑体" w:cs="黑体"/>
          <w:color w:val="auto"/>
          <w:spacing w:val="0"/>
          <w:w w:val="100"/>
          <w:kern w:val="21"/>
          <w:sz w:val="32"/>
          <w:szCs w:val="32"/>
          <w:highlight w:val="none"/>
          <w:lang w:val="en-US" w:eastAsia="zh-CN" w:bidi="ar-SA"/>
        </w:rPr>
        <w:t>四、提升居民住房品质</w:t>
      </w:r>
    </w:p>
    <w:p>
      <w:pPr>
        <w:keepNext w:val="0"/>
        <w:keepLines w:val="0"/>
        <w:pageBreakBefore w:val="0"/>
        <w:widowControl w:val="0"/>
        <w:numPr>
          <w:ilvl w:val="0"/>
          <w:numId w:val="0"/>
        </w:numPr>
        <w:kinsoku/>
        <w:wordWrap/>
        <w:overflowPunct w:val="0"/>
        <w:topLinePunct/>
        <w:autoSpaceDE/>
        <w:autoSpaceDN/>
        <w:bidi w:val="0"/>
        <w:adjustRightInd/>
        <w:snapToGrid/>
        <w:spacing w:line="560" w:lineRule="exact"/>
        <w:ind w:firstLine="640" w:firstLineChars="200"/>
        <w:jc w:val="both"/>
        <w:textAlignment w:val="auto"/>
        <w:rPr>
          <w:rFonts w:hint="eastAsia" w:ascii="仿宋_GB2312" w:hAnsi="Calibri" w:eastAsia="仿宋_GB2312" w:cs="Times New Roman"/>
          <w:color w:val="auto"/>
          <w:sz w:val="32"/>
          <w:szCs w:val="32"/>
          <w:highlight w:val="none"/>
          <w:u w:val="none"/>
          <w:lang w:val="en-US" w:eastAsia="zh-CN"/>
        </w:rPr>
      </w:pPr>
      <w:r>
        <w:rPr>
          <w:rFonts w:hint="eastAsia" w:ascii="仿宋_GB2312" w:hAnsi="Calibri" w:eastAsia="仿宋_GB2312" w:cs="Times New Roman"/>
          <w:color w:val="auto"/>
          <w:sz w:val="32"/>
          <w:szCs w:val="32"/>
          <w:highlight w:val="none"/>
          <w:u w:val="none"/>
          <w:lang w:val="en-US" w:eastAsia="zh-CN"/>
        </w:rPr>
        <w:t>扩大保障性住房供给，加快发展保障性租赁住房，着力构建公租房、保障性租赁住房和配售型保障性住房的多层次住房保障体系，解决新市民和青年人群住房困难问题。增加改善性住房供给，加力实施城中村和危旧房改造，推进货币化安置，着力改善居住条件。建设安全、舒适、绿色、智能的“好房子”，优化高品质住宅规划布局，进一步完善建筑设计、工程质量、社区服务等领域，实施房屋品质提升工程和物业服务质量提升行动。完善房地产相关政策支持体系，推动高品质住宅建设与城市更新、产业发展相协调。建立房屋全生命周期安全管理制度，推动城市体检、房屋养老、房屋保险三项制度深入实施。</w:t>
      </w:r>
    </w:p>
    <w:p>
      <w:pPr>
        <w:keepNext w:val="0"/>
        <w:keepLines w:val="0"/>
        <w:pageBreakBefore w:val="0"/>
        <w:widowControl w:val="0"/>
        <w:kinsoku/>
        <w:wordWrap/>
        <w:overflowPunct w:val="0"/>
        <w:topLinePunct w:val="0"/>
        <w:autoSpaceDE/>
        <w:autoSpaceDN/>
        <w:bidi w:val="0"/>
        <w:adjustRightInd w:val="0"/>
        <w:snapToGrid w:val="0"/>
        <w:spacing w:before="157" w:beforeLines="50" w:beforeAutospacing="0" w:after="157" w:afterLines="50" w:afterAutospacing="0" w:line="560" w:lineRule="exact"/>
        <w:ind w:left="0" w:leftChars="0" w:firstLine="0" w:firstLineChars="0"/>
        <w:jc w:val="center"/>
        <w:textAlignment w:val="auto"/>
        <w:outlineLvl w:val="1"/>
        <w:rPr>
          <w:rFonts w:hint="eastAsia" w:ascii="文星标宋" w:hAnsi="文星标宋" w:eastAsia="文星标宋" w:cs="文星标宋"/>
          <w:bCs/>
          <w:color w:val="auto"/>
          <w:kern w:val="44"/>
          <w:sz w:val="32"/>
          <w:szCs w:val="48"/>
          <w:highlight w:val="none"/>
          <w:lang w:val="en-US" w:eastAsia="zh-CN" w:bidi="ar"/>
        </w:rPr>
      </w:pPr>
      <w:bookmarkStart w:id="121" w:name="_Toc19543"/>
      <w:r>
        <w:rPr>
          <w:rFonts w:hint="eastAsia" w:ascii="文星标宋" w:hAnsi="文星标宋" w:eastAsia="文星标宋" w:cs="文星标宋"/>
          <w:bCs/>
          <w:color w:val="auto"/>
          <w:kern w:val="44"/>
          <w:sz w:val="32"/>
          <w:szCs w:val="48"/>
          <w:highlight w:val="none"/>
          <w:lang w:val="en-US" w:eastAsia="zh-CN" w:bidi="ar"/>
        </w:rPr>
        <w:t>第五节  促进人口高质量发展</w:t>
      </w:r>
      <w:bookmarkEnd w:id="121"/>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2"/>
        <w:rPr>
          <w:rFonts w:hint="eastAsia" w:ascii="黑体" w:hAnsi="黑体" w:eastAsia="黑体" w:cs="黑体"/>
          <w:color w:val="auto"/>
          <w:spacing w:val="0"/>
          <w:w w:val="100"/>
          <w:kern w:val="21"/>
          <w:sz w:val="32"/>
          <w:szCs w:val="32"/>
          <w:highlight w:val="none"/>
          <w:lang w:val="en-US" w:eastAsia="zh-CN" w:bidi="ar-SA"/>
        </w:rPr>
      </w:pPr>
      <w:r>
        <w:rPr>
          <w:rFonts w:hint="eastAsia" w:ascii="黑体" w:hAnsi="黑体" w:eastAsia="黑体" w:cs="黑体"/>
          <w:color w:val="auto"/>
          <w:spacing w:val="0"/>
          <w:w w:val="100"/>
          <w:kern w:val="21"/>
          <w:sz w:val="32"/>
          <w:szCs w:val="32"/>
          <w:highlight w:val="none"/>
          <w:lang w:val="en-US" w:eastAsia="zh-CN" w:bidi="ar-SA"/>
        </w:rPr>
        <w:t>一、构建生育友好型城区</w:t>
      </w:r>
    </w:p>
    <w:p>
      <w:pPr>
        <w:keepNext w:val="0"/>
        <w:keepLines w:val="0"/>
        <w:pageBreakBefore w:val="0"/>
        <w:widowControl w:val="0"/>
        <w:numPr>
          <w:ilvl w:val="0"/>
          <w:numId w:val="0"/>
        </w:numPr>
        <w:kinsoku/>
        <w:wordWrap/>
        <w:overflowPunct w:val="0"/>
        <w:topLinePunct/>
        <w:autoSpaceDE/>
        <w:autoSpaceDN/>
        <w:bidi w:val="0"/>
        <w:adjustRightInd/>
        <w:snapToGrid/>
        <w:spacing w:line="560" w:lineRule="exact"/>
        <w:ind w:firstLine="640" w:firstLineChars="200"/>
        <w:jc w:val="both"/>
        <w:textAlignment w:val="auto"/>
        <w:rPr>
          <w:rFonts w:hint="default" w:ascii="仿宋_GB2312" w:hAnsi="Calibri" w:eastAsia="仿宋_GB2312" w:cs="Times New Roman"/>
          <w:color w:val="auto"/>
          <w:sz w:val="32"/>
          <w:szCs w:val="32"/>
          <w:highlight w:val="none"/>
          <w:u w:val="none"/>
          <w:lang w:val="en-US" w:eastAsia="zh-CN"/>
        </w:rPr>
      </w:pPr>
      <w:r>
        <w:rPr>
          <w:rFonts w:hint="eastAsia" w:ascii="仿宋_GB2312" w:hAnsi="Calibri" w:eastAsia="仿宋_GB2312" w:cs="Times New Roman"/>
          <w:color w:val="auto"/>
          <w:sz w:val="32"/>
          <w:szCs w:val="32"/>
          <w:highlight w:val="none"/>
          <w:u w:val="none"/>
          <w:lang w:val="en-US" w:eastAsia="zh-CN"/>
        </w:rPr>
        <w:t>健全生育支持政策体系，持续落实和完善国家、省、市生育津贴、托育奖补、社保补贴、个税减免等各类政策。健全教育减免制度。健全托育服务体系，统筹家庭照护、社区统筹、社会兴办、单位自建、幼儿园办托班等模式，扩大公办托育、社区嵌入式托育、用人单位办托服务供给，推动发展托幼一体、低月龄托育服务，探索普惠托育基本公共服务、教育托育设施动态调整机制。提升妇幼健康服务能力，完善妇幼健康服务机构基础设施，健全分级诊疗、医保支付、绩效分配制度，筑牢妇幼健康服务阵地。倡导积极婚育、尊重生育的社会价值，提倡适龄婚育、优生优育、夫妻共担育儿责任。</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2"/>
        <w:rPr>
          <w:rFonts w:hint="eastAsia" w:ascii="黑体" w:hAnsi="黑体" w:eastAsia="黑体" w:cs="黑体"/>
          <w:color w:val="auto"/>
          <w:spacing w:val="0"/>
          <w:w w:val="100"/>
          <w:kern w:val="21"/>
          <w:sz w:val="32"/>
          <w:szCs w:val="32"/>
          <w:highlight w:val="none"/>
          <w:lang w:val="en-US" w:eastAsia="zh-CN" w:bidi="ar-SA"/>
        </w:rPr>
      </w:pPr>
      <w:r>
        <w:rPr>
          <w:rFonts w:hint="eastAsia" w:ascii="黑体" w:hAnsi="黑体" w:eastAsia="黑体" w:cs="黑体"/>
          <w:color w:val="auto"/>
          <w:spacing w:val="0"/>
          <w:w w:val="100"/>
          <w:kern w:val="21"/>
          <w:sz w:val="32"/>
          <w:szCs w:val="32"/>
          <w:highlight w:val="none"/>
          <w:lang w:val="en-US" w:eastAsia="zh-CN" w:bidi="ar-SA"/>
        </w:rPr>
        <w:t>二、积极建设儿童友好型城区</w:t>
      </w:r>
    </w:p>
    <w:p>
      <w:pPr>
        <w:keepNext w:val="0"/>
        <w:keepLines w:val="0"/>
        <w:pageBreakBefore w:val="0"/>
        <w:widowControl w:val="0"/>
        <w:kinsoku/>
        <w:wordWrap/>
        <w:overflowPunct w:val="0"/>
        <w:topLinePunct w:val="0"/>
        <w:autoSpaceDE/>
        <w:autoSpaceDN/>
        <w:bidi w:val="0"/>
        <w:adjustRightInd w:val="0"/>
        <w:snapToGrid w:val="0"/>
        <w:spacing w:beforeAutospacing="0" w:line="560" w:lineRule="exact"/>
        <w:ind w:firstLine="640" w:firstLineChars="200"/>
        <w:textAlignment w:val="auto"/>
        <w:rPr>
          <w:rFonts w:hint="eastAsia" w:ascii="仿宋_GB2312" w:hAnsi="Calibri" w:eastAsia="仿宋_GB2312" w:cs="Times New Roman"/>
          <w:color w:val="auto"/>
          <w:sz w:val="32"/>
          <w:szCs w:val="32"/>
          <w:highlight w:val="none"/>
          <w:u w:val="none"/>
          <w:lang w:val="en-US" w:eastAsia="zh-CN"/>
        </w:rPr>
      </w:pPr>
      <w:r>
        <w:rPr>
          <w:rFonts w:hint="eastAsia" w:ascii="仿宋_GB2312" w:hAnsi="仿宋_GB2312" w:eastAsia="仿宋_GB2312" w:cs="仿宋_GB2312"/>
          <w:b w:val="0"/>
          <w:bCs w:val="0"/>
          <w:color w:val="auto"/>
          <w:sz w:val="32"/>
          <w:szCs w:val="32"/>
          <w:highlight w:val="none"/>
        </w:rPr>
        <w:t>践行“一米高度看城市”理念</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落实全市儿童友好城市建设方案重点任务，在制定与儿童相关的公共政策和决策中，优先考虑儿童需求。围绕</w:t>
      </w:r>
      <w:r>
        <w:rPr>
          <w:rFonts w:hint="eastAsia" w:ascii="仿宋_GB2312" w:hAnsi="仿宋_GB2312" w:eastAsia="仿宋_GB2312" w:cs="仿宋_GB2312"/>
          <w:b w:val="0"/>
          <w:bCs w:val="0"/>
          <w:color w:val="auto"/>
          <w:sz w:val="32"/>
          <w:szCs w:val="32"/>
          <w:highlight w:val="none"/>
        </w:rPr>
        <w:t>公共活动空间、公共服务空间、公共出行空间</w:t>
      </w:r>
      <w:r>
        <w:rPr>
          <w:rFonts w:hint="eastAsia" w:ascii="仿宋_GB2312" w:hAnsi="仿宋_GB2312" w:eastAsia="仿宋_GB2312" w:cs="仿宋_GB2312"/>
          <w:b w:val="0"/>
          <w:bCs w:val="0"/>
          <w:color w:val="auto"/>
          <w:sz w:val="32"/>
          <w:szCs w:val="32"/>
          <w:highlight w:val="none"/>
          <w:lang w:val="en-US" w:eastAsia="zh-CN"/>
        </w:rPr>
        <w:t>等积极构建儿童友好空间体系，建设一批儿童友好学校、儿童友好公园、儿童友好社区、儿童友好医院等场所。研究制定儿童友好支持政策，完善章丘区儿童友好政策指引体系，积极建设儿童友好智慧化平台。建设一批集沉浸式体验、科普研学、户外拓展、休闲娱乐于一体的儿童友好实践基地，推动重点片区适儿化改造，围绕儿童教育、健康、娱乐、福利保障、安全等领域建立章丘区儿童友好实事项目库。</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2"/>
        <w:rPr>
          <w:rFonts w:hint="default" w:ascii="黑体" w:hAnsi="黑体" w:eastAsia="黑体" w:cs="黑体"/>
          <w:color w:val="auto"/>
          <w:spacing w:val="0"/>
          <w:w w:val="100"/>
          <w:kern w:val="21"/>
          <w:sz w:val="32"/>
          <w:szCs w:val="32"/>
          <w:highlight w:val="none"/>
          <w:lang w:val="en-US" w:eastAsia="zh-CN" w:bidi="ar-SA"/>
        </w:rPr>
      </w:pPr>
      <w:r>
        <w:rPr>
          <w:rFonts w:hint="eastAsia" w:ascii="黑体" w:hAnsi="黑体" w:eastAsia="黑体" w:cs="黑体"/>
          <w:color w:val="auto"/>
          <w:spacing w:val="0"/>
          <w:w w:val="100"/>
          <w:kern w:val="21"/>
          <w:sz w:val="32"/>
          <w:szCs w:val="32"/>
          <w:highlight w:val="none"/>
          <w:lang w:val="en-US" w:eastAsia="zh-CN" w:bidi="ar-SA"/>
        </w:rPr>
        <w:t>三、推进青年发展型城区建设</w:t>
      </w:r>
    </w:p>
    <w:p>
      <w:pPr>
        <w:keepNext w:val="0"/>
        <w:keepLines w:val="0"/>
        <w:pageBreakBefore w:val="0"/>
        <w:widowControl w:val="0"/>
        <w:numPr>
          <w:ilvl w:val="0"/>
          <w:numId w:val="0"/>
        </w:numPr>
        <w:kinsoku/>
        <w:wordWrap/>
        <w:overflowPunct w:val="0"/>
        <w:topLinePunct/>
        <w:autoSpaceDE/>
        <w:autoSpaceDN/>
        <w:bidi w:val="0"/>
        <w:adjustRightInd/>
        <w:snapToGrid/>
        <w:spacing w:line="560" w:lineRule="exact"/>
        <w:ind w:firstLine="640" w:firstLineChars="200"/>
        <w:jc w:val="both"/>
        <w:textAlignment w:val="auto"/>
        <w:rPr>
          <w:rFonts w:hint="default" w:ascii="仿宋_GB2312" w:hAnsi="Calibri" w:eastAsia="仿宋_GB2312" w:cs="Times New Roman"/>
          <w:color w:val="auto"/>
          <w:kern w:val="2"/>
          <w:sz w:val="32"/>
          <w:szCs w:val="32"/>
          <w:highlight w:val="none"/>
          <w:lang w:val="en-US" w:eastAsia="zh-CN" w:bidi="ar-SA"/>
        </w:rPr>
      </w:pPr>
      <w:r>
        <w:rPr>
          <w:rFonts w:hint="eastAsia" w:ascii="仿宋_GB2312" w:hAnsi="Calibri" w:eastAsia="仿宋_GB2312" w:cs="Times New Roman"/>
          <w:color w:val="auto"/>
          <w:kern w:val="2"/>
          <w:sz w:val="32"/>
          <w:szCs w:val="32"/>
          <w:highlight w:val="none"/>
          <w:lang w:val="en-US" w:eastAsia="zh-CN" w:bidi="ar-SA"/>
        </w:rPr>
        <w:t>积极落实市青年发展型城市建设相关要求，健全完善章丘区青年发展专项规划，围绕青年发展所需所求，在城市规划建设、管理全过程体现青春元素、照顾青年特点，加大对青年创新、文化体验、休闲娱乐等领域政策支持力度。完善以公共租赁住房为主的“租购补一体化”青年住房保障体系，增加青年人才公寓供给，降低青年生活成本。大力建设文化体育公共场馆并拓展使用范围，延长场馆开放时间，对青年人群实行场馆费用减免政策，支持专业力量对青年提供健康指导服务。加强青年典型的选树宣传，动员青年在平安建设、社会治理、乡村振兴、志愿服务、重点项目建设等“急难险重新”任务中发挥生力军和突击队作用。</w:t>
      </w:r>
    </w:p>
    <w:p>
      <w:pPr>
        <w:keepNext w:val="0"/>
        <w:keepLines w:val="0"/>
        <w:pageBreakBefore w:val="0"/>
        <w:widowControl w:val="0"/>
        <w:numPr>
          <w:ilvl w:val="0"/>
          <w:numId w:val="0"/>
        </w:numPr>
        <w:tabs>
          <w:tab w:val="right" w:leader="dot" w:pos="8640"/>
        </w:tabs>
        <w:kinsoku/>
        <w:wordWrap/>
        <w:overflowPunct/>
        <w:topLinePunct w:val="0"/>
        <w:autoSpaceDE/>
        <w:autoSpaceDN/>
        <w:bidi w:val="0"/>
        <w:adjustRightInd/>
        <w:snapToGrid/>
        <w:spacing w:line="560" w:lineRule="exact"/>
        <w:ind w:left="0" w:leftChars="0" w:firstLine="640" w:firstLineChars="200"/>
        <w:textAlignment w:val="auto"/>
        <w:outlineLvl w:val="2"/>
        <w:rPr>
          <w:rFonts w:hint="default" w:ascii="黑体" w:hAnsi="黑体" w:eastAsia="黑体" w:cs="黑体"/>
          <w:color w:val="auto"/>
          <w:spacing w:val="0"/>
          <w:w w:val="100"/>
          <w:kern w:val="21"/>
          <w:sz w:val="32"/>
          <w:szCs w:val="32"/>
          <w:highlight w:val="none"/>
          <w:lang w:val="en-US" w:eastAsia="zh-CN" w:bidi="ar-SA"/>
        </w:rPr>
      </w:pPr>
      <w:r>
        <w:rPr>
          <w:rFonts w:hint="eastAsia" w:ascii="黑体" w:hAnsi="黑体" w:eastAsia="黑体" w:cs="黑体"/>
          <w:color w:val="auto"/>
          <w:spacing w:val="0"/>
          <w:w w:val="100"/>
          <w:kern w:val="21"/>
          <w:sz w:val="32"/>
          <w:szCs w:val="32"/>
          <w:highlight w:val="none"/>
          <w:lang w:val="en-US" w:eastAsia="zh-CN" w:bidi="ar-SA"/>
        </w:rPr>
        <w:t>四、加快构建老年友好型城区</w:t>
      </w:r>
    </w:p>
    <w:p>
      <w:pPr>
        <w:keepNext w:val="0"/>
        <w:keepLines w:val="0"/>
        <w:pageBreakBefore w:val="0"/>
        <w:widowControl w:val="0"/>
        <w:kinsoku/>
        <w:wordWrap/>
        <w:overflowPunct w:val="0"/>
        <w:topLinePunct w:val="0"/>
        <w:autoSpaceDE/>
        <w:autoSpaceDN/>
        <w:bidi w:val="0"/>
        <w:adjustRightInd w:val="0"/>
        <w:snapToGrid w:val="0"/>
        <w:spacing w:beforeAutospacing="0" w:line="560" w:lineRule="exact"/>
        <w:ind w:firstLine="640" w:firstLineChars="200"/>
        <w:textAlignment w:val="auto"/>
        <w:rPr>
          <w:rFonts w:hint="default" w:ascii="仿宋_GB2312" w:hAnsi="仿宋_GB2312" w:eastAsia="仿宋_GB2312" w:cs="仿宋_GB2312"/>
          <w:bCs/>
          <w:color w:val="auto"/>
          <w:kern w:val="44"/>
          <w:sz w:val="32"/>
          <w:szCs w:val="48"/>
          <w:highlight w:val="none"/>
          <w:lang w:val="en-US" w:eastAsia="zh-CN" w:bidi="ar"/>
        </w:rPr>
      </w:pPr>
      <w:r>
        <w:rPr>
          <w:rFonts w:hint="eastAsia" w:ascii="仿宋_GB2312" w:hAnsi="仿宋_GB2312" w:eastAsia="仿宋_GB2312" w:cs="仿宋_GB2312"/>
          <w:b w:val="0"/>
          <w:bCs w:val="0"/>
          <w:color w:val="auto"/>
          <w:sz w:val="32"/>
          <w:szCs w:val="32"/>
          <w:highlight w:val="none"/>
          <w:lang w:val="en-US" w:eastAsia="zh-CN"/>
        </w:rPr>
        <w:t>聚焦医养结合，完善医疗服务，持续优化基本养老服务供给，健全完善区、</w:t>
      </w:r>
      <w:r>
        <w:rPr>
          <w:rFonts w:hint="eastAsia" w:ascii="仿宋_GB2312" w:hAnsi="仿宋_GB2312" w:eastAsia="仿宋_GB2312" w:cs="仿宋_GB2312"/>
          <w:bCs w:val="0"/>
          <w:color w:val="auto"/>
          <w:kern w:val="2"/>
          <w:sz w:val="32"/>
          <w:szCs w:val="32"/>
          <w:highlight w:val="none"/>
          <w:u w:val="none"/>
          <w:lang w:val="en-US" w:eastAsia="zh-CN" w:bidi="ar-SA"/>
        </w:rPr>
        <w:t>街道（镇）</w:t>
      </w:r>
      <w:r>
        <w:rPr>
          <w:rFonts w:hint="eastAsia" w:ascii="仿宋_GB2312" w:hAnsi="仿宋_GB2312" w:eastAsia="仿宋_GB2312" w:cs="仿宋_GB2312"/>
          <w:b w:val="0"/>
          <w:bCs w:val="0"/>
          <w:color w:val="auto"/>
          <w:sz w:val="32"/>
          <w:szCs w:val="32"/>
          <w:highlight w:val="none"/>
          <w:lang w:val="en-US" w:eastAsia="zh-CN"/>
        </w:rPr>
        <w:t>、村（社区）三级养老服务体系，</w:t>
      </w:r>
      <w:r>
        <w:rPr>
          <w:rFonts w:hint="eastAsia" w:ascii="仿宋_GB2312" w:hAnsi="Calibri" w:eastAsia="仿宋_GB2312" w:cs="Times New Roman"/>
          <w:color w:val="auto"/>
          <w:sz w:val="32"/>
          <w:szCs w:val="32"/>
          <w:highlight w:val="none"/>
          <w:u w:val="none"/>
          <w:lang w:val="en-US" w:eastAsia="zh-CN"/>
        </w:rPr>
        <w:t>积极建设嵌入式区域养老服务中心，开展多元化、全链条服务，</w:t>
      </w:r>
      <w:r>
        <w:rPr>
          <w:rFonts w:hint="eastAsia" w:ascii="仿宋_GB2312" w:hAnsi="仿宋_GB2312" w:eastAsia="仿宋_GB2312" w:cs="仿宋_GB2312"/>
          <w:b w:val="0"/>
          <w:bCs w:val="0"/>
          <w:color w:val="auto"/>
          <w:sz w:val="32"/>
          <w:szCs w:val="32"/>
          <w:highlight w:val="none"/>
          <w:lang w:val="en-US" w:eastAsia="zh-CN"/>
        </w:rPr>
        <w:t>提升养老服务可及性，实现城乡社区日间照料服务全覆盖</w:t>
      </w:r>
      <w:r>
        <w:rPr>
          <w:rFonts w:hint="eastAsia" w:ascii="仿宋_GB2312" w:hAnsi="Calibri" w:eastAsia="仿宋_GB2312" w:cs="Times New Roman"/>
          <w:color w:val="auto"/>
          <w:sz w:val="32"/>
          <w:szCs w:val="32"/>
          <w:highlight w:val="none"/>
          <w:u w:val="none"/>
          <w:lang w:val="en-US" w:eastAsia="zh-CN"/>
        </w:rPr>
        <w:t>。</w:t>
      </w:r>
      <w:r>
        <w:rPr>
          <w:rFonts w:hint="eastAsia" w:ascii="仿宋_GB2312" w:hAnsi="仿宋_GB2312" w:eastAsia="仿宋_GB2312" w:cs="仿宋_GB2312"/>
          <w:b w:val="0"/>
          <w:bCs w:val="0"/>
          <w:color w:val="auto"/>
          <w:sz w:val="32"/>
          <w:szCs w:val="32"/>
          <w:highlight w:val="none"/>
          <w:lang w:val="en-US" w:eastAsia="zh-CN"/>
        </w:rPr>
        <w:t>大力推进家庭适老化改造，扩大家庭养老床位服务覆盖面，积极发展助餐、助洁、助医、助浴等居家上门服务。健全医疗卫生机构与养老机构合作机制，完善三级医养签约服务模式，支持养老机构开展医疗服务。加快补齐农村养老服务短板，鼓励农村集体经济组织发展养老服务，提升农村幸福院养老设施配套建设水平。推动已建成小区和新建小区</w:t>
      </w:r>
      <w:r>
        <w:rPr>
          <w:rFonts w:hint="eastAsia" w:ascii="仿宋_GB2312" w:hAnsi="Calibri" w:eastAsia="仿宋_GB2312" w:cs="Times New Roman"/>
          <w:color w:val="auto"/>
          <w:sz w:val="32"/>
          <w:szCs w:val="32"/>
          <w:highlight w:val="none"/>
          <w:u w:val="none"/>
          <w:lang w:val="en-US" w:eastAsia="zh-CN"/>
        </w:rPr>
        <w:t>配建社区养老服务设施，加快补齐短板弱项，打造群众家门口的“一刻钟养老服务圈”。加强失能失智老年人照护服务，大力发展护理型床位、认知障碍照护床位、安宁疗护床位。落实老年人优待、高龄津贴等政策，广泛组织开展敬老爱老助老主题活动。推动银发经济发展，积极引进品牌养老服务机构，推动养老产业与文化娱乐、旅游服务、健康医疗等行业融合发展，打造医养结合新业态，丰富发展养老金融产品，持续释放银发经济潜力。</w:t>
      </w:r>
    </w:p>
    <w:p>
      <w:pPr>
        <w:keepNext w:val="0"/>
        <w:keepLines w:val="0"/>
        <w:pageBreakBefore w:val="0"/>
        <w:widowControl w:val="0"/>
        <w:kinsoku/>
        <w:wordWrap/>
        <w:autoSpaceDE/>
        <w:autoSpaceDN/>
        <w:bidi w:val="0"/>
        <w:spacing w:line="560" w:lineRule="exact"/>
        <w:textAlignment w:val="auto"/>
        <w:rPr>
          <w:rFonts w:hint="eastAsia" w:ascii="仿宋_GB2312" w:hAnsi="仿宋_GB2312" w:eastAsia="仿宋_GB2312" w:cs="仿宋_GB2312"/>
          <w:bCs/>
          <w:color w:val="auto"/>
          <w:kern w:val="44"/>
          <w:sz w:val="32"/>
          <w:szCs w:val="32"/>
          <w:highlight w:val="none"/>
          <w:lang w:val="en-US" w:eastAsia="zh-CN" w:bidi="ar"/>
        </w:rPr>
      </w:pPr>
      <w:r>
        <w:rPr>
          <w:rFonts w:hint="eastAsia" w:ascii="仿宋_GB2312" w:hAnsi="仿宋_GB2312" w:eastAsia="仿宋_GB2312" w:cs="仿宋_GB2312"/>
          <w:bCs/>
          <w:color w:val="auto"/>
          <w:kern w:val="44"/>
          <w:sz w:val="32"/>
          <w:szCs w:val="32"/>
          <w:highlight w:val="none"/>
          <w:lang w:val="en-US" w:eastAsia="zh-CN" w:bidi="ar"/>
        </w:rPr>
        <w:br w:type="page"/>
      </w:r>
    </w:p>
    <w:p>
      <w:pPr>
        <w:pStyle w:val="8"/>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方正小标宋简体" w:hAnsi="方正小标宋简体" w:eastAsia="方正小标宋简体" w:cs="方正小标宋简体"/>
          <w:b w:val="0"/>
          <w:bCs w:val="0"/>
          <w:color w:val="auto"/>
          <w:kern w:val="2"/>
          <w:sz w:val="44"/>
          <w:szCs w:val="44"/>
          <w:highlight w:val="none"/>
          <w:lang w:val="en-US" w:eastAsia="zh-CN" w:bidi="ar-SA"/>
        </w:rPr>
      </w:pPr>
      <w:bookmarkStart w:id="122" w:name="_Toc31888"/>
      <w:r>
        <w:rPr>
          <w:rFonts w:hint="eastAsia" w:ascii="方正小标宋简体" w:hAnsi="方正小标宋简体" w:eastAsia="方正小标宋简体" w:cs="方正小标宋简体"/>
          <w:b w:val="0"/>
          <w:bCs w:val="0"/>
          <w:color w:val="auto"/>
          <w:kern w:val="2"/>
          <w:sz w:val="44"/>
          <w:szCs w:val="44"/>
          <w:highlight w:val="none"/>
          <w:lang w:val="en-US" w:eastAsia="zh-CN" w:bidi="ar-SA"/>
        </w:rPr>
        <w:t>第十二章  坚定贯彻总体国家安全观，以社会治理现代化建设更高水平平安章丘</w:t>
      </w:r>
      <w:bookmarkEnd w:id="122"/>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eastAsia" w:ascii="仿宋_GB2312" w:hAnsi="Calibri" w:eastAsia="仿宋_GB2312" w:cs="Times New Roman"/>
          <w:color w:val="auto"/>
          <w:sz w:val="32"/>
          <w:szCs w:val="32"/>
          <w:highlight w:val="none"/>
          <w:u w:val="none"/>
          <w:lang w:val="en-US" w:eastAsia="zh-CN"/>
        </w:rPr>
      </w:pPr>
      <w:bookmarkStart w:id="123" w:name="_Toc12388"/>
      <w:bookmarkStart w:id="124" w:name="_Toc29466"/>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eastAsia" w:ascii="仿宋_GB2312" w:hAnsi="Calibri" w:eastAsia="仿宋_GB2312" w:cs="Times New Roman"/>
          <w:color w:val="auto"/>
          <w:sz w:val="32"/>
          <w:szCs w:val="32"/>
          <w:highlight w:val="none"/>
          <w:u w:val="none"/>
          <w:lang w:val="en-US" w:eastAsia="zh-CN"/>
        </w:rPr>
      </w:pPr>
      <w:r>
        <w:rPr>
          <w:rFonts w:hint="eastAsia" w:ascii="仿宋_GB2312" w:hAnsi="Calibri" w:eastAsia="仿宋_GB2312" w:cs="Times New Roman"/>
          <w:color w:val="auto"/>
          <w:sz w:val="32"/>
          <w:szCs w:val="32"/>
          <w:highlight w:val="none"/>
          <w:u w:val="none"/>
          <w:lang w:val="en-US" w:eastAsia="zh-CN"/>
        </w:rPr>
        <w:t>统筹发展和安全，全面提升社会治理效能，提升城区治理科学化、精细化和智能化水平，推动基层治理体系和治理能力现代化，全力构建共建共治共享的社会治理新格局。</w:t>
      </w:r>
    </w:p>
    <w:p>
      <w:pPr>
        <w:keepNext w:val="0"/>
        <w:keepLines w:val="0"/>
        <w:pageBreakBefore w:val="0"/>
        <w:widowControl w:val="0"/>
        <w:kinsoku/>
        <w:wordWrap/>
        <w:overflowPunct/>
        <w:topLinePunct w:val="0"/>
        <w:autoSpaceDE/>
        <w:autoSpaceDN/>
        <w:bidi w:val="0"/>
        <w:adjustRightInd w:val="0"/>
        <w:snapToGrid w:val="0"/>
        <w:spacing w:before="157" w:beforeLines="50" w:beforeAutospacing="0" w:after="157" w:afterLines="50" w:afterAutospacing="0" w:line="560" w:lineRule="exact"/>
        <w:ind w:left="0" w:leftChars="0" w:firstLine="0" w:firstLineChars="0"/>
        <w:jc w:val="center"/>
        <w:textAlignment w:val="auto"/>
        <w:outlineLvl w:val="1"/>
        <w:rPr>
          <w:rFonts w:hint="eastAsia" w:ascii="文星标宋" w:hAnsi="文星标宋" w:eastAsia="文星标宋" w:cs="文星标宋"/>
          <w:bCs/>
          <w:color w:val="auto"/>
          <w:kern w:val="44"/>
          <w:sz w:val="32"/>
          <w:szCs w:val="48"/>
          <w:highlight w:val="none"/>
          <w:lang w:val="en-US" w:eastAsia="zh-CN" w:bidi="ar"/>
        </w:rPr>
      </w:pPr>
      <w:bookmarkStart w:id="125" w:name="_Toc22222"/>
      <w:r>
        <w:rPr>
          <w:rFonts w:hint="eastAsia" w:ascii="文星标宋" w:hAnsi="文星标宋" w:eastAsia="文星标宋" w:cs="文星标宋"/>
          <w:bCs/>
          <w:color w:val="auto"/>
          <w:kern w:val="44"/>
          <w:sz w:val="32"/>
          <w:szCs w:val="48"/>
          <w:highlight w:val="none"/>
          <w:lang w:val="en-US" w:eastAsia="zh-CN" w:bidi="ar"/>
        </w:rPr>
        <w:t>第一节  全面提升基层治理能力</w:t>
      </w:r>
      <w:bookmarkEnd w:id="123"/>
      <w:bookmarkEnd w:id="125"/>
    </w:p>
    <w:bookmarkEnd w:id="124"/>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outlineLvl w:val="2"/>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一、完善基层治理体制机制</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eastAsia" w:ascii="仿宋_GB2312" w:hAnsi="Calibri" w:eastAsia="仿宋_GB2312" w:cs="Times New Roman"/>
          <w:color w:val="auto"/>
          <w:sz w:val="32"/>
          <w:szCs w:val="32"/>
          <w:highlight w:val="none"/>
          <w:u w:val="none"/>
          <w:lang w:val="en-US" w:eastAsia="zh-CN"/>
        </w:rPr>
      </w:pPr>
      <w:r>
        <w:rPr>
          <w:rFonts w:hint="eastAsia" w:ascii="仿宋_GB2312" w:hAnsi="Calibri" w:eastAsia="仿宋_GB2312" w:cs="Times New Roman"/>
          <w:color w:val="auto"/>
          <w:sz w:val="32"/>
          <w:szCs w:val="32"/>
          <w:highlight w:val="none"/>
          <w:u w:val="none"/>
          <w:lang w:val="en-US" w:eastAsia="zh-CN"/>
        </w:rPr>
        <w:t>坚持系统治理、依法治理、综合治理、源头治理，完善共建共治共享的社会治理制度，加强新经济组织、新社会组织、新就业群体党的建设，健全条块结合、上下联动的党建工作体系，推动党的组织和基层治理有效衔接。建立健全矛盾纠纷化解处置机制，坚持和发展新时代“枫桥经验”，加强区、街道（镇）、</w:t>
      </w:r>
      <w:r>
        <w:rPr>
          <w:rFonts w:hint="eastAsia" w:ascii="仿宋_GB2312" w:hAnsi="仿宋_GB2312" w:eastAsia="仿宋_GB2312" w:cs="仿宋_GB2312"/>
          <w:b w:val="0"/>
          <w:bCs w:val="0"/>
          <w:color w:val="auto"/>
          <w:spacing w:val="0"/>
          <w:w w:val="100"/>
          <w:kern w:val="21"/>
          <w:sz w:val="32"/>
          <w:szCs w:val="32"/>
          <w:highlight w:val="none"/>
          <w:u w:val="none"/>
          <w:lang w:val="en-US" w:eastAsia="zh-CN" w:bidi="ar-SA"/>
        </w:rPr>
        <w:t>村（社区）</w:t>
      </w:r>
      <w:r>
        <w:rPr>
          <w:rFonts w:hint="eastAsia" w:ascii="仿宋_GB2312" w:hAnsi="Calibri" w:eastAsia="仿宋_GB2312" w:cs="Times New Roman"/>
          <w:color w:val="auto"/>
          <w:sz w:val="32"/>
          <w:szCs w:val="32"/>
          <w:highlight w:val="none"/>
          <w:u w:val="none"/>
          <w:lang w:val="en-US" w:eastAsia="zh-CN"/>
        </w:rPr>
        <w:t>三级综治中心规范化建设，畅通和规范群众诉求表达、利益协调、权益保障通道。</w:t>
      </w:r>
      <w:r>
        <w:rPr>
          <w:rFonts w:hint="eastAsia" w:ascii="仿宋_GB2312" w:hAnsi="仿宋_GB2312" w:eastAsia="仿宋_GB2312" w:cs="仿宋_GB2312"/>
          <w:color w:val="auto"/>
          <w:spacing w:val="0"/>
          <w:w w:val="100"/>
          <w:kern w:val="21"/>
          <w:sz w:val="32"/>
          <w:szCs w:val="32"/>
          <w:highlight w:val="none"/>
          <w:u w:val="none"/>
          <w:lang w:val="en-US" w:eastAsia="zh-CN"/>
        </w:rPr>
        <w:t>深入推进信访工作法治化，着力推动信访问题源头化解、多元化解、有序化解。</w:t>
      </w:r>
      <w:r>
        <w:rPr>
          <w:rFonts w:hint="eastAsia" w:ascii="仿宋_GB2312" w:hAnsi="Calibri" w:eastAsia="仿宋_GB2312" w:cs="Times New Roman"/>
          <w:color w:val="auto"/>
          <w:sz w:val="32"/>
          <w:szCs w:val="32"/>
          <w:highlight w:val="none"/>
          <w:u w:val="none"/>
          <w:lang w:val="en-US" w:eastAsia="zh-CN"/>
        </w:rPr>
        <w:t>引导工会、共青团、妇联等群团组织发挥自身优势，服务建设章丘区经济社会发展，积极参与乡村振兴、东西部协作、高校毕业生就业等重点工作。创新网格化服务管理，充分激发基层群众自治活力，探索简约高效的社区服务管理模式、完善居民议事协商机制，拓宽基层各类组织和群众有序参与基层治理渠道。加强社会工作人才和志愿者队伍建设，持续擦亮“百脉银龄”“青春小网兜”“希望学堂托管班”等志愿服务品牌。推动慈善公益事业健康发展，支持有意愿有能力的企业、社会组织和个人积极参与公益慈善事业。大力发展社区慈善基金，进一步扩大资金筹集规模，为群众多办好事实事。</w:t>
      </w:r>
      <w:r>
        <w:rPr>
          <w:rFonts w:hint="eastAsia" w:ascii="仿宋_GB2312" w:hAnsi="仿宋_GB2312" w:eastAsia="仿宋_GB2312" w:cs="仿宋_GB2312"/>
          <w:color w:val="auto"/>
          <w:sz w:val="32"/>
          <w:szCs w:val="32"/>
          <w:highlight w:val="none"/>
        </w:rPr>
        <w:t>引导社会力量有序参与公共服务供给，形成多元主体协同共治格局。</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outlineLvl w:val="2"/>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二、提高基层治理智慧化水平</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eastAsia" w:ascii="仿宋_GB2312" w:hAnsi="Calibri" w:eastAsia="仿宋_GB2312" w:cs="Times New Roman"/>
          <w:color w:val="auto"/>
          <w:sz w:val="32"/>
          <w:szCs w:val="32"/>
          <w:highlight w:val="none"/>
          <w:u w:val="none"/>
          <w:lang w:val="en-US" w:eastAsia="zh-CN"/>
        </w:rPr>
      </w:pPr>
      <w:r>
        <w:rPr>
          <w:rFonts w:hint="eastAsia" w:ascii="仿宋_GB2312" w:hAnsi="Calibri" w:eastAsia="仿宋_GB2312" w:cs="Times New Roman"/>
          <w:color w:val="auto"/>
          <w:sz w:val="32"/>
          <w:szCs w:val="32"/>
          <w:highlight w:val="none"/>
          <w:u w:val="none"/>
          <w:lang w:val="en-US" w:eastAsia="zh-CN"/>
        </w:rPr>
        <w:t>协同推进数字政府、数字社会、智慧城市建设，完善数字化基础设施，</w:t>
      </w:r>
      <w:r>
        <w:rPr>
          <w:rFonts w:hint="eastAsia" w:ascii="仿宋_GB2312" w:hAnsi="Calibri" w:eastAsia="仿宋_GB2312" w:cs="Times New Roman"/>
          <w:b w:val="0"/>
          <w:bCs w:val="0"/>
          <w:caps w:val="0"/>
          <w:color w:val="auto"/>
          <w:spacing w:val="0"/>
          <w:kern w:val="2"/>
          <w:sz w:val="32"/>
          <w:szCs w:val="32"/>
          <w:highlight w:val="none"/>
          <w:u w:val="none"/>
          <w:lang w:val="en-US" w:eastAsia="zh-CN" w:bidi="ar-SA"/>
        </w:rPr>
        <w:t>依托信息化手段，实现对网格内人、地、事、物、组织等的一体化服务管理，</w:t>
      </w:r>
      <w:r>
        <w:rPr>
          <w:rFonts w:hint="eastAsia" w:ascii="仿宋_GB2312" w:hAnsi="Calibri" w:eastAsia="仿宋_GB2312" w:cs="Times New Roman"/>
          <w:color w:val="auto"/>
          <w:sz w:val="32"/>
          <w:szCs w:val="32"/>
          <w:highlight w:val="none"/>
          <w:u w:val="none"/>
          <w:lang w:val="en-US" w:eastAsia="zh-CN"/>
        </w:rPr>
        <w:t>着力提高数字化服务水平，加强数据共享。完善互联网线上办、社区代办、自助服务办等方式，实现基层政务服务“一网通办”、社会治理“一网统管”，推动各类基础数据在基层“一次采集、多方利用”。推进智慧社区建设，将</w:t>
      </w:r>
      <w:r>
        <w:rPr>
          <w:rFonts w:hint="eastAsia" w:ascii="仿宋_GB2312" w:hAnsi="仿宋_GB2312" w:eastAsia="仿宋_GB2312" w:cs="仿宋_GB2312"/>
          <w:bCs w:val="0"/>
          <w:color w:val="auto"/>
          <w:kern w:val="2"/>
          <w:sz w:val="32"/>
          <w:szCs w:val="32"/>
          <w:highlight w:val="none"/>
          <w:u w:val="none"/>
          <w:lang w:val="en-US" w:eastAsia="zh-CN" w:bidi="ar-SA"/>
        </w:rPr>
        <w:t>街道（镇）</w:t>
      </w:r>
      <w:r>
        <w:rPr>
          <w:rFonts w:hint="eastAsia" w:ascii="仿宋_GB2312" w:hAnsi="Calibri" w:eastAsia="仿宋_GB2312" w:cs="Times New Roman"/>
          <w:color w:val="auto"/>
          <w:sz w:val="32"/>
          <w:szCs w:val="32"/>
          <w:highlight w:val="none"/>
          <w:u w:val="none"/>
          <w:lang w:val="en-US" w:eastAsia="zh-CN"/>
        </w:rPr>
        <w:t>、村（社区）纳入信息化建设规划，多部门协同统筹推进，构筑智慧社区治理与服务场景，积极推动智慧安防社区建设，逐步提升基层治理智能化水平。提高网格服务管理水平，依托信息化手段，实现对网格内人、地、事、物、组织等的一体化服务管理，丰富基层治理数字化场景，推动基层社会治理的数字化和智能化水平。</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outlineLvl w:val="2"/>
        <w:rPr>
          <w:rFonts w:hint="eastAsia" w:ascii="黑体" w:hAnsi="黑体" w:eastAsia="黑体" w:cs="黑体"/>
          <w:color w:val="auto"/>
          <w:sz w:val="32"/>
          <w:szCs w:val="32"/>
          <w:highlight w:val="none"/>
          <w:u w:val="none"/>
          <w:lang w:val="en-US" w:eastAsia="zh-CN"/>
        </w:rPr>
      </w:pPr>
      <w:bookmarkStart w:id="126" w:name="_Toc16797"/>
      <w:r>
        <w:rPr>
          <w:rFonts w:hint="eastAsia" w:ascii="黑体" w:hAnsi="黑体" w:eastAsia="黑体" w:cs="黑体"/>
          <w:color w:val="auto"/>
          <w:sz w:val="32"/>
          <w:szCs w:val="32"/>
          <w:highlight w:val="none"/>
          <w:u w:val="none"/>
          <w:lang w:val="en-US" w:eastAsia="zh-CN"/>
        </w:rPr>
        <w:t>三、提升基层治理专业化水平</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eastAsia" w:ascii="黑体" w:hAnsi="黑体" w:eastAsia="黑体" w:cs="黑体"/>
          <w:bCs/>
          <w:color w:val="auto"/>
          <w:kern w:val="44"/>
          <w:sz w:val="32"/>
          <w:szCs w:val="48"/>
          <w:highlight w:val="none"/>
          <w:lang w:val="en-US" w:eastAsia="zh-CN" w:bidi="ar"/>
        </w:rPr>
      </w:pPr>
      <w:r>
        <w:rPr>
          <w:rFonts w:hint="eastAsia" w:ascii="仿宋_GB2312" w:hAnsi="Calibri" w:eastAsia="仿宋_GB2312" w:cs="Times New Roman"/>
          <w:color w:val="auto"/>
          <w:sz w:val="32"/>
          <w:szCs w:val="32"/>
          <w:highlight w:val="none"/>
          <w:u w:val="none"/>
          <w:lang w:val="en-US" w:eastAsia="zh-CN"/>
        </w:rPr>
        <w:t>全面实施街道（镇）履行职责事项清单，健全村（社区）工作事项准入制度。坚持为民服务，打造一支政治坚定、素质优良、敬业奉献、结构合理、群众满意的社区工作者队伍。按标准配齐社区工作者。积极吸纳社区工作专业人才，提高志愿者服务专业化程度。健全网格员职业技能培训机制，提升网格员专业化能力，完善以村（社区）“两委”成员、社区民警、网格员为主体，“微网格”联络员辅助，多方协同的网格治理力量体系。</w:t>
      </w:r>
    </w:p>
    <w:p>
      <w:pPr>
        <w:keepNext w:val="0"/>
        <w:keepLines w:val="0"/>
        <w:pageBreakBefore w:val="0"/>
        <w:widowControl w:val="0"/>
        <w:kinsoku/>
        <w:wordWrap/>
        <w:overflowPunct/>
        <w:topLinePunct w:val="0"/>
        <w:autoSpaceDE/>
        <w:autoSpaceDN/>
        <w:bidi w:val="0"/>
        <w:adjustRightInd w:val="0"/>
        <w:snapToGrid w:val="0"/>
        <w:spacing w:before="157" w:beforeLines="50" w:beforeAutospacing="0" w:after="157" w:afterLines="50" w:afterAutospacing="0" w:line="560" w:lineRule="exact"/>
        <w:ind w:left="0" w:leftChars="0" w:firstLine="0" w:firstLineChars="0"/>
        <w:jc w:val="center"/>
        <w:textAlignment w:val="auto"/>
        <w:outlineLvl w:val="1"/>
        <w:rPr>
          <w:rFonts w:hint="eastAsia" w:ascii="文星标宋" w:hAnsi="文星标宋" w:eastAsia="文星标宋" w:cs="文星标宋"/>
          <w:bCs/>
          <w:color w:val="auto"/>
          <w:kern w:val="44"/>
          <w:sz w:val="32"/>
          <w:szCs w:val="48"/>
          <w:highlight w:val="none"/>
          <w:lang w:val="en-US" w:eastAsia="zh-CN" w:bidi="ar"/>
        </w:rPr>
      </w:pPr>
      <w:bookmarkStart w:id="127" w:name="_Toc26822"/>
      <w:r>
        <w:rPr>
          <w:rFonts w:hint="eastAsia" w:ascii="文星标宋" w:hAnsi="文星标宋" w:eastAsia="文星标宋" w:cs="文星标宋"/>
          <w:bCs/>
          <w:color w:val="auto"/>
          <w:kern w:val="44"/>
          <w:sz w:val="32"/>
          <w:szCs w:val="48"/>
          <w:highlight w:val="none"/>
          <w:lang w:val="en-US" w:eastAsia="zh-CN" w:bidi="ar"/>
        </w:rPr>
        <w:t>第二节  提升城市安全运行水平</w:t>
      </w:r>
      <w:bookmarkEnd w:id="126"/>
      <w:bookmarkEnd w:id="127"/>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outlineLvl w:val="2"/>
        <w:rPr>
          <w:rFonts w:hint="eastAsia" w:ascii="黑体" w:hAnsi="黑体" w:eastAsia="黑体" w:cs="黑体"/>
          <w:color w:val="auto"/>
          <w:sz w:val="32"/>
          <w:szCs w:val="32"/>
          <w:highlight w:val="none"/>
          <w:u w:val="none"/>
          <w:lang w:val="en-US" w:eastAsia="zh-CN"/>
        </w:rPr>
      </w:pPr>
      <w:bookmarkStart w:id="128" w:name="_Toc6560"/>
      <w:r>
        <w:rPr>
          <w:rFonts w:hint="eastAsia" w:ascii="黑体" w:hAnsi="黑体" w:eastAsia="黑体" w:cs="黑体"/>
          <w:color w:val="auto"/>
          <w:sz w:val="32"/>
          <w:szCs w:val="32"/>
          <w:highlight w:val="none"/>
          <w:u w:val="none"/>
          <w:lang w:val="en-US" w:eastAsia="zh-CN"/>
        </w:rPr>
        <w:t>一、筑牢国家安全工作防线</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严格落实党委（党组）国家安全责任制，推动重点领域和重要专项国家安全协调机制规范建设、高效运行，夯实保障国家安全的体制机制和社会基础，切实筑牢国家安全防线。坚决捍卫政治安全，加强维护国家安全和政治安全教育，深化反颠覆反渗透反间谍斗争，依法严厉打击邪教组织违法犯罪活动。完善国防动员体系，强化全民国防教育和民兵预备役工作，巩固军政军民团结，推动军民深度融合发展。强化新兴领域安全防控，加强对新型网络攻击手段的研判和防御能力建设，建立人工智能安全监管制度，健全生物安全风险防控和治理体系，加大对低空违规飞行的监管打击力度。</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outlineLvl w:val="2"/>
        <w:rPr>
          <w:rFonts w:hint="default"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二、提高公共安全治理水平</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outlineLvl w:val="2"/>
        <w:rPr>
          <w:rFonts w:hint="eastAsia" w:ascii="仿宋_GB2312" w:hAnsi="Calibri" w:eastAsia="仿宋_GB2312" w:cs="Times New Roman"/>
          <w:color w:val="auto"/>
          <w:sz w:val="32"/>
          <w:szCs w:val="32"/>
          <w:highlight w:val="none"/>
          <w:u w:val="none"/>
          <w:lang w:val="en-US" w:eastAsia="zh-CN"/>
        </w:rPr>
      </w:pPr>
      <w:r>
        <w:rPr>
          <w:rFonts w:hint="eastAsia" w:ascii="仿宋_GB2312" w:hAnsi="Calibri" w:eastAsia="仿宋_GB2312" w:cs="Times New Roman"/>
          <w:color w:val="auto"/>
          <w:sz w:val="32"/>
          <w:szCs w:val="32"/>
          <w:highlight w:val="none"/>
          <w:u w:val="none"/>
          <w:lang w:val="en-US" w:eastAsia="zh-CN"/>
        </w:rPr>
        <w:t>严格落实党委和政府属地责任，统筹推进维稳各项工作，维护社会安全稳定，常态化开展扫黑除恶斗争，惩治盗抢骗黄赌毒等违法犯罪活动，深化打击治理电信网络诈骗、侵犯公民个人信息、网络传销等突出问题，不断提升人民群众安全感。深入推进社会治安整体防控体系建设，聚力实施圈层查控提档、单元防控提质、要素管控提效、防控实战提能、运行机制提优、支撑保障提升等行动，强化命案及严重刑事案件预防，凝聚齐抓共管合力。强化安全生产管理，持续推进安全生产治本行动，常态化开展“审计式”监督检查服务，严格落实安全生产责任和管理制度，建立健全隐患排查治理和安全防控体系，重点加大消防、地下管线、危险化学品、公共交通、建筑施工等重点领域安全隐患排查治理力度。加强公共场所特别是人员密集和大型活动场所安全设施配备和建设，建立全区重点公共场所风险清单，分级分类落实安全防控措施。开展居民小区平安建设提升行动，全面加强小区和农村人防、物防、技防“三防”建设。抓好重大决策社会稳定风险评估制度落实，妥善处置重大涉稳风险隐患和突发事件。</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outlineLvl w:val="2"/>
        <w:rPr>
          <w:rFonts w:hint="default"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三、提高应急安全管理水平</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eastAsia" w:ascii="仿宋_GB2312" w:hAnsi="Calibri" w:eastAsia="仿宋_GB2312" w:cs="Times New Roman"/>
          <w:color w:val="auto"/>
          <w:sz w:val="32"/>
          <w:szCs w:val="32"/>
          <w:highlight w:val="none"/>
          <w:u w:val="none"/>
          <w:lang w:val="en-US" w:eastAsia="zh-CN"/>
        </w:rPr>
      </w:pPr>
      <w:r>
        <w:rPr>
          <w:rFonts w:hint="eastAsia" w:ascii="仿宋_GB2312" w:hAnsi="Calibri" w:eastAsia="仿宋_GB2312" w:cs="Times New Roman"/>
          <w:color w:val="auto"/>
          <w:sz w:val="32"/>
          <w:szCs w:val="32"/>
          <w:highlight w:val="none"/>
          <w:u w:val="none"/>
          <w:lang w:val="en-US" w:eastAsia="zh-CN"/>
        </w:rPr>
        <w:t>全面构建监测预防工作体系，区、街道（镇）、村（社区）三级安全风险隐患归集处置管控体系运行机制，充分利用新技术、新成果、新方法、新装备提高监测预防工作的能力水平，增强监测和预防工作实效。着力打造应急救援工作体系，搭建政府、社会、企业紧密协作的高效平台，加强应急救援队伍建设，确保各类重大风险隐患早发现、早预警、早处置。完善恢复重建工作体系，积极落实资金、物资、技术等保障措施，尽快推进基础设施、住房、生态环境的修复重建，提升灾区自我发展和抗灾防灾能力。筹建区应急物资库，完善应急物资调配机制，推进区应急指挥中心更新提升工程，推动全区已建成避难场所进行更新改造。健全区级药品储备制度，完善卫生应急物资储备目录，加强特殊用药、急救用药的生产和储备。健全公共卫生应急体系，完善公共卫生服务和疾病预防控制体系，提升突发公共卫生事件应急处置能力。</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outlineLvl w:val="2"/>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四、筑牢经济安全屏障</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default"/>
          <w:color w:val="auto"/>
          <w:highlight w:val="none"/>
          <w:lang w:val="en-US" w:eastAsia="zh-CN"/>
        </w:rPr>
      </w:pPr>
      <w:r>
        <w:rPr>
          <w:rFonts w:hint="eastAsia" w:ascii="仿宋_GB2312" w:hAnsi="Calibri" w:eastAsia="仿宋_GB2312" w:cs="Times New Roman"/>
          <w:color w:val="auto"/>
          <w:sz w:val="32"/>
          <w:szCs w:val="32"/>
          <w:highlight w:val="none"/>
          <w:u w:val="none"/>
          <w:lang w:val="en-US" w:eastAsia="zh-CN"/>
        </w:rPr>
        <w:t>加强全区经济运行调度调节，强化地区生产总值、一般公共预算收入、规模以上工业增加值等重要经济指标动态监测、分析研判。实施产业链融链固链专项行动，重点梳理汽车、先进材料、专用装备等主导产业链断链断供风险隐患，建立产业链供应链安全风险评估、应对救济机制。健全完善粮食和重要农产品、战略物资保障体系，加快煤电油气等能源储备设施建设。加大价格总水平调控力度，做好重要民生商品保供稳价。加强交通、水利、通信、数据中心、金融等重要基础设施安全管护。常态化摸排重点领域金融风险，加大金融风险化解处置力度，守好金融安全底线。严厉打击各类非法集资、高利贷、金融欺诈等非法从事金融业务的行为。</w:t>
      </w:r>
    </w:p>
    <w:p>
      <w:pPr>
        <w:keepNext w:val="0"/>
        <w:keepLines w:val="0"/>
        <w:pageBreakBefore w:val="0"/>
        <w:widowControl w:val="0"/>
        <w:kinsoku/>
        <w:wordWrap/>
        <w:overflowPunct/>
        <w:topLinePunct w:val="0"/>
        <w:autoSpaceDE/>
        <w:autoSpaceDN/>
        <w:bidi w:val="0"/>
        <w:adjustRightInd w:val="0"/>
        <w:snapToGrid w:val="0"/>
        <w:spacing w:before="157" w:beforeLines="50" w:beforeAutospacing="0" w:after="157" w:afterLines="50" w:afterAutospacing="0" w:line="560" w:lineRule="exact"/>
        <w:ind w:left="0" w:leftChars="0" w:firstLine="0" w:firstLineChars="0"/>
        <w:jc w:val="center"/>
        <w:textAlignment w:val="auto"/>
        <w:outlineLvl w:val="1"/>
        <w:rPr>
          <w:rFonts w:hint="eastAsia" w:ascii="文星标宋" w:hAnsi="文星标宋" w:eastAsia="文星标宋" w:cs="文星标宋"/>
          <w:bCs/>
          <w:color w:val="auto"/>
          <w:kern w:val="44"/>
          <w:sz w:val="32"/>
          <w:szCs w:val="48"/>
          <w:highlight w:val="none"/>
          <w:lang w:val="en-US" w:eastAsia="zh-CN" w:bidi="ar"/>
        </w:rPr>
      </w:pPr>
      <w:bookmarkStart w:id="129" w:name="_Toc27764"/>
      <w:r>
        <w:rPr>
          <w:rFonts w:hint="eastAsia" w:ascii="文星标宋" w:hAnsi="文星标宋" w:eastAsia="文星标宋" w:cs="文星标宋"/>
          <w:bCs/>
          <w:color w:val="auto"/>
          <w:kern w:val="44"/>
          <w:sz w:val="32"/>
          <w:szCs w:val="48"/>
          <w:highlight w:val="none"/>
          <w:lang w:val="en-US" w:eastAsia="zh-CN" w:bidi="ar"/>
        </w:rPr>
        <w:t xml:space="preserve">第三节  </w:t>
      </w:r>
      <w:bookmarkEnd w:id="128"/>
      <w:r>
        <w:rPr>
          <w:rFonts w:hint="eastAsia" w:ascii="文星标宋" w:hAnsi="文星标宋" w:eastAsia="文星标宋" w:cs="文星标宋"/>
          <w:bCs/>
          <w:color w:val="auto"/>
          <w:kern w:val="44"/>
          <w:sz w:val="32"/>
          <w:szCs w:val="48"/>
          <w:highlight w:val="none"/>
          <w:lang w:val="en-US" w:eastAsia="zh-CN" w:bidi="ar"/>
        </w:rPr>
        <w:t>深入推进全面依法治区</w:t>
      </w:r>
      <w:bookmarkEnd w:id="129"/>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outlineLvl w:val="2"/>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一、加强民主法治建设</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eastAsia" w:ascii="仿宋_GB2312" w:hAnsi="Calibri" w:eastAsia="仿宋_GB2312" w:cs="Times New Roman"/>
          <w:color w:val="auto"/>
          <w:sz w:val="32"/>
          <w:szCs w:val="32"/>
          <w:highlight w:val="none"/>
          <w:u w:val="none"/>
          <w:lang w:val="en-US" w:eastAsia="zh-CN"/>
        </w:rPr>
      </w:pPr>
      <w:r>
        <w:rPr>
          <w:rFonts w:hint="eastAsia" w:ascii="仿宋_GB2312" w:hAnsi="Calibri" w:eastAsia="仿宋_GB2312" w:cs="Times New Roman"/>
          <w:color w:val="auto"/>
          <w:sz w:val="32"/>
          <w:szCs w:val="32"/>
          <w:highlight w:val="none"/>
          <w:u w:val="none"/>
          <w:lang w:val="en-US" w:eastAsia="zh-CN"/>
        </w:rPr>
        <w:t>坚持和完善人民代表大会制度，支持和保证人大及其常委会依法行使职权，健全代表列席区委常委会、</w:t>
      </w:r>
      <w:r>
        <w:rPr>
          <w:rFonts w:hint="eastAsia" w:ascii="仿宋_GB2312" w:hAnsi="Calibri" w:eastAsia="仿宋_GB2312" w:cs="Times New Roman"/>
          <w:color w:val="auto"/>
          <w:sz w:val="32"/>
          <w:szCs w:val="32"/>
          <w:highlight w:val="none"/>
          <w:u w:val="none"/>
          <w:lang w:val="en-US" w:eastAsia="zh-CN"/>
        </w:rPr>
        <w:fldChar w:fldCharType="begin"/>
      </w:r>
      <w:r>
        <w:rPr>
          <w:rFonts w:hint="eastAsia" w:ascii="仿宋_GB2312" w:hAnsi="Calibri" w:eastAsia="仿宋_GB2312" w:cs="Times New Roman"/>
          <w:color w:val="auto"/>
          <w:sz w:val="32"/>
          <w:szCs w:val="32"/>
          <w:highlight w:val="none"/>
          <w:u w:val="none"/>
          <w:lang w:val="en-US" w:eastAsia="zh-CN"/>
        </w:rPr>
        <w:instrText xml:space="preserve"> HYPERLINK "http://www.baidu.com/link?url=zJzxLuntkdes714mNdzQVccf8ZzZ4VjYs547Q-MxUdebXbQMTyMEoql-0T86skQgrbwIfnuuKPRTmX1n-fkFU_" \t "https://www.baidu.com/_blank" </w:instrText>
      </w:r>
      <w:r>
        <w:rPr>
          <w:rFonts w:hint="eastAsia" w:ascii="仿宋_GB2312" w:hAnsi="Calibri" w:eastAsia="仿宋_GB2312" w:cs="Times New Roman"/>
          <w:color w:val="auto"/>
          <w:sz w:val="32"/>
          <w:szCs w:val="32"/>
          <w:highlight w:val="none"/>
          <w:u w:val="none"/>
          <w:lang w:val="en-US" w:eastAsia="zh-CN"/>
        </w:rPr>
        <w:fldChar w:fldCharType="separate"/>
      </w:r>
      <w:r>
        <w:rPr>
          <w:rFonts w:hint="eastAsia" w:ascii="仿宋_GB2312" w:hAnsi="Calibri" w:eastAsia="仿宋_GB2312" w:cs="Times New Roman"/>
          <w:color w:val="auto"/>
          <w:sz w:val="32"/>
          <w:szCs w:val="32"/>
          <w:highlight w:val="none"/>
          <w:u w:val="none"/>
          <w:lang w:val="en-US" w:eastAsia="zh-CN"/>
        </w:rPr>
        <w:t>区政府常务会议</w:t>
      </w:r>
      <w:r>
        <w:rPr>
          <w:rFonts w:hint="eastAsia" w:ascii="仿宋_GB2312" w:hAnsi="Calibri" w:eastAsia="仿宋_GB2312" w:cs="Times New Roman"/>
          <w:color w:val="auto"/>
          <w:sz w:val="32"/>
          <w:szCs w:val="32"/>
          <w:highlight w:val="none"/>
          <w:u w:val="none"/>
          <w:lang w:val="en-US" w:eastAsia="zh-CN"/>
        </w:rPr>
        <w:fldChar w:fldCharType="end"/>
      </w:r>
      <w:r>
        <w:rPr>
          <w:rFonts w:hint="eastAsia" w:ascii="仿宋_GB2312" w:hAnsi="Calibri" w:eastAsia="仿宋_GB2312" w:cs="Times New Roman"/>
          <w:color w:val="auto"/>
          <w:sz w:val="32"/>
          <w:szCs w:val="32"/>
          <w:highlight w:val="none"/>
          <w:u w:val="none"/>
          <w:lang w:val="en-US" w:eastAsia="zh-CN"/>
        </w:rPr>
        <w:t>机制，高质量办理各项建议、议案，推动解决经济社会发展重大问题和涉及群众切身利益问题。支持政协发挥政治协商、民主监督、参政议政作用，完善“商量”议政平台，畅通党群团体、基层组织和社会各界建言献策渠道。全面贯彻党的民族政策，积极引导宗教与社会主义社会相适应。完善大统战工作格局，促进政党关系、民族关系、宗教关系、阶层关系、海内外同胞关系和谐。健全党组织领导下的基层群众自治机制，完善以职工代表大会为基本形式的企事业单位民主管理制度，保障群众知情权、参与权、表达权、监督权。</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outlineLvl w:val="2"/>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二、扎实推进法治章丘建设</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default" w:ascii="仿宋_GB2312" w:hAnsi="Calibri" w:eastAsia="仿宋_GB2312" w:cs="Times New Roman"/>
          <w:color w:val="auto"/>
          <w:sz w:val="32"/>
          <w:szCs w:val="32"/>
          <w:highlight w:val="none"/>
          <w:u w:val="none"/>
          <w:lang w:val="en-US" w:eastAsia="zh-CN"/>
        </w:rPr>
      </w:pPr>
      <w:r>
        <w:rPr>
          <w:rFonts w:hint="eastAsia" w:ascii="仿宋_GB2312" w:hAnsi="Calibri" w:eastAsia="仿宋_GB2312" w:cs="Times New Roman"/>
          <w:color w:val="auto"/>
          <w:sz w:val="32"/>
          <w:szCs w:val="32"/>
          <w:highlight w:val="none"/>
          <w:u w:val="none"/>
          <w:lang w:val="en-US" w:eastAsia="zh-CN"/>
        </w:rPr>
        <w:t>强化“关键少数”带头作用，加大领导干部法治意识和法治思维培养，推动党政主要负责人切实履行推进法治建设的第一责任人职责。推进行政执法精准化，围绕发展执法、预防执法、问题执法，完善行政检查办法，推动监管与创新、保障、服务并举，不断提升执法能力。深入开展营商环境创新提升行动，以高质量法治服务保障经济社会高质量发展。加强全民普法工作，深入学习宣传以宪法为核心的中国特色社会主义法律体系，开展“与法同行”系列活动，推动宪法宣传教育常态化长效化，广泛开展民法典普法工作。大力加强社会主义法治文化建设，丰富法治文艺作品，加强法治文化阵地建设，壮大社会普法力量。推进法治学校、法治医院、法治企业、法治乡村、法治社区建设，全面提升社会治理法治化水平。</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outlineLvl w:val="2"/>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三、深入推进依法行政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auto"/>
          <w:kern w:val="44"/>
          <w:sz w:val="32"/>
          <w:szCs w:val="32"/>
          <w:highlight w:val="none"/>
          <w:lang w:val="en-US" w:eastAsia="zh-CN" w:bidi="ar"/>
        </w:rPr>
      </w:pPr>
      <w:r>
        <w:rPr>
          <w:rFonts w:hint="eastAsia" w:ascii="仿宋_GB2312" w:hAnsi="Calibri" w:eastAsia="仿宋_GB2312" w:cs="Times New Roman"/>
          <w:color w:val="auto"/>
          <w:sz w:val="32"/>
          <w:szCs w:val="32"/>
          <w:highlight w:val="none"/>
          <w:u w:val="none"/>
          <w:lang w:val="en-US" w:eastAsia="zh-CN"/>
        </w:rPr>
        <w:t>健全政府依法决策机制，严格落实重大行政决策程序，完善重大决策、规范性文件合法性审查机制，强化合法性审查刚性约束。推进和完善政府法律顾问制度，选优配强政府法律顾问队伍，充分发挥政府法律顾问在行政决策合法性审查等法律事务中的作用，提升依法决策水平。深化行政执法体制改革，完善基层综合执法体制机制，大力提高执法执行力和公信力。健全行政执法监督体制机制，推动行政执法监督与其他各类监督有机贯通、相互协调，提升行政执法监督效能。严格落实行政执法“三项制度”，完善行政处罚等领域行政裁量权基准制度，加强行政执法与刑事司法的有效衔接，保障行政处罚和刑事处罚有效衔接、法律责任落实到位。健全行政复议体制机制，深化行政争议诉源治理，发挥行政复议化解行政争议主渠道作用。</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default" w:ascii="方正小标宋简体" w:hAnsi="方正小标宋简体" w:eastAsia="方正小标宋简体" w:cs="方正小标宋简体"/>
          <w:b w:val="0"/>
          <w:bCs w:val="0"/>
          <w:color w:val="auto"/>
          <w:kern w:val="2"/>
          <w:sz w:val="32"/>
          <w:szCs w:val="40"/>
          <w:highlight w:val="none"/>
          <w:lang w:val="en-US" w:eastAsia="zh-CN" w:bidi="ar-SA"/>
        </w:rPr>
      </w:pPr>
    </w:p>
    <w:p>
      <w:pPr>
        <w:keepNext w:val="0"/>
        <w:keepLines w:val="0"/>
        <w:pageBreakBefore w:val="0"/>
        <w:widowControl w:val="0"/>
        <w:kinsoku/>
        <w:wordWrap/>
        <w:autoSpaceDE/>
        <w:autoSpaceDN/>
        <w:bidi w:val="0"/>
        <w:spacing w:line="560" w:lineRule="exact"/>
        <w:textAlignment w:val="auto"/>
        <w:rPr>
          <w:rFonts w:hint="eastAsia" w:ascii="仿宋_GB2312" w:hAnsi="仿宋_GB2312" w:eastAsia="仿宋_GB2312" w:cs="仿宋_GB2312"/>
          <w:bCs/>
          <w:color w:val="auto"/>
          <w:kern w:val="44"/>
          <w:sz w:val="32"/>
          <w:szCs w:val="32"/>
          <w:highlight w:val="none"/>
          <w:lang w:val="en-US" w:eastAsia="zh-CN" w:bidi="ar"/>
        </w:rPr>
      </w:pPr>
      <w:r>
        <w:rPr>
          <w:rFonts w:hint="eastAsia" w:ascii="仿宋_GB2312" w:hAnsi="仿宋_GB2312" w:eastAsia="仿宋_GB2312" w:cs="仿宋_GB2312"/>
          <w:bCs/>
          <w:color w:val="auto"/>
          <w:kern w:val="44"/>
          <w:sz w:val="32"/>
          <w:szCs w:val="32"/>
          <w:highlight w:val="none"/>
          <w:lang w:val="en-US" w:eastAsia="zh-CN" w:bidi="ar"/>
        </w:rPr>
        <w:br w:type="page"/>
      </w:r>
    </w:p>
    <w:p>
      <w:pPr>
        <w:pStyle w:val="8"/>
        <w:keepNext w:val="0"/>
        <w:keepLines w:val="0"/>
        <w:pageBreakBefore w:val="0"/>
        <w:widowControl w:val="0"/>
        <w:kinsoku/>
        <w:wordWrap/>
        <w:autoSpaceDE/>
        <w:autoSpaceDN/>
        <w:bidi w:val="0"/>
        <w:spacing w:line="560" w:lineRule="exact"/>
        <w:jc w:val="center"/>
        <w:textAlignment w:val="auto"/>
        <w:outlineLvl w:val="0"/>
        <w:rPr>
          <w:rFonts w:hint="eastAsia" w:ascii="方正小标宋简体" w:hAnsi="方正小标宋简体" w:eastAsia="方正小标宋简体" w:cs="方正小标宋简体"/>
          <w:b w:val="0"/>
          <w:bCs w:val="0"/>
          <w:color w:val="auto"/>
          <w:kern w:val="2"/>
          <w:sz w:val="44"/>
          <w:szCs w:val="44"/>
          <w:highlight w:val="none"/>
          <w:lang w:val="en-US" w:eastAsia="zh-CN" w:bidi="ar-SA"/>
        </w:rPr>
      </w:pPr>
      <w:bookmarkStart w:id="130" w:name="_Toc8598"/>
      <w:r>
        <w:rPr>
          <w:rFonts w:hint="eastAsia" w:ascii="方正小标宋简体" w:hAnsi="方正小标宋简体" w:eastAsia="方正小标宋简体" w:cs="方正小标宋简体"/>
          <w:b w:val="0"/>
          <w:bCs w:val="0"/>
          <w:color w:val="auto"/>
          <w:kern w:val="2"/>
          <w:sz w:val="44"/>
          <w:szCs w:val="44"/>
          <w:highlight w:val="none"/>
          <w:lang w:val="en-US" w:eastAsia="zh-CN" w:bidi="ar-SA"/>
        </w:rPr>
        <w:t>第十三章  强化规划实施保障，确保各项目标任务落地见效</w:t>
      </w:r>
      <w:bookmarkEnd w:id="130"/>
    </w:p>
    <w:p>
      <w:pPr>
        <w:keepNext w:val="0"/>
        <w:keepLines w:val="0"/>
        <w:pageBreakBefore w:val="0"/>
        <w:widowControl w:val="0"/>
        <w:kinsoku/>
        <w:wordWrap/>
        <w:overflowPunct w:val="0"/>
        <w:topLinePunct w:val="0"/>
        <w:autoSpaceDE/>
        <w:autoSpaceDN/>
        <w:bidi w:val="0"/>
        <w:adjustRightInd w:val="0"/>
        <w:snapToGrid w:val="0"/>
        <w:spacing w:before="157" w:beforeLines="50" w:after="157" w:afterLines="50" w:line="560" w:lineRule="exact"/>
        <w:ind w:firstLine="0" w:firstLineChars="0"/>
        <w:jc w:val="center"/>
        <w:textAlignment w:val="auto"/>
        <w:outlineLvl w:val="1"/>
        <w:rPr>
          <w:rFonts w:hint="eastAsia" w:ascii="文星标宋" w:hAnsi="文星标宋" w:eastAsia="文星标宋" w:cs="文星标宋"/>
          <w:b w:val="0"/>
          <w:bCs w:val="0"/>
          <w:color w:val="auto"/>
          <w:sz w:val="32"/>
          <w:szCs w:val="32"/>
          <w:highlight w:val="none"/>
        </w:rPr>
      </w:pPr>
      <w:bookmarkStart w:id="131" w:name="_Toc24208"/>
      <w:bookmarkStart w:id="132" w:name="_Toc21853"/>
      <w:bookmarkStart w:id="133" w:name="_Toc26122"/>
      <w:bookmarkStart w:id="134" w:name="_Toc15067"/>
      <w:r>
        <w:rPr>
          <w:rFonts w:hint="eastAsia" w:ascii="文星标宋" w:hAnsi="文星标宋" w:eastAsia="文星标宋" w:cs="文星标宋"/>
          <w:b w:val="0"/>
          <w:bCs w:val="0"/>
          <w:color w:val="auto"/>
          <w:sz w:val="32"/>
          <w:szCs w:val="32"/>
          <w:highlight w:val="none"/>
          <w:lang w:val="en-US" w:eastAsia="zh-CN"/>
        </w:rPr>
        <w:t xml:space="preserve">第一节  </w:t>
      </w:r>
      <w:bookmarkEnd w:id="131"/>
      <w:bookmarkEnd w:id="132"/>
      <w:r>
        <w:rPr>
          <w:rFonts w:hint="eastAsia" w:ascii="文星标宋" w:hAnsi="文星标宋" w:eastAsia="文星标宋" w:cs="文星标宋"/>
          <w:b w:val="0"/>
          <w:bCs w:val="0"/>
          <w:color w:val="auto"/>
          <w:sz w:val="32"/>
          <w:szCs w:val="32"/>
          <w:highlight w:val="none"/>
        </w:rPr>
        <w:t>加强党的全面领导</w:t>
      </w:r>
      <w:bookmarkEnd w:id="133"/>
      <w:bookmarkEnd w:id="134"/>
    </w:p>
    <w:p>
      <w:pPr>
        <w:keepNext w:val="0"/>
        <w:keepLines w:val="0"/>
        <w:pageBreakBefore w:val="0"/>
        <w:widowControl w:val="0"/>
        <w:kinsoku/>
        <w:wordWrap/>
        <w:topLinePunct w:val="0"/>
        <w:autoSpaceDE/>
        <w:autoSpaceDN/>
        <w:bidi w:val="0"/>
        <w:spacing w:before="157" w:beforeLines="50" w:after="157" w:afterLines="50" w:afterAutospacing="0" w:line="560" w:lineRule="exact"/>
        <w:ind w:firstLine="640" w:firstLineChars="200"/>
        <w:jc w:val="both"/>
        <w:textAlignment w:val="auto"/>
        <w:rPr>
          <w:rFonts w:hint="default" w:ascii="仿宋_GB2312" w:hAnsi="仿宋_GB2312" w:eastAsia="仿宋_GB2312" w:cstheme="minorBidi"/>
          <w:color w:val="auto"/>
          <w:kern w:val="2"/>
          <w:sz w:val="32"/>
          <w:szCs w:val="32"/>
          <w:highlight w:val="none"/>
          <w:lang w:val="en-US" w:eastAsia="zh-CN" w:bidi="ar-SA"/>
        </w:rPr>
      </w:pPr>
      <w:r>
        <w:rPr>
          <w:rFonts w:hint="default" w:ascii="仿宋_GB2312" w:hAnsi="仿宋_GB2312" w:eastAsia="仿宋_GB2312" w:cstheme="minorBidi"/>
          <w:color w:val="auto"/>
          <w:kern w:val="2"/>
          <w:sz w:val="32"/>
          <w:szCs w:val="32"/>
          <w:highlight w:val="none"/>
          <w:lang w:val="en-US" w:eastAsia="zh-CN" w:bidi="ar-SA"/>
        </w:rPr>
        <w:t>始终将党的领导贯穿于规划实施各领域全过程，深学笃用习近平新时代中国特色社会主义思想，不断增强“四个意识”、坚定“四个自信”、做到“两个维护”。坚持和完善党领导经济社会发展的体制机制，确保中央大政方针及省、市决策部署在章丘不折不扣落地生根。优化完善区委对重大工作的领导体制，成立由区委、区政府主要负责同志担任组长的规划实施领导小组，全面负责规划推进中的战略谋划、统筹协调、政策研究和督促落实。定期召开领导小组会议，研判形势，部署任务，解决规划实施中遇到的全局性、关键性问题，确保规划目标明确、路径清晰、推进有力。</w:t>
      </w:r>
    </w:p>
    <w:p>
      <w:pPr>
        <w:keepNext w:val="0"/>
        <w:keepLines w:val="0"/>
        <w:pageBreakBefore w:val="0"/>
        <w:widowControl w:val="0"/>
        <w:kinsoku/>
        <w:wordWrap/>
        <w:overflowPunct w:val="0"/>
        <w:topLinePunct w:val="0"/>
        <w:autoSpaceDE/>
        <w:autoSpaceDN/>
        <w:bidi w:val="0"/>
        <w:adjustRightInd w:val="0"/>
        <w:snapToGrid w:val="0"/>
        <w:spacing w:before="157" w:beforeLines="50" w:after="157" w:afterLines="50" w:line="560" w:lineRule="exact"/>
        <w:ind w:firstLine="0" w:firstLineChars="0"/>
        <w:jc w:val="center"/>
        <w:textAlignment w:val="auto"/>
        <w:outlineLvl w:val="1"/>
        <w:rPr>
          <w:rFonts w:hint="eastAsia" w:ascii="文星标宋" w:hAnsi="文星标宋" w:eastAsia="文星标宋" w:cs="文星标宋"/>
          <w:b w:val="0"/>
          <w:bCs w:val="0"/>
          <w:color w:val="auto"/>
          <w:sz w:val="32"/>
          <w:szCs w:val="32"/>
          <w:highlight w:val="none"/>
          <w:lang w:val="en-US" w:eastAsia="zh-CN"/>
        </w:rPr>
      </w:pPr>
      <w:bookmarkStart w:id="135" w:name="_Toc12759"/>
      <w:bookmarkStart w:id="136" w:name="_Toc3757"/>
      <w:bookmarkStart w:id="137" w:name="_Toc17878"/>
      <w:bookmarkStart w:id="138" w:name="_Toc29618"/>
      <w:bookmarkStart w:id="139" w:name="_Toc6527"/>
      <w:bookmarkStart w:id="140" w:name="_Toc4363"/>
      <w:bookmarkStart w:id="141" w:name="_Toc17486"/>
      <w:bookmarkStart w:id="142" w:name="_Toc29839"/>
      <w:bookmarkStart w:id="143" w:name="_Toc24552"/>
      <w:bookmarkStart w:id="144" w:name="_Toc30822"/>
      <w:bookmarkStart w:id="145" w:name="_Toc13318"/>
      <w:bookmarkStart w:id="146" w:name="_Toc16878"/>
      <w:r>
        <w:rPr>
          <w:rFonts w:hint="eastAsia" w:ascii="文星标宋" w:hAnsi="文星标宋" w:eastAsia="文星标宋" w:cs="文星标宋"/>
          <w:b w:val="0"/>
          <w:bCs w:val="0"/>
          <w:color w:val="auto"/>
          <w:sz w:val="32"/>
          <w:szCs w:val="32"/>
          <w:highlight w:val="none"/>
          <w:lang w:val="en-US" w:eastAsia="zh-CN"/>
        </w:rPr>
        <w:t xml:space="preserve">第二节  </w:t>
      </w:r>
      <w:bookmarkEnd w:id="135"/>
      <w:bookmarkEnd w:id="136"/>
      <w:bookmarkEnd w:id="137"/>
      <w:bookmarkEnd w:id="138"/>
      <w:r>
        <w:rPr>
          <w:rFonts w:hint="eastAsia" w:ascii="文星标宋" w:hAnsi="文星标宋" w:eastAsia="文星标宋" w:cs="文星标宋"/>
          <w:b w:val="0"/>
          <w:bCs w:val="0"/>
          <w:color w:val="auto"/>
          <w:sz w:val="32"/>
          <w:szCs w:val="32"/>
          <w:highlight w:val="none"/>
          <w:lang w:val="en-US" w:eastAsia="zh-CN"/>
        </w:rPr>
        <w:t>健全规划实施机制</w:t>
      </w:r>
      <w:bookmarkEnd w:id="139"/>
      <w:bookmarkEnd w:id="140"/>
      <w:bookmarkEnd w:id="141"/>
      <w:bookmarkEnd w:id="142"/>
    </w:p>
    <w:p>
      <w:pPr>
        <w:keepNext w:val="0"/>
        <w:keepLines w:val="0"/>
        <w:pageBreakBefore w:val="0"/>
        <w:widowControl w:val="0"/>
        <w:kinsoku/>
        <w:wordWrap/>
        <w:topLinePunct w:val="0"/>
        <w:autoSpaceDE/>
        <w:autoSpaceDN/>
        <w:bidi w:val="0"/>
        <w:spacing w:afterAutospacing="0" w:line="560" w:lineRule="exact"/>
        <w:ind w:firstLine="640" w:firstLineChars="200"/>
        <w:jc w:val="both"/>
        <w:textAlignment w:val="auto"/>
        <w:rPr>
          <w:rFonts w:hint="eastAsia" w:ascii="仿宋_GB2312" w:hAnsi="仿宋_GB2312" w:eastAsia="仿宋_GB2312" w:cstheme="minorBidi"/>
          <w:color w:val="auto"/>
          <w:kern w:val="2"/>
          <w:sz w:val="32"/>
          <w:szCs w:val="32"/>
          <w:highlight w:val="none"/>
          <w:lang w:val="en-US" w:eastAsia="zh-CN" w:bidi="ar-SA"/>
        </w:rPr>
      </w:pPr>
      <w:r>
        <w:rPr>
          <w:rFonts w:hint="eastAsia" w:ascii="仿宋_GB2312" w:hAnsi="仿宋_GB2312" w:eastAsia="仿宋_GB2312" w:cstheme="minorBidi"/>
          <w:color w:val="auto"/>
          <w:kern w:val="2"/>
          <w:sz w:val="32"/>
          <w:szCs w:val="32"/>
          <w:highlight w:val="none"/>
          <w:lang w:val="en-US" w:eastAsia="zh-CN" w:bidi="ar-SA"/>
        </w:rPr>
        <w:t>构建以全区发展规划为总遵循，国土空间规划为基础，各类专项规划为支撑，统一规范、分级分类、高效协同的规划体系。建立健全规划编制目录清单管理、规划衔接协调、动态调整修订与全过程监测督导机制。区直各部门、各街道（镇）须严格依据规划确定的发展方向、重点任务和目标要求，加快制定专项实施方案和年度工作计划，加强横向协同与纵向联动，形成推动规划落实的强大合力。健全宏观政策协调机制，将各类经济政策和非经济政策纳入一致性评估，增强政策组合效能。</w:t>
      </w:r>
    </w:p>
    <w:p>
      <w:pPr>
        <w:keepNext w:val="0"/>
        <w:keepLines w:val="0"/>
        <w:pageBreakBefore w:val="0"/>
        <w:widowControl w:val="0"/>
        <w:kinsoku/>
        <w:wordWrap/>
        <w:overflowPunct w:val="0"/>
        <w:topLinePunct w:val="0"/>
        <w:autoSpaceDE/>
        <w:autoSpaceDN/>
        <w:bidi w:val="0"/>
        <w:adjustRightInd w:val="0"/>
        <w:snapToGrid w:val="0"/>
        <w:spacing w:before="157" w:beforeLines="50" w:after="157" w:afterLines="50" w:line="560" w:lineRule="exact"/>
        <w:ind w:firstLine="0" w:firstLineChars="0"/>
        <w:jc w:val="center"/>
        <w:textAlignment w:val="auto"/>
        <w:outlineLvl w:val="1"/>
        <w:rPr>
          <w:rFonts w:hint="default" w:ascii="文星标宋" w:hAnsi="文星标宋" w:eastAsia="文星标宋" w:cs="文星标宋"/>
          <w:b w:val="0"/>
          <w:bCs w:val="0"/>
          <w:color w:val="auto"/>
          <w:sz w:val="32"/>
          <w:szCs w:val="32"/>
          <w:highlight w:val="none"/>
          <w:lang w:val="en-US" w:eastAsia="zh-CN"/>
        </w:rPr>
      </w:pPr>
      <w:bookmarkStart w:id="147" w:name="_Toc16623"/>
      <w:bookmarkStart w:id="148" w:name="_Toc18923"/>
      <w:r>
        <w:rPr>
          <w:rFonts w:hint="eastAsia" w:ascii="文星标宋" w:hAnsi="文星标宋" w:eastAsia="文星标宋" w:cs="文星标宋"/>
          <w:b w:val="0"/>
          <w:bCs w:val="0"/>
          <w:color w:val="auto"/>
          <w:sz w:val="32"/>
          <w:szCs w:val="32"/>
          <w:highlight w:val="none"/>
          <w:lang w:val="en-US" w:eastAsia="zh-CN"/>
        </w:rPr>
        <w:t xml:space="preserve">第三节  </w:t>
      </w:r>
      <w:bookmarkEnd w:id="143"/>
      <w:bookmarkEnd w:id="144"/>
      <w:bookmarkEnd w:id="145"/>
      <w:bookmarkEnd w:id="146"/>
      <w:r>
        <w:rPr>
          <w:rFonts w:hint="eastAsia" w:ascii="文星标宋" w:hAnsi="文星标宋" w:eastAsia="文星标宋" w:cs="文星标宋"/>
          <w:b w:val="0"/>
          <w:bCs w:val="0"/>
          <w:color w:val="auto"/>
          <w:sz w:val="32"/>
          <w:szCs w:val="32"/>
          <w:highlight w:val="none"/>
          <w:lang w:val="en-US" w:eastAsia="zh-CN"/>
        </w:rPr>
        <w:t>强化政策支撑保障</w:t>
      </w:r>
      <w:bookmarkEnd w:id="147"/>
      <w:bookmarkEnd w:id="148"/>
    </w:p>
    <w:p>
      <w:pPr>
        <w:keepNext w:val="0"/>
        <w:keepLines w:val="0"/>
        <w:pageBreakBefore w:val="0"/>
        <w:widowControl w:val="0"/>
        <w:kinsoku/>
        <w:wordWrap/>
        <w:topLinePunct w:val="0"/>
        <w:autoSpaceDE/>
        <w:autoSpaceDN/>
        <w:bidi w:val="0"/>
        <w:spacing w:afterAutospacing="0" w:line="560" w:lineRule="exact"/>
        <w:ind w:firstLine="640" w:firstLineChars="200"/>
        <w:jc w:val="both"/>
        <w:textAlignment w:val="auto"/>
        <w:rPr>
          <w:rFonts w:hint="eastAsia" w:ascii="仿宋_GB2312" w:hAnsi="仿宋_GB2312" w:eastAsia="仿宋_GB2312" w:cstheme="minorBidi"/>
          <w:color w:val="auto"/>
          <w:kern w:val="2"/>
          <w:sz w:val="32"/>
          <w:szCs w:val="32"/>
          <w:highlight w:val="none"/>
          <w:lang w:val="zh-CN" w:eastAsia="zh-CN" w:bidi="ar-SA"/>
        </w:rPr>
      </w:pPr>
      <w:bookmarkStart w:id="149" w:name="_Toc4353"/>
      <w:r>
        <w:rPr>
          <w:rFonts w:hint="eastAsia" w:ascii="仿宋_GB2312" w:hAnsi="仿宋_GB2312" w:eastAsia="仿宋_GB2312" w:cstheme="minorBidi"/>
          <w:color w:val="auto"/>
          <w:kern w:val="2"/>
          <w:sz w:val="32"/>
          <w:szCs w:val="32"/>
          <w:highlight w:val="none"/>
          <w:lang w:val="zh-CN" w:eastAsia="zh-CN" w:bidi="ar-SA"/>
        </w:rPr>
        <w:t>充分发挥发展规划的战略导向和约束作用，强化对公共资源配置、重大项目布局、财政预算安排的引导约束。创新要素市场化配置方式，综合运用信用激励、标准引导、能耗管控、排放约束、价格调节等手段，优化发展环境。推动规划项目布局与要素保障、资源环境、基础设施条件相匹配，强化“项目跟着规划走”“要素跟着项目走”，加大对重点片区和重要产业项目建设的要素保障力度，优先保障土地、资金、数据、人才、用能等资源。推动金融信贷、产业培育、投资消费、区域合作等公共政策与发展规划同频共振，形成目标一致、分工合理、高效协同的政策支撑体系。</w:t>
      </w:r>
    </w:p>
    <w:p>
      <w:pPr>
        <w:keepNext w:val="0"/>
        <w:keepLines w:val="0"/>
        <w:pageBreakBefore w:val="0"/>
        <w:widowControl w:val="0"/>
        <w:kinsoku/>
        <w:wordWrap/>
        <w:overflowPunct w:val="0"/>
        <w:topLinePunct w:val="0"/>
        <w:autoSpaceDE/>
        <w:autoSpaceDN/>
        <w:bidi w:val="0"/>
        <w:adjustRightInd w:val="0"/>
        <w:snapToGrid w:val="0"/>
        <w:spacing w:before="157" w:beforeLines="50" w:after="157" w:afterLines="50" w:line="560" w:lineRule="exact"/>
        <w:ind w:firstLine="0" w:firstLineChars="0"/>
        <w:jc w:val="center"/>
        <w:textAlignment w:val="auto"/>
        <w:outlineLvl w:val="1"/>
        <w:rPr>
          <w:rFonts w:hint="default" w:ascii="文星标宋" w:hAnsi="文星标宋" w:eastAsia="文星标宋" w:cs="文星标宋"/>
          <w:b w:val="0"/>
          <w:bCs w:val="0"/>
          <w:color w:val="auto"/>
          <w:sz w:val="32"/>
          <w:szCs w:val="32"/>
          <w:highlight w:val="none"/>
          <w:lang w:val="en-US" w:eastAsia="zh-CN"/>
        </w:rPr>
      </w:pPr>
      <w:bookmarkStart w:id="150" w:name="_Toc30839"/>
      <w:bookmarkStart w:id="151" w:name="_Toc15819"/>
      <w:r>
        <w:rPr>
          <w:rFonts w:hint="eastAsia" w:ascii="文星标宋" w:hAnsi="文星标宋" w:eastAsia="文星标宋" w:cs="文星标宋"/>
          <w:b w:val="0"/>
          <w:bCs w:val="0"/>
          <w:color w:val="auto"/>
          <w:sz w:val="32"/>
          <w:szCs w:val="32"/>
          <w:highlight w:val="none"/>
          <w:lang w:val="en-US" w:eastAsia="zh-CN"/>
        </w:rPr>
        <w:t xml:space="preserve">第四节  </w:t>
      </w:r>
      <w:bookmarkEnd w:id="149"/>
      <w:bookmarkStart w:id="152" w:name="_Toc23909"/>
      <w:bookmarkStart w:id="153" w:name="_Toc11164"/>
      <w:bookmarkStart w:id="154" w:name="_Toc26696"/>
      <w:bookmarkStart w:id="155" w:name="_Toc3424"/>
      <w:bookmarkStart w:id="156" w:name="_Toc7091"/>
      <w:bookmarkStart w:id="157" w:name="_Toc27574"/>
      <w:r>
        <w:rPr>
          <w:rFonts w:hint="eastAsia" w:ascii="文星标宋" w:hAnsi="文星标宋" w:eastAsia="文星标宋" w:cs="文星标宋"/>
          <w:b w:val="0"/>
          <w:bCs w:val="0"/>
          <w:color w:val="auto"/>
          <w:sz w:val="32"/>
          <w:szCs w:val="32"/>
          <w:highlight w:val="none"/>
          <w:lang w:val="en-US" w:eastAsia="zh-CN"/>
        </w:rPr>
        <w:t>动员人民广泛参与</w:t>
      </w:r>
      <w:bookmarkEnd w:id="150"/>
      <w:bookmarkEnd w:id="151"/>
      <w:bookmarkEnd w:id="152"/>
      <w:bookmarkEnd w:id="153"/>
      <w:bookmarkEnd w:id="154"/>
      <w:bookmarkEnd w:id="155"/>
      <w:bookmarkEnd w:id="156"/>
      <w:bookmarkEnd w:id="157"/>
    </w:p>
    <w:p>
      <w:pPr>
        <w:keepNext w:val="0"/>
        <w:keepLines w:val="0"/>
        <w:pageBreakBefore w:val="0"/>
        <w:widowControl w:val="0"/>
        <w:kinsoku/>
        <w:wordWrap/>
        <w:topLinePunct w:val="0"/>
        <w:autoSpaceDE/>
        <w:autoSpaceDN/>
        <w:bidi w:val="0"/>
        <w:spacing w:afterAutospacing="0" w:line="560" w:lineRule="exact"/>
        <w:ind w:firstLine="640" w:firstLineChars="200"/>
        <w:jc w:val="both"/>
        <w:textAlignment w:val="auto"/>
        <w:rPr>
          <w:rFonts w:hint="eastAsia" w:ascii="方正小标宋简体" w:hAnsi="方正小标宋简体" w:eastAsia="方正小标宋简体" w:cs="方正小标宋简体"/>
          <w:b w:val="0"/>
          <w:bCs w:val="0"/>
          <w:color w:val="auto"/>
          <w:kern w:val="2"/>
          <w:sz w:val="32"/>
          <w:szCs w:val="32"/>
          <w:highlight w:val="none"/>
          <w:lang w:val="en-US" w:eastAsia="zh-CN" w:bidi="ar-SA"/>
        </w:rPr>
      </w:pPr>
      <w:r>
        <w:rPr>
          <w:rFonts w:hint="eastAsia" w:ascii="仿宋_GB2312" w:hAnsi="仿宋_GB2312" w:eastAsia="仿宋_GB2312" w:cstheme="minorBidi"/>
          <w:color w:val="auto"/>
          <w:kern w:val="2"/>
          <w:sz w:val="32"/>
          <w:szCs w:val="32"/>
          <w:highlight w:val="none"/>
          <w:lang w:val="en-US" w:eastAsia="zh-CN" w:bidi="ar-SA"/>
        </w:rPr>
        <w:t>健全社会参与机制，搭建多元化协商平台，鼓励引导市场主体、社会组织和全区人民群众积极参与章丘“十五五”规划的实施、监督和评估全过程。创新宣传形式，多渠道、全方位解读规划的战略意图、发展目标和重点任务，及时公开规划实施进展与成效，营造全社会关心支持规划实施的良好氛围。完善政府与公众、企业间的信息沟通和意见反馈渠道，认真倾听和吸纳社会各界意见建议。坚持共建共治共享，激发全体人民的主人翁意识，汇聚起推动章丘高质量发展的磅礴力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sectPr>
          <w:pgSz w:w="11906" w:h="16838"/>
          <w:pgMar w:top="2041" w:right="1531" w:bottom="2041" w:left="1531" w:header="851" w:footer="1587" w:gutter="0"/>
          <w:pgBorders>
            <w:top w:val="none" w:sz="0" w:space="0"/>
            <w:left w:val="none" w:sz="0" w:space="0"/>
            <w:bottom w:val="none" w:sz="0" w:space="0"/>
            <w:right w:val="none" w:sz="0" w:space="0"/>
          </w:pgBorders>
          <w:pgNumType w:fmt="numberInDash"/>
          <w:cols w:space="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p>
    <w:p>
      <w:pPr>
        <w:spacing w:line="600" w:lineRule="exact"/>
        <w:rPr>
          <w:rFonts w:hint="eastAsia" w:hAnsi="仿宋" w:cs="宋体"/>
          <w:color w:val="000000"/>
          <w:sz w:val="32"/>
          <w:szCs w:val="32"/>
        </w:rPr>
      </w:pPr>
    </w:p>
    <w:p>
      <w:pPr>
        <w:spacing w:line="600" w:lineRule="exact"/>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（此页无正文）</w:t>
      </w:r>
    </w:p>
    <w:p>
      <w:pPr>
        <w:spacing w:line="600" w:lineRule="exact"/>
        <w:ind w:firstLine="640" w:firstLineChars="200"/>
        <w:rPr>
          <w:rFonts w:hint="eastAsia" w:ascii="仿宋_GB2312" w:hAnsi="仿宋_GB2312" w:eastAsia="仿宋_GB2312" w:cs="仿宋_GB2312"/>
          <w:color w:val="000000"/>
          <w:sz w:val="32"/>
          <w:szCs w:val="32"/>
          <w:lang w:eastAsia="zh-CN"/>
        </w:rPr>
      </w:pPr>
    </w:p>
    <w:p>
      <w:pPr>
        <w:spacing w:line="600" w:lineRule="exact"/>
        <w:ind w:firstLine="640" w:firstLineChars="200"/>
        <w:rPr>
          <w:rFonts w:hint="eastAsia" w:ascii="仿宋_GB2312" w:hAnsi="仿宋_GB2312" w:eastAsia="仿宋_GB2312" w:cs="仿宋_GB2312"/>
          <w:color w:val="000000"/>
          <w:sz w:val="32"/>
          <w:szCs w:val="32"/>
          <w:lang w:eastAsia="zh-CN"/>
        </w:rPr>
      </w:pPr>
    </w:p>
    <w:p>
      <w:pPr>
        <w:spacing w:line="600" w:lineRule="exact"/>
        <w:ind w:firstLine="640" w:firstLineChars="200"/>
        <w:rPr>
          <w:rFonts w:hint="eastAsia" w:ascii="仿宋_GB2312" w:hAnsi="仿宋_GB2312" w:eastAsia="仿宋_GB2312" w:cs="仿宋_GB2312"/>
          <w:color w:val="000000"/>
          <w:sz w:val="32"/>
          <w:szCs w:val="32"/>
          <w:lang w:eastAsia="zh-CN"/>
        </w:rPr>
      </w:pPr>
    </w:p>
    <w:p>
      <w:pPr>
        <w:spacing w:line="600" w:lineRule="exact"/>
        <w:ind w:firstLine="640" w:firstLineChars="200"/>
        <w:rPr>
          <w:rFonts w:hint="eastAsia" w:ascii="仿宋_GB2312" w:hAnsi="仿宋_GB2312" w:eastAsia="仿宋_GB2312" w:cs="仿宋_GB2312"/>
          <w:color w:val="000000"/>
          <w:sz w:val="32"/>
          <w:szCs w:val="32"/>
          <w:lang w:eastAsia="zh-CN"/>
        </w:rPr>
      </w:pPr>
    </w:p>
    <w:p>
      <w:pPr>
        <w:spacing w:line="600" w:lineRule="exact"/>
        <w:ind w:firstLine="640" w:firstLineChars="200"/>
        <w:rPr>
          <w:rFonts w:hint="eastAsia" w:ascii="仿宋_GB2312" w:hAnsi="仿宋_GB2312" w:eastAsia="仿宋_GB2312" w:cs="仿宋_GB2312"/>
          <w:color w:val="000000"/>
          <w:sz w:val="32"/>
          <w:szCs w:val="32"/>
          <w:lang w:eastAsia="zh-CN"/>
        </w:rPr>
      </w:pPr>
    </w:p>
    <w:p>
      <w:pPr>
        <w:spacing w:line="600" w:lineRule="exact"/>
        <w:ind w:firstLine="640" w:firstLineChars="200"/>
        <w:rPr>
          <w:rFonts w:hint="eastAsia" w:ascii="仿宋_GB2312" w:hAnsi="仿宋_GB2312" w:eastAsia="仿宋_GB2312" w:cs="仿宋_GB2312"/>
          <w:color w:val="000000"/>
          <w:sz w:val="32"/>
          <w:szCs w:val="32"/>
          <w:lang w:eastAsia="zh-CN"/>
        </w:rPr>
      </w:pPr>
    </w:p>
    <w:p>
      <w:pPr>
        <w:spacing w:line="600" w:lineRule="exact"/>
        <w:ind w:firstLine="640" w:firstLineChars="200"/>
        <w:rPr>
          <w:rFonts w:hint="eastAsia" w:ascii="仿宋_GB2312" w:hAnsi="仿宋_GB2312" w:eastAsia="仿宋_GB2312" w:cs="仿宋_GB2312"/>
          <w:color w:val="000000"/>
          <w:sz w:val="32"/>
          <w:szCs w:val="32"/>
          <w:lang w:eastAsia="zh-CN"/>
        </w:rPr>
      </w:pPr>
    </w:p>
    <w:p>
      <w:pPr>
        <w:spacing w:line="600" w:lineRule="exact"/>
        <w:ind w:firstLine="640" w:firstLineChars="200"/>
        <w:rPr>
          <w:rFonts w:hint="eastAsia" w:ascii="仿宋_GB2312" w:hAnsi="仿宋_GB2312" w:eastAsia="仿宋_GB2312" w:cs="仿宋_GB2312"/>
          <w:color w:val="000000"/>
          <w:sz w:val="32"/>
          <w:szCs w:val="32"/>
          <w:lang w:eastAsia="zh-CN"/>
        </w:rPr>
      </w:pPr>
    </w:p>
    <w:p>
      <w:pPr>
        <w:spacing w:line="600" w:lineRule="exact"/>
        <w:ind w:firstLine="640" w:firstLineChars="200"/>
        <w:rPr>
          <w:rFonts w:hint="eastAsia" w:ascii="仿宋_GB2312" w:hAnsi="仿宋_GB2312" w:eastAsia="仿宋_GB2312" w:cs="仿宋_GB2312"/>
          <w:color w:val="000000"/>
          <w:sz w:val="32"/>
          <w:szCs w:val="32"/>
          <w:lang w:eastAsia="zh-CN"/>
        </w:rPr>
      </w:pPr>
    </w:p>
    <w:p>
      <w:pPr>
        <w:spacing w:line="600" w:lineRule="exact"/>
        <w:ind w:firstLine="640" w:firstLineChars="200"/>
        <w:rPr>
          <w:rFonts w:hint="eastAsia" w:ascii="仿宋_GB2312" w:hAnsi="仿宋_GB2312" w:eastAsia="仿宋_GB2312" w:cs="仿宋_GB2312"/>
          <w:color w:val="000000"/>
          <w:sz w:val="32"/>
          <w:szCs w:val="32"/>
          <w:lang w:eastAsia="zh-CN"/>
        </w:rPr>
      </w:pPr>
    </w:p>
    <w:p>
      <w:pPr>
        <w:spacing w:line="600" w:lineRule="exact"/>
        <w:ind w:firstLine="640" w:firstLineChars="200"/>
        <w:rPr>
          <w:rFonts w:hint="eastAsia" w:ascii="仿宋_GB2312" w:hAnsi="仿宋_GB2312" w:eastAsia="仿宋_GB2312" w:cs="仿宋_GB2312"/>
          <w:color w:val="000000"/>
          <w:sz w:val="32"/>
          <w:szCs w:val="32"/>
          <w:lang w:eastAsia="zh-CN"/>
        </w:rPr>
      </w:pPr>
    </w:p>
    <w:p>
      <w:pPr>
        <w:spacing w:line="600" w:lineRule="exact"/>
        <w:ind w:firstLine="640" w:firstLineChars="200"/>
        <w:rPr>
          <w:rFonts w:hint="eastAsia" w:ascii="仿宋_GB2312" w:hAnsi="仿宋_GB2312" w:eastAsia="仿宋_GB2312" w:cs="仿宋_GB2312"/>
          <w:color w:val="000000"/>
          <w:sz w:val="32"/>
          <w:szCs w:val="32"/>
          <w:lang w:eastAsia="zh-CN"/>
        </w:rPr>
      </w:pPr>
    </w:p>
    <w:p>
      <w:pPr>
        <w:spacing w:line="600" w:lineRule="exact"/>
        <w:ind w:firstLine="640" w:firstLineChars="200"/>
        <w:rPr>
          <w:rFonts w:hint="eastAsia" w:ascii="仿宋_GB2312" w:hAnsi="仿宋_GB2312" w:eastAsia="仿宋_GB2312" w:cs="仿宋_GB2312"/>
          <w:color w:val="000000"/>
          <w:sz w:val="32"/>
          <w:szCs w:val="32"/>
          <w:lang w:eastAsia="zh-CN"/>
        </w:rPr>
      </w:pPr>
    </w:p>
    <w:p>
      <w:pPr>
        <w:spacing w:line="600" w:lineRule="exact"/>
        <w:ind w:firstLine="640" w:firstLineChars="200"/>
        <w:rPr>
          <w:rFonts w:hint="eastAsia" w:ascii="仿宋_GB2312" w:hAnsi="仿宋_GB2312" w:eastAsia="仿宋_GB2312" w:cs="仿宋_GB2312"/>
          <w:color w:val="000000"/>
          <w:sz w:val="32"/>
          <w:szCs w:val="32"/>
          <w:lang w:eastAsia="zh-CN"/>
        </w:rPr>
      </w:pPr>
    </w:p>
    <w:p>
      <w:pPr>
        <w:spacing w:line="600" w:lineRule="exact"/>
        <w:ind w:firstLine="640" w:firstLineChars="200"/>
        <w:rPr>
          <w:rFonts w:hint="eastAsia" w:ascii="仿宋_GB2312" w:hAnsi="仿宋_GB2312" w:eastAsia="仿宋_GB2312" w:cs="仿宋_GB2312"/>
          <w:color w:val="000000"/>
          <w:sz w:val="32"/>
          <w:szCs w:val="32"/>
          <w:lang w:eastAsia="zh-CN"/>
        </w:rPr>
      </w:pPr>
    </w:p>
    <w:p>
      <w:pPr>
        <w:keepNext w:val="0"/>
        <w:keepLines w:val="0"/>
        <w:pageBreakBefore w:val="0"/>
        <w:widowControl w:val="0"/>
        <w:kinsoku/>
        <w:wordWrap/>
        <w:overflowPunct/>
        <w:topLinePunct w:val="0"/>
        <w:autoSpaceDE/>
        <w:autoSpaceDN/>
        <w:bidi w:val="0"/>
        <w:adjustRightInd/>
        <w:snapToGrid/>
        <w:spacing w:line="600" w:lineRule="exact"/>
        <w:ind w:left="210" w:leftChars="100" w:right="210" w:rightChars="1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mc:AlternateContent>
          <mc:Choice Requires="wps">
            <w:drawing>
              <wp:anchor distT="0" distB="0" distL="114300" distR="114300" simplePos="0" relativeHeight="251662336" behindDoc="0" locked="0" layoutInCell="1" allowOverlap="1">
                <wp:simplePos x="0" y="0"/>
                <wp:positionH relativeFrom="column">
                  <wp:posOffset>-74295</wp:posOffset>
                </wp:positionH>
                <wp:positionV relativeFrom="paragraph">
                  <wp:posOffset>23495</wp:posOffset>
                </wp:positionV>
                <wp:extent cx="5615940" cy="17780"/>
                <wp:effectExtent l="0" t="7620" r="3810" b="12700"/>
                <wp:wrapNone/>
                <wp:docPr id="10" name="直接连接符 10"/>
                <wp:cNvGraphicFramePr/>
                <a:graphic xmlns:a="http://schemas.openxmlformats.org/drawingml/2006/main">
                  <a:graphicData uri="http://schemas.microsoft.com/office/word/2010/wordprocessingShape">
                    <wps:wsp>
                      <wps:cNvCnPr/>
                      <wps:spPr>
                        <a:xfrm flipV="true">
                          <a:off x="0" y="0"/>
                          <a:ext cx="5615940" cy="17780"/>
                        </a:xfrm>
                        <a:prstGeom prst="line">
                          <a:avLst/>
                        </a:prstGeom>
                        <a:ln w="15875" cap="flat" cmpd="sng">
                          <a:solidFill>
                            <a:srgbClr val="000000"/>
                          </a:solidFill>
                          <a:prstDash val="solid"/>
                          <a:round/>
                          <a:headEnd type="none" w="med" len="med"/>
                          <a:tailEnd type="none" w="med" len="med"/>
                        </a:ln>
                        <a:effectLst/>
                      </wps:spPr>
                      <wps:bodyPr upright="true"/>
                    </wps:wsp>
                  </a:graphicData>
                </a:graphic>
              </wp:anchor>
            </w:drawing>
          </mc:Choice>
          <mc:Fallback>
            <w:pict>
              <v:line id="_x0000_s1026" o:spid="_x0000_s1026" o:spt="20" style="position:absolute;left:0pt;flip:y;margin-left:-5.85pt;margin-top:1.85pt;height:1.4pt;width:442.2pt;z-index:251662336;mso-width-relative:page;mso-height-relative:page;" filled="f" stroked="t" coordsize="21600,21600" o:gfxdata="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FgAAAGRycy9QSwECFAAUAAAACACHTuJAPPQso9UAAAAHAQAADwAAAAAAAAABACAAAAA4AAAA&#10;ZHJzL2Rvd25yZXYueG1sUEsBAhQAFAAAAAgAh07iQA/69Nb0AQAAxQMAAA4AAAAAAAAAAQAgAAAA&#10;OgEAAGRycy9lMm9Eb2MueG1sUEsFBgAAAAAGAAYAWQEAAKAFAAAAAA==&#10;">
                <v:fill on="f" focussize="0,0"/>
                <v:stroke weight="1.25pt" color="#000000" joinstyle="round"/>
                <v:imagedata o:title=""/>
                <o:lock v:ext="edit" aspectratio="f"/>
              </v:line>
            </w:pict>
          </mc:Fallback>
        </mc:AlternateContent>
      </w:r>
      <w:r>
        <w:rPr>
          <w:rFonts w:hint="eastAsia" w:ascii="仿宋_GB2312" w:hAnsi="仿宋_GB2312" w:eastAsia="仿宋_GB2312" w:cs="仿宋_GB2312"/>
          <w:color w:val="000000"/>
          <w:sz w:val="28"/>
          <w:szCs w:val="28"/>
        </w:rPr>
        <w:t>抄送：区委办公室，区人大常委会办公室，区政协办公室，区法院，</w:t>
      </w:r>
    </w:p>
    <w:p>
      <w:pPr>
        <w:keepNext w:val="0"/>
        <w:keepLines w:val="0"/>
        <w:pageBreakBefore w:val="0"/>
        <w:widowControl w:val="0"/>
        <w:kinsoku/>
        <w:wordWrap/>
        <w:overflowPunct/>
        <w:topLinePunct w:val="0"/>
        <w:autoSpaceDE/>
        <w:autoSpaceDN/>
        <w:bidi w:val="0"/>
        <w:adjustRightInd/>
        <w:snapToGrid/>
        <w:spacing w:line="600" w:lineRule="exact"/>
        <w:ind w:left="210" w:leftChars="100" w:right="210" w:rightChars="100" w:firstLine="840" w:firstLineChars="3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区检察院，区人武部。</w:t>
      </w:r>
    </w:p>
    <w:p>
      <w:pPr>
        <w:keepNext w:val="0"/>
        <w:keepLines w:val="0"/>
        <w:pageBreakBefore w:val="0"/>
        <w:widowControl w:val="0"/>
        <w:kinsoku/>
        <w:wordWrap/>
        <w:overflowPunct/>
        <w:topLinePunct w:val="0"/>
        <w:autoSpaceDE/>
        <w:autoSpaceDN/>
        <w:bidi w:val="0"/>
        <w:adjustRightInd/>
        <w:snapToGrid/>
        <w:spacing w:line="580" w:lineRule="exact"/>
        <w:ind w:left="210" w:leftChars="100" w:right="210" w:rightChars="100"/>
        <w:textAlignment w:val="auto"/>
        <w:rPr>
          <w:rFonts w:hint="eastAsia" w:ascii="楷体_GB2312" w:hAnsi="楷体_GB2312" w:eastAsia="楷体_GB2312" w:cs="楷体_GB2312"/>
          <w:sz w:val="32"/>
          <w:szCs w:val="32"/>
          <w:lang w:val="en-US" w:eastAsia="zh-CN"/>
        </w:rPr>
      </w:pPr>
      <w:r>
        <w:rPr>
          <w:rFonts w:hint="eastAsia" w:ascii="仿宋_GB2312" w:hAnsi="仿宋_GB2312" w:eastAsia="仿宋_GB2312" w:cs="仿宋_GB2312"/>
          <w:color w:val="000000"/>
          <w:sz w:val="28"/>
          <w:szCs w:val="28"/>
        </w:rPr>
        <mc:AlternateContent>
          <mc:Choice Requires="wps">
            <w:drawing>
              <wp:anchor distT="0" distB="0" distL="114300" distR="114300" simplePos="0" relativeHeight="251663360" behindDoc="0" locked="0" layoutInCell="1" allowOverlap="1">
                <wp:simplePos x="0" y="0"/>
                <wp:positionH relativeFrom="column">
                  <wp:posOffset>-74295</wp:posOffset>
                </wp:positionH>
                <wp:positionV relativeFrom="paragraph">
                  <wp:posOffset>435610</wp:posOffset>
                </wp:positionV>
                <wp:extent cx="5615940" cy="3810"/>
                <wp:effectExtent l="0" t="0" r="0" b="0"/>
                <wp:wrapNone/>
                <wp:docPr id="9" name="直接连接符 9"/>
                <wp:cNvGraphicFramePr/>
                <a:graphic xmlns:a="http://schemas.openxmlformats.org/drawingml/2006/main">
                  <a:graphicData uri="http://schemas.microsoft.com/office/word/2010/wordprocessingShape">
                    <wps:wsp>
                      <wps:cNvCnPr/>
                      <wps:spPr>
                        <a:xfrm flipV="true">
                          <a:off x="0" y="0"/>
                          <a:ext cx="5615940" cy="3810"/>
                        </a:xfrm>
                        <a:prstGeom prst="line">
                          <a:avLst/>
                        </a:prstGeom>
                        <a:ln w="15875" cap="flat" cmpd="sng">
                          <a:solidFill>
                            <a:srgbClr val="000000"/>
                          </a:solidFill>
                          <a:prstDash val="solid"/>
                          <a:round/>
                          <a:headEnd type="none" w="med" len="med"/>
                          <a:tailEnd type="none" w="med" len="med"/>
                        </a:ln>
                        <a:effectLst/>
                      </wps:spPr>
                      <wps:bodyPr upright="true"/>
                    </wps:wsp>
                  </a:graphicData>
                </a:graphic>
              </wp:anchor>
            </w:drawing>
          </mc:Choice>
          <mc:Fallback>
            <w:pict>
              <v:line id="_x0000_s1026" o:spid="_x0000_s1026" o:spt="20" style="position:absolute;left:0pt;flip:y;margin-left:-5.85pt;margin-top:34.3pt;height:0.3pt;width:442.2pt;z-index:251663360;mso-width-relative:page;mso-height-relative:page;" filled="f" stroked="t" coordsize="21600,21600" o:gfxdata="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L7Bn2rWAAAACQEAAA8AAAAAAAAAAQAgAAAAOAAA&#10;AGRycy9kb3ducmV2LnhtbFBLAQIUABQAAAAIAIdO4kC/E1E/9AEAAMIDAAAOAAAAAAAAAAEAIAAA&#10;ADsBAABkcnMvZTJvRG9jLnhtbFBLBQYAAAAABgAGAFkBAAChBQAAAAA=&#10;">
                <v:fill on="f" focussize="0,0"/>
                <v:stroke weight="1.25pt" color="#000000" joinstyle="round"/>
                <v:imagedata o:title=""/>
                <o:lock v:ext="edit" aspectratio="f"/>
              </v:line>
            </w:pict>
          </mc:Fallback>
        </mc:AlternateContent>
      </w:r>
      <w:r>
        <w:rPr>
          <w:rFonts w:hint="eastAsia" w:ascii="仿宋_GB2312" w:hAnsi="仿宋_GB2312" w:eastAsia="仿宋_GB2312" w:cs="仿宋_GB2312"/>
          <w:color w:val="000000"/>
          <w:sz w:val="28"/>
          <w:szCs w:val="28"/>
        </w:rPr>
        <mc:AlternateContent>
          <mc:Choice Requires="wps">
            <w:drawing>
              <wp:anchor distT="0" distB="0" distL="114300" distR="114300" simplePos="0" relativeHeight="251664384" behindDoc="0" locked="0" layoutInCell="1" allowOverlap="1">
                <wp:simplePos x="0" y="0"/>
                <wp:positionH relativeFrom="column">
                  <wp:posOffset>-74295</wp:posOffset>
                </wp:positionH>
                <wp:positionV relativeFrom="paragraph">
                  <wp:posOffset>50165</wp:posOffset>
                </wp:positionV>
                <wp:extent cx="5615940" cy="0"/>
                <wp:effectExtent l="0" t="4445" r="0" b="5080"/>
                <wp:wrapNone/>
                <wp:docPr id="7" name="直接连接符 7"/>
                <wp:cNvGraphicFramePr/>
                <a:graphic xmlns:a="http://schemas.openxmlformats.org/drawingml/2006/main">
                  <a:graphicData uri="http://schemas.microsoft.com/office/word/2010/wordprocessingShape">
                    <wps:wsp>
                      <wps:cNvCnPr/>
                      <wps:spPr>
                        <a:xfrm flipV="true">
                          <a:off x="0" y="0"/>
                          <a:ext cx="5615940" cy="0"/>
                        </a:xfrm>
                        <a:prstGeom prst="line">
                          <a:avLst/>
                        </a:prstGeom>
                        <a:ln w="9525" cap="flat" cmpd="sng">
                          <a:solidFill>
                            <a:srgbClr val="000000"/>
                          </a:solidFill>
                          <a:prstDash val="solid"/>
                          <a:round/>
                          <a:headEnd type="none" w="med" len="med"/>
                          <a:tailEnd type="none" w="med" len="med"/>
                        </a:ln>
                        <a:effectLst/>
                      </wps:spPr>
                      <wps:bodyPr upright="true"/>
                    </wps:wsp>
                  </a:graphicData>
                </a:graphic>
              </wp:anchor>
            </w:drawing>
          </mc:Choice>
          <mc:Fallback>
            <w:pict>
              <v:line id="_x0000_s1026" o:spid="_x0000_s1026" o:spt="20" style="position:absolute;left:0pt;flip:y;margin-left:-5.85pt;margin-top:3.95pt;height:0pt;width:442.2pt;z-index:251664384;mso-width-relative:page;mso-height-relative:page;" filled="f" stroked="t" coordsize="21600,21600" o:gfxdata="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WAAAA&#10;ZHJzL1BLAQIUABQAAAAIAIdO4kDQmdd90wAAAAcBAAAPAAAAAAAAAAEAIAAAADgAAABkcnMvZG93&#10;bnJldi54bWxQSwECFAAUAAAACACHTuJAvpc65O8BAAC+AwAADgAAAAAAAAABACAAAAA4AQAAZHJz&#10;L2Uyb0RvYy54bWxQSwUGAAAAAAYABgBZAQAAmQUAAAAA&#10;">
                <v:fill on="f" focussize="0,0"/>
                <v:stroke color="#000000" joinstyle="round"/>
                <v:imagedata o:title=""/>
                <o:lock v:ext="edit" aspectratio="f"/>
              </v:line>
            </w:pict>
          </mc:Fallback>
        </mc:AlternateContent>
      </w:r>
      <w:r>
        <w:rPr>
          <w:rFonts w:hint="eastAsia" w:ascii="仿宋_GB2312" w:hAnsi="仿宋_GB2312" w:eastAsia="仿宋_GB2312" w:cs="仿宋_GB2312"/>
          <w:color w:val="000000"/>
          <w:sz w:val="28"/>
          <w:szCs w:val="28"/>
        </w:rPr>
        <w:t xml:space="preserve">济南市章丘区人民政府办公室　　   </w:t>
      </w:r>
      <w:r>
        <w:rPr>
          <w:rFonts w:hint="eastAsia"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rPr>
        <w:t xml:space="preserve"> </w:t>
      </w:r>
      <w:r>
        <w:rPr>
          <w:rFonts w:hint="eastAsia"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rPr>
        <w:t>202</w:t>
      </w:r>
      <w:r>
        <w:rPr>
          <w:rFonts w:hint="eastAsia" w:ascii="仿宋_GB2312" w:hAnsi="仿宋_GB2312" w:eastAsia="仿宋_GB2312" w:cs="仿宋_GB2312"/>
          <w:color w:val="000000"/>
          <w:sz w:val="28"/>
          <w:szCs w:val="28"/>
          <w:lang w:val="en-US" w:eastAsia="zh-CN"/>
        </w:rPr>
        <w:t>6</w:t>
      </w:r>
      <w:r>
        <w:rPr>
          <w:rFonts w:hint="eastAsia" w:ascii="仿宋_GB2312" w:hAnsi="仿宋_GB2312" w:eastAsia="仿宋_GB2312" w:cs="仿宋_GB2312"/>
          <w:color w:val="000000"/>
          <w:sz w:val="28"/>
          <w:szCs w:val="28"/>
        </w:rPr>
        <w:t>年</w:t>
      </w:r>
      <w:r>
        <w:rPr>
          <w:rFonts w:hint="eastAsia" w:ascii="仿宋_GB2312" w:hAnsi="仿宋_GB2312" w:eastAsia="仿宋_GB2312" w:cs="仿宋_GB2312"/>
          <w:color w:val="000000"/>
          <w:sz w:val="28"/>
          <w:szCs w:val="28"/>
          <w:lang w:val="en-US" w:eastAsia="zh-CN"/>
        </w:rPr>
        <w:t>8</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11</w:t>
      </w:r>
      <w:r>
        <w:rPr>
          <w:rFonts w:hint="eastAsia" w:ascii="仿宋_GB2312" w:hAnsi="仿宋_GB2312" w:eastAsia="仿宋_GB2312" w:cs="仿宋_GB2312"/>
          <w:color w:val="000000"/>
          <w:sz w:val="28"/>
          <w:szCs w:val="28"/>
        </w:rPr>
        <w:t>日印发</w:t>
      </w:r>
      <w:r>
        <w:rPr>
          <w:rFonts w:hint="eastAsia" w:ascii="仿宋_GB2312" w:hAnsi="仿宋_GB2312" w:eastAsia="仿宋_GB2312" w:cs="仿宋_GB2312"/>
          <w:color w:val="000000"/>
          <w:sz w:val="28"/>
          <w:szCs w:val="28"/>
        </w:rPr>
        <mc:AlternateContent>
          <mc:Choice Requires="wps">
            <w:drawing>
              <wp:anchor distT="0" distB="0" distL="114300" distR="114300" simplePos="0" relativeHeight="251665408" behindDoc="0" locked="0" layoutInCell="1" allowOverlap="1">
                <wp:simplePos x="0" y="0"/>
                <wp:positionH relativeFrom="column">
                  <wp:posOffset>-273685</wp:posOffset>
                </wp:positionH>
                <wp:positionV relativeFrom="paragraph">
                  <wp:posOffset>8806180</wp:posOffset>
                </wp:positionV>
                <wp:extent cx="1323975" cy="828675"/>
                <wp:effectExtent l="4445" t="4445" r="5080" b="5080"/>
                <wp:wrapNone/>
                <wp:docPr id="8" name="矩形 8"/>
                <wp:cNvGraphicFramePr/>
                <a:graphic xmlns:a="http://schemas.openxmlformats.org/drawingml/2006/main">
                  <a:graphicData uri="http://schemas.microsoft.com/office/word/2010/wordprocessingShape">
                    <wps:wsp>
                      <wps:cNvSpPr/>
                      <wps:spPr>
                        <a:xfrm>
                          <a:off x="0" y="0"/>
                          <a:ext cx="1323975" cy="828675"/>
                        </a:xfrm>
                        <a:prstGeom prst="rect">
                          <a:avLst/>
                        </a:prstGeom>
                        <a:solidFill>
                          <a:srgbClr val="FFFFFF"/>
                        </a:solidFill>
                        <a:ln w="9525" cap="flat" cmpd="sng">
                          <a:solidFill>
                            <a:srgbClr val="FFFFFF"/>
                          </a:solidFill>
                          <a:prstDash val="solid"/>
                          <a:miter/>
                          <a:headEnd type="none" w="med" len="med"/>
                          <a:tailEnd type="none" w="med" len="med"/>
                        </a:ln>
                        <a:effectLst/>
                      </wps:spPr>
                      <wps:bodyPr upright="true"/>
                    </wps:wsp>
                  </a:graphicData>
                </a:graphic>
              </wp:anchor>
            </w:drawing>
          </mc:Choice>
          <mc:Fallback>
            <w:pict>
              <v:rect id="_x0000_s1026" o:spid="_x0000_s1026" o:spt="1" style="position:absolute;left:0pt;margin-left:-21.55pt;margin-top:693.4pt;height:65.25pt;width:104.25pt;z-index:251665408;mso-width-relative:page;mso-height-relative:page;" fillcolor="#FFFFFF" filled="t" stroked="t" coordsize="21600,21600" o:gfxdata="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gvgsOtoAAAANAQAADwAAAAAAAAABACAAAAA4AAAAZHJzL2Rvd25yZXYu&#10;eG1sUEsBAhQAFAAAAAgAh07iQJkfVcjjAQAA4QMAAA4AAAAAAAAAAQAgAAAAPwEAAGRycy9lMm9E&#10;b2MueG1sUEsFBgAAAAAGAAYAWQEAAJQFAAAAAA==&#10;">
                <v:fill on="t" focussize="0,0"/>
                <v:stroke color="#FFFFFF" joinstyle="miter"/>
                <v:imagedata o:title=""/>
                <o:lock v:ext="edit" aspectratio="f"/>
              </v:rect>
            </w:pict>
          </mc:Fallback>
        </mc:AlternateContent>
      </w:r>
      <w:r>
        <w:rPr>
          <w:rFonts w:hint="eastAsia" w:ascii="仿宋_GB2312" w:hAnsi="仿宋_GB2312" w:eastAsia="仿宋_GB2312" w:cs="仿宋_GB2312"/>
          <w:color w:val="000000"/>
          <w:sz w:val="28"/>
          <w:szCs w:val="28"/>
        </w:rPr>
        <mc:AlternateContent>
          <mc:Choice Requires="wps">
            <w:drawing>
              <wp:anchor distT="0" distB="0" distL="114300" distR="114300" simplePos="0" relativeHeight="251661312" behindDoc="0" locked="0" layoutInCell="1" allowOverlap="1">
                <wp:simplePos x="0" y="0"/>
                <wp:positionH relativeFrom="column">
                  <wp:posOffset>-273685</wp:posOffset>
                </wp:positionH>
                <wp:positionV relativeFrom="paragraph">
                  <wp:posOffset>8806180</wp:posOffset>
                </wp:positionV>
                <wp:extent cx="1323975" cy="828675"/>
                <wp:effectExtent l="4445" t="4445" r="5080" b="5080"/>
                <wp:wrapNone/>
                <wp:docPr id="11" name="矩形 11"/>
                <wp:cNvGraphicFramePr/>
                <a:graphic xmlns:a="http://schemas.openxmlformats.org/drawingml/2006/main">
                  <a:graphicData uri="http://schemas.microsoft.com/office/word/2010/wordprocessingShape">
                    <wps:wsp>
                      <wps:cNvSpPr/>
                      <wps:spPr>
                        <a:xfrm>
                          <a:off x="0" y="0"/>
                          <a:ext cx="1323975" cy="828675"/>
                        </a:xfrm>
                        <a:prstGeom prst="rect">
                          <a:avLst/>
                        </a:prstGeom>
                        <a:solidFill>
                          <a:srgbClr val="FFFFFF"/>
                        </a:solidFill>
                        <a:ln w="9525" cap="flat" cmpd="sng">
                          <a:solidFill>
                            <a:srgbClr val="FFFFFF"/>
                          </a:solidFill>
                          <a:prstDash val="solid"/>
                          <a:miter/>
                          <a:headEnd type="none" w="med" len="med"/>
                          <a:tailEnd type="none" w="med" len="med"/>
                        </a:ln>
                        <a:effectLst/>
                      </wps:spPr>
                      <wps:bodyPr upright="true"/>
                    </wps:wsp>
                  </a:graphicData>
                </a:graphic>
              </wp:anchor>
            </w:drawing>
          </mc:Choice>
          <mc:Fallback>
            <w:pict>
              <v:rect id="_x0000_s1026" o:spid="_x0000_s1026" o:spt="1" style="position:absolute;left:0pt;margin-left:-21.55pt;margin-top:693.4pt;height:65.25pt;width:104.25pt;z-index:251661312;mso-width-relative:page;mso-height-relative:page;" fillcolor="#FFFFFF" filled="t" stroked="t" coordsize="21600,21600" o:gfxdata="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IL4LDraAAAADQEAAA8AAAAAAAAAAQAgAAAAOAAAAGRycy9kb3ducmV2&#10;LnhtbFBLAQIUABQAAAAIAIdO4kBPdJZA5AEAAOMDAAAOAAAAAAAAAAEAIAAAAD8BAABkcnMvZTJv&#10;RG9jLnhtbFBLBQYAAAAABgAGAFkBAACVBQAAAAA=&#10;">
                <v:fill on="t" focussize="0,0"/>
                <v:stroke color="#FFFFFF" joinstyle="miter"/>
                <v:imagedata o:title=""/>
                <o:lock v:ext="edit" aspectratio="f"/>
              </v:rect>
            </w:pict>
          </mc:Fallback>
        </mc:AlternateContent>
      </w:r>
    </w:p>
    <w:sectPr>
      <w:pgSz w:w="11906" w:h="16838"/>
      <w:pgMar w:top="2041" w:right="1531" w:bottom="2041" w:left="1531" w:header="851" w:footer="1587" w:gutter="0"/>
      <w:pgBorders>
        <w:top w:val="none" w:sz="0" w:space="0"/>
        <w:left w:val="none" w:sz="0" w:space="0"/>
        <w:bottom w:val="none" w:sz="0" w:space="0"/>
        <w:right w:val="none" w:sz="0" w:space="0"/>
      </w:pgBorders>
      <w:pgNumType w:fmt="numberInDash"/>
      <w:cols w:space="0" w:num="1"/>
      <w:rtlGutter w:val="0"/>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政府文印室83213870：13953138318" w:date="2026-08-12T08:33:34Z" w:initials="">
    <w:p w14:paraId="FD6FC7F9">
      <w:pPr>
        <w:pStyle w:val="4"/>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FD6FC7F9"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华文中宋">
    <w:altName w:val="汉仪中宋简"/>
    <w:panose1 w:val="02010600040101010101"/>
    <w:charset w:val="86"/>
    <w:family w:val="auto"/>
    <w:pitch w:val="default"/>
    <w:sig w:usb0="00000000" w:usb1="00000000" w:usb2="00000000" w:usb3="00000000" w:csb0="0004009F" w:csb1="DFD70000"/>
  </w:font>
  <w:font w:name="文星标宋">
    <w:altName w:val="方正书宋_GBK"/>
    <w:panose1 w:val="02010604000101010101"/>
    <w:charset w:val="86"/>
    <w:family w:val="modern"/>
    <w:pitch w:val="default"/>
    <w:sig w:usb0="00000000" w:usb1="00000000" w:usb2="00000000"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等线">
    <w:altName w:val="汉仪中宋简"/>
    <w:panose1 w:val="02010600030101010101"/>
    <w:charset w:val="86"/>
    <w:family w:val="auto"/>
    <w:pitch w:val="default"/>
    <w:sig w:usb0="00000000" w:usb1="00000000" w:usb2="00000016" w:usb3="00000000" w:csb0="0004000F" w:csb1="00000000"/>
  </w:font>
  <w:font w:name="方正书宋_GBK">
    <w:panose1 w:val="02000000000000000000"/>
    <w:charset w:val="86"/>
    <w:family w:val="auto"/>
    <w:pitch w:val="default"/>
    <w:sig w:usb0="A00002BF" w:usb1="38CF7CFA" w:usb2="00082016" w:usb3="00000000" w:csb0="00040001" w:csb1="00000000"/>
  </w:font>
  <w:font w:name="汉仪中宋简">
    <w:panose1 w:val="02010600000101010101"/>
    <w:charset w:val="86"/>
    <w:family w:val="auto"/>
    <w:pitch w:val="default"/>
    <w:sig w:usb0="00000001" w:usb1="080E0800" w:usb2="00000002"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方正楷体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Liberation Serif">
    <w:panose1 w:val="02020603050405020304"/>
    <w:charset w:val="00"/>
    <w:family w:val="auto"/>
    <w:pitch w:val="default"/>
    <w:sig w:usb0="A00002AF" w:usb1="500078FB" w:usb2="00000000" w:usb3="00000000" w:csb0="6000009F" w:csb1="DFD70000"/>
  </w:font>
  <w:font w:name="Arial">
    <w:altName w:val="Nimbus Roman No9 L"/>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1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CLMQHAIAACk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Q4lmCiM6ff1y+vbj9P0z&#10;uYnwtNbP4LWx8Avda9MVNLi9GEwe77HxrnIq3miJwAVYHy/4ii4QjsfxdDKd5jBx2AYFKbLrd+t8&#10;eCOMIlEoqMMAE67ssPbh7Dq4xGzarBop0xClJm1Bb1++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QizEBwCAAApBAAADgAAAAAAAAABACAAAAA1AQAAZHJzL2Uyb0RvYy54bWxQSwUG&#10;AAAAAAYABgBZAQAAwwUAAAAA&#10;">
              <v:fill on="f" focussize="0,0"/>
              <v:stroke on="f" weight="0.5pt"/>
              <v:imagedata o:title=""/>
              <o:lock v:ext="edit" aspectratio="f"/>
              <v:textbox inset="0mm,0mm,0mm,0mm" style="mso-fit-shape-to-text:t;">
                <w:txbxContent>
                  <w:p>
                    <w:pPr>
                      <w:pStyle w:val="1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II</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1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II</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709B37"/>
    <w:multiLevelType w:val="singleLevel"/>
    <w:tmpl w:val="8D709B37"/>
    <w:lvl w:ilvl="0" w:tentative="0">
      <w:start w:val="3"/>
      <w:numFmt w:val="chineseCounting"/>
      <w:suff w:val="nothing"/>
      <w:lvlText w:val="%1、"/>
      <w:lvlJc w:val="left"/>
      <w:rPr>
        <w:rFonts w:hint="eastAsia"/>
      </w:rPr>
    </w:lvl>
  </w:abstractNum>
  <w:abstractNum w:abstractNumId="1">
    <w:nsid w:val="1843F26E"/>
    <w:multiLevelType w:val="singleLevel"/>
    <w:tmpl w:val="1843F26E"/>
    <w:lvl w:ilvl="0" w:tentative="0">
      <w:start w:val="6"/>
      <w:numFmt w:val="chineseCounting"/>
      <w:suff w:val="space"/>
      <w:lvlText w:val="第%1章"/>
      <w:lvlJc w:val="left"/>
      <w:rPr>
        <w:rFonts w:hint="eastAsi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政府文印室83213870：13953138318">
    <w15:presenceInfo w15:providerId="WPS Office" w15:userId="55952488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TrueTypeFonts/>
  <w:saveSubsetFonts/>
  <w:bordersDoNotSurroundHeader w:val="false"/>
  <w:bordersDoNotSurroundFooter w:val="false"/>
  <w:revisionView w:markup="0"/>
  <w:documentProtection w:enforcement="0"/>
  <w:defaultTabStop w:val="420"/>
  <w:drawingGridVerticalSpacing w:val="156"/>
  <w:displayHorizontalDrawingGridEvery w:val="1"/>
  <w:displayVerticalDrawingGridEvery w:val="1"/>
  <w:noPunctuationKerning w:val="true"/>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9800F0"/>
    <w:rsid w:val="02D732E2"/>
    <w:rsid w:val="08A45321"/>
    <w:rsid w:val="09287EA3"/>
    <w:rsid w:val="09C2778D"/>
    <w:rsid w:val="0D1A3FA7"/>
    <w:rsid w:val="0E7135CD"/>
    <w:rsid w:val="0EF26E55"/>
    <w:rsid w:val="0F5B48D3"/>
    <w:rsid w:val="0F9445F0"/>
    <w:rsid w:val="13B51D0A"/>
    <w:rsid w:val="17052A3A"/>
    <w:rsid w:val="17BB7F31"/>
    <w:rsid w:val="1C164652"/>
    <w:rsid w:val="1D8164D4"/>
    <w:rsid w:val="1D8D3444"/>
    <w:rsid w:val="1E672DC4"/>
    <w:rsid w:val="1F7C3B76"/>
    <w:rsid w:val="25873D4C"/>
    <w:rsid w:val="277F0B43"/>
    <w:rsid w:val="28B02089"/>
    <w:rsid w:val="2DE26103"/>
    <w:rsid w:val="2EB5368F"/>
    <w:rsid w:val="2F1B4A06"/>
    <w:rsid w:val="2F8B61E7"/>
    <w:rsid w:val="33745160"/>
    <w:rsid w:val="347C55DF"/>
    <w:rsid w:val="36976979"/>
    <w:rsid w:val="369D4494"/>
    <w:rsid w:val="37172771"/>
    <w:rsid w:val="383E473E"/>
    <w:rsid w:val="39564F92"/>
    <w:rsid w:val="3BDF29C5"/>
    <w:rsid w:val="40FC53A9"/>
    <w:rsid w:val="428E3940"/>
    <w:rsid w:val="446F2449"/>
    <w:rsid w:val="456048E3"/>
    <w:rsid w:val="4A692A0C"/>
    <w:rsid w:val="4AD131F0"/>
    <w:rsid w:val="4C310C2C"/>
    <w:rsid w:val="4F9C3F67"/>
    <w:rsid w:val="51B86711"/>
    <w:rsid w:val="53455CB4"/>
    <w:rsid w:val="57991C29"/>
    <w:rsid w:val="5946252F"/>
    <w:rsid w:val="5BA76935"/>
    <w:rsid w:val="5BB610F1"/>
    <w:rsid w:val="5BE50959"/>
    <w:rsid w:val="5C66795A"/>
    <w:rsid w:val="5DBA7BB4"/>
    <w:rsid w:val="5DE3148E"/>
    <w:rsid w:val="60E51E76"/>
    <w:rsid w:val="61A15272"/>
    <w:rsid w:val="64A532CB"/>
    <w:rsid w:val="662446C4"/>
    <w:rsid w:val="67686E76"/>
    <w:rsid w:val="69ED30DF"/>
    <w:rsid w:val="69FB4906"/>
    <w:rsid w:val="6D180D0E"/>
    <w:rsid w:val="6E881C94"/>
    <w:rsid w:val="7305383A"/>
    <w:rsid w:val="73C3376E"/>
    <w:rsid w:val="75EA6326"/>
    <w:rsid w:val="77A328FF"/>
    <w:rsid w:val="77B96808"/>
    <w:rsid w:val="77D36685"/>
    <w:rsid w:val="77FC8262"/>
    <w:rsid w:val="79441BAA"/>
    <w:rsid w:val="797E03EC"/>
    <w:rsid w:val="79DD6B89"/>
    <w:rsid w:val="7B9800F0"/>
    <w:rsid w:val="7E2369FE"/>
    <w:rsid w:val="7E8B02FC"/>
    <w:rsid w:val="7F2C025A"/>
    <w:rsid w:val="7F2D20FC"/>
    <w:rsid w:val="7F594F87"/>
    <w:rsid w:val="7FFB5552"/>
    <w:rsid w:val="F76F39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toa heading"/>
    <w:basedOn w:val="1"/>
    <w:next w:val="1"/>
    <w:unhideWhenUsed/>
    <w:qFormat/>
    <w:uiPriority w:val="99"/>
    <w:pPr>
      <w:spacing w:before="120" w:line="360" w:lineRule="auto"/>
      <w:jc w:val="left"/>
    </w:pPr>
    <w:rPr>
      <w:rFonts w:ascii="Arial" w:hAnsi="Arial"/>
      <w:b/>
      <w:spacing w:val="6"/>
      <w:sz w:val="24"/>
      <w:szCs w:val="24"/>
    </w:rPr>
  </w:style>
  <w:style w:type="paragraph" w:styleId="4">
    <w:name w:val="annotation text"/>
    <w:basedOn w:val="1"/>
    <w:qFormat/>
    <w:uiPriority w:val="0"/>
    <w:pPr>
      <w:jc w:val="left"/>
    </w:pPr>
  </w:style>
  <w:style w:type="paragraph" w:styleId="5">
    <w:name w:val="Body Text"/>
    <w:basedOn w:val="1"/>
    <w:qFormat/>
    <w:uiPriority w:val="0"/>
    <w:pPr>
      <w:spacing w:after="120" w:afterLines="0" w:afterAutospacing="0"/>
    </w:pPr>
  </w:style>
  <w:style w:type="paragraph" w:styleId="6">
    <w:name w:val="Body Text Indent"/>
    <w:basedOn w:val="1"/>
    <w:next w:val="7"/>
    <w:qFormat/>
    <w:uiPriority w:val="0"/>
    <w:pPr>
      <w:spacing w:after="120" w:afterLines="0" w:afterAutospacing="0"/>
      <w:ind w:left="420" w:leftChars="200"/>
    </w:pPr>
  </w:style>
  <w:style w:type="paragraph" w:styleId="7">
    <w:name w:val="Body Text First Indent 2"/>
    <w:basedOn w:val="6"/>
    <w:qFormat/>
    <w:uiPriority w:val="0"/>
    <w:pPr>
      <w:ind w:firstLine="420" w:firstLineChars="200"/>
    </w:pPr>
  </w:style>
  <w:style w:type="paragraph" w:styleId="8">
    <w:name w:val="Plain Text"/>
    <w:basedOn w:val="1"/>
    <w:qFormat/>
    <w:uiPriority w:val="0"/>
    <w:rPr>
      <w:rFonts w:ascii="宋体" w:hAnsi="Courier New"/>
    </w:rPr>
  </w:style>
  <w:style w:type="paragraph" w:styleId="9">
    <w:name w:val="Date"/>
    <w:basedOn w:val="1"/>
    <w:next w:val="1"/>
    <w:qFormat/>
    <w:uiPriority w:val="0"/>
    <w:pPr>
      <w:ind w:left="100" w:leftChars="25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footnote text"/>
    <w:basedOn w:val="1"/>
    <w:qFormat/>
    <w:uiPriority w:val="0"/>
    <w:pPr>
      <w:widowControl w:val="0"/>
      <w:snapToGrid w:val="0"/>
      <w:jc w:val="left"/>
    </w:pPr>
    <w:rPr>
      <w:rFonts w:eastAsia="宋体" w:cs="Calibri"/>
      <w:sz w:val="18"/>
      <w:szCs w:val="21"/>
    </w:rPr>
  </w:style>
  <w:style w:type="paragraph" w:styleId="14">
    <w:name w:val="toc 2"/>
    <w:basedOn w:val="1"/>
    <w:next w:val="1"/>
    <w:qFormat/>
    <w:uiPriority w:val="0"/>
    <w:pPr>
      <w:ind w:left="420" w:leftChars="200"/>
    </w:pPr>
  </w:style>
  <w:style w:type="paragraph" w:styleId="15">
    <w:name w:val="Title"/>
    <w:basedOn w:val="1"/>
    <w:next w:val="1"/>
    <w:qFormat/>
    <w:uiPriority w:val="10"/>
    <w:pPr>
      <w:spacing w:line="7200" w:lineRule="auto"/>
      <w:ind w:firstLine="883" w:firstLineChars="200"/>
      <w:jc w:val="center"/>
      <w:outlineLvl w:val="0"/>
    </w:pPr>
    <w:rPr>
      <w:rFonts w:ascii="Arial" w:hAnsi="Arial"/>
      <w:b/>
      <w:bCs/>
      <w:szCs w:val="32"/>
    </w:rPr>
  </w:style>
  <w:style w:type="table" w:styleId="17">
    <w:name w:val="Table Grid"/>
    <w:basedOn w:val="1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TOC1"/>
    <w:basedOn w:val="1"/>
    <w:next w:val="1"/>
    <w:qFormat/>
    <w:uiPriority w:val="99"/>
    <w:pPr>
      <w:textAlignment w:val="baseline"/>
    </w:pPr>
    <w:rPr>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116</Pages>
  <Words>58801</Words>
  <Characters>59719</Characters>
  <Lines>0</Lines>
  <Paragraphs>0</Paragraphs>
  <TotalTime>8</TotalTime>
  <ScaleCrop>false</ScaleCrop>
  <LinksUpToDate>false</LinksUpToDate>
  <CharactersWithSpaces>61736</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2026-06-27T06:43:00Z</dcterms:created>
  <dc:creator>田汝银</dc:creator>
  <cp:lastModifiedBy>jnak</cp:lastModifiedBy>
  <dcterms:modified xsi:type="dcterms:W3CDTF">2026-08-25T10:38:26Z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82D645701F18447C88C9DE9AE85AE6B7_13</vt:lpwstr>
  </property>
  <property fmtid="{D5CDD505-2E9C-101B-9397-08002B2CF9AE}" pid="4" name="KSOTemplateDocerSaveRecord">
    <vt:lpwstr>eyJoZGlkIjoiNzkxODVkYzBjZTlkMjI5Y2FjMTliZWUxMDUzNjQwNjYiLCJ1c2VySWQiOiIxNjE2NDU4MDk1In0=</vt:lpwstr>
  </property>
</Properties>
</file>