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61992">
      <w:pPr>
        <w:pStyle w:val="29"/>
        <w:keepNext w:val="0"/>
        <w:keepLines w:val="0"/>
        <w:pageBreakBefore w:val="0"/>
        <w:widowControl/>
        <w:kinsoku/>
        <w:wordWrap/>
        <w:overflowPunct/>
        <w:topLinePunct w:val="0"/>
        <w:autoSpaceDE/>
        <w:autoSpaceDN/>
        <w:bidi w:val="0"/>
        <w:adjustRightInd/>
        <w:snapToGrid/>
        <w:spacing w:line="600" w:lineRule="exact"/>
        <w:ind w:right="314" w:rightChars="100"/>
        <w:jc w:val="both"/>
        <w:textAlignment w:val="auto"/>
        <w:rPr>
          <w:rFonts w:hint="eastAsia" w:ascii="仿宋_GB2312" w:hAnsi="仿宋" w:eastAsia="仿宋_GB2312" w:cs="仿宋_GB2312"/>
          <w:color w:val="000000" w:themeColor="text1"/>
          <w:sz w:val="32"/>
          <w:szCs w:val="32"/>
          <w14:textFill>
            <w14:solidFill>
              <w14:schemeClr w14:val="tx1"/>
            </w14:solidFill>
          </w14:textFill>
        </w:rPr>
      </w:pPr>
    </w:p>
    <w:p w14:paraId="4A35C611">
      <w:pPr>
        <w:pStyle w:val="29"/>
        <w:keepNext w:val="0"/>
        <w:keepLines w:val="0"/>
        <w:pageBreakBefore w:val="0"/>
        <w:widowControl/>
        <w:kinsoku/>
        <w:wordWrap/>
        <w:overflowPunct/>
        <w:topLinePunct w:val="0"/>
        <w:autoSpaceDE/>
        <w:autoSpaceDN/>
        <w:bidi w:val="0"/>
        <w:adjustRightInd/>
        <w:snapToGrid/>
        <w:spacing w:line="600" w:lineRule="exact"/>
        <w:ind w:right="314" w:rightChars="100"/>
        <w:jc w:val="both"/>
        <w:textAlignment w:val="auto"/>
        <w:rPr>
          <w:rFonts w:hint="eastAsia" w:ascii="仿宋_GB2312" w:hAnsi="仿宋" w:eastAsia="仿宋_GB2312" w:cs="仿宋_GB2312"/>
          <w:color w:val="000000" w:themeColor="text1"/>
          <w:sz w:val="32"/>
          <w:szCs w:val="32"/>
          <w14:textFill>
            <w14:solidFill>
              <w14:schemeClr w14:val="tx1"/>
            </w14:solidFill>
          </w14:textFill>
        </w:rPr>
      </w:pPr>
    </w:p>
    <w:p w14:paraId="7963E513">
      <w:pPr>
        <w:pStyle w:val="29"/>
        <w:keepNext w:val="0"/>
        <w:keepLines w:val="0"/>
        <w:pageBreakBefore w:val="0"/>
        <w:widowControl/>
        <w:kinsoku/>
        <w:wordWrap/>
        <w:overflowPunct/>
        <w:topLinePunct w:val="0"/>
        <w:autoSpaceDE/>
        <w:autoSpaceDN/>
        <w:bidi w:val="0"/>
        <w:adjustRightInd/>
        <w:snapToGrid/>
        <w:spacing w:line="600" w:lineRule="exact"/>
        <w:ind w:right="314" w:rightChars="100"/>
        <w:jc w:val="both"/>
        <w:textAlignment w:val="auto"/>
        <w:rPr>
          <w:rFonts w:hint="eastAsia" w:ascii="仿宋_GB2312" w:hAnsi="仿宋" w:eastAsia="仿宋_GB2312" w:cs="仿宋_GB2312"/>
          <w:color w:val="000000" w:themeColor="text1"/>
          <w:sz w:val="32"/>
          <w:szCs w:val="32"/>
          <w14:textFill>
            <w14:solidFill>
              <w14:schemeClr w14:val="tx1"/>
            </w14:solidFill>
          </w14:textFill>
        </w:rPr>
      </w:pPr>
    </w:p>
    <w:p w14:paraId="34812AC6">
      <w:pPr>
        <w:overflowPunct w:val="0"/>
        <w:adjustRightInd w:val="0"/>
        <w:snapToGrid w:val="0"/>
        <w:spacing w:line="660" w:lineRule="exact"/>
        <w:jc w:val="cente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lang w:val="en-US" w:eastAsia="zh-CN"/>
          <w14:textFill>
            <w14:solidFill>
              <w14:schemeClr w14:val="tx1"/>
            </w14:solidFill>
          </w14:textFill>
        </w:rPr>
        <w:t>章丘区</w:t>
      </w: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kern w:val="0"/>
          <w:sz w:val="44"/>
          <w:szCs w:val="44"/>
          <w:lang w:val="en-US" w:eastAsia="zh-CN"/>
          <w14:textFill>
            <w14:solidFill>
              <w14:schemeClr w14:val="tx1"/>
            </w14:solidFill>
          </w14:textFill>
        </w:rPr>
        <w:t>6</w:t>
      </w: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年高素质农民培育工作</w:t>
      </w:r>
    </w:p>
    <w:p w14:paraId="2292314C">
      <w:pPr>
        <w:overflowPunct w:val="0"/>
        <w:adjustRightInd w:val="0"/>
        <w:snapToGrid w:val="0"/>
        <w:spacing w:line="660" w:lineRule="exact"/>
        <w:jc w:val="cente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实施方案</w:t>
      </w:r>
    </w:p>
    <w:p w14:paraId="32F11D3C">
      <w:pPr>
        <w:pStyle w:val="2"/>
        <w:keepNext w:val="0"/>
        <w:keepLines w:val="0"/>
        <w:pageBreakBefore w:val="0"/>
        <w:widowControl w:val="0"/>
        <w:kinsoku/>
        <w:wordWrap/>
        <w:overflowPunct/>
        <w:topLinePunct w:val="0"/>
        <w:autoSpaceDE/>
        <w:autoSpaceDN/>
        <w:bidi w:val="0"/>
        <w:adjustRightInd/>
        <w:snapToGrid/>
        <w:spacing w:line="200" w:lineRule="exact"/>
        <w:ind w:left="119"/>
        <w:textAlignment w:val="auto"/>
        <w:rPr>
          <w:rFonts w:hint="eastAsia"/>
          <w:lang w:val="en-US" w:eastAsia="zh-CN"/>
        </w:rPr>
      </w:pPr>
    </w:p>
    <w:p w14:paraId="33D8E6CD">
      <w:pPr>
        <w:pStyle w:val="29"/>
        <w:ind w:left="314" w:leftChars="100" w:right="314" w:rightChars="100"/>
        <w:jc w:val="center"/>
      </w:pPr>
      <w:r>
        <w:rPr>
          <w:rFonts w:hint="eastAsia" w:ascii="仿宋_GB2312" w:hAnsi="仿宋" w:eastAsia="仿宋_GB2312" w:cs="仿宋_GB2312"/>
          <w:color w:val="000000" w:themeColor="text1"/>
          <w:sz w:val="32"/>
          <w:szCs w:val="32"/>
          <w:lang w:val="en-US" w:eastAsia="zh-CN"/>
          <w14:textFill>
            <w14:solidFill>
              <w14:schemeClr w14:val="tx1"/>
            </w14:solidFill>
          </w14:textFill>
        </w:rPr>
        <w:t>章</w:t>
      </w:r>
      <w:r>
        <w:rPr>
          <w:rFonts w:hint="eastAsia" w:ascii="仿宋_GB2312" w:hAnsi="仿宋" w:eastAsia="仿宋_GB2312" w:cs="仿宋_GB2312"/>
          <w:color w:val="000000" w:themeColor="text1"/>
          <w:sz w:val="32"/>
          <w:szCs w:val="32"/>
          <w14:textFill>
            <w14:solidFill>
              <w14:schemeClr w14:val="tx1"/>
            </w14:solidFill>
          </w14:textFill>
        </w:rPr>
        <w:t>农</w:t>
      </w:r>
      <w:r>
        <w:rPr>
          <w:rFonts w:hint="eastAsia" w:ascii="仿宋_GB2312" w:hAnsi="仿宋" w:eastAsia="仿宋_GB2312" w:cs="仿宋_GB2312"/>
          <w:color w:val="000000" w:themeColor="text1"/>
          <w:sz w:val="32"/>
          <w:szCs w:val="32"/>
          <w:lang w:val="en-US" w:eastAsia="zh-CN"/>
          <w14:textFill>
            <w14:solidFill>
              <w14:schemeClr w14:val="tx1"/>
            </w14:solidFill>
          </w14:textFill>
        </w:rPr>
        <w:t>字</w:t>
      </w:r>
      <w:r>
        <w:rPr>
          <w:rFonts w:hint="eastAsia" w:ascii="仿宋_GB2312" w:hAnsi="仿宋" w:eastAsia="仿宋_GB2312" w:cs="仿宋_GB2312"/>
          <w:color w:val="000000" w:themeColor="text1"/>
          <w:sz w:val="32"/>
          <w:szCs w:val="32"/>
          <w14:textFill>
            <w14:solidFill>
              <w14:schemeClr w14:val="tx1"/>
            </w14:solidFill>
          </w14:textFill>
        </w:rPr>
        <w:t>〔</w:t>
      </w:r>
      <w:r>
        <w:rPr>
          <w:rFonts w:ascii="仿宋_GB2312" w:hAnsi="仿宋" w:eastAsia="仿宋_GB2312" w:cs="仿宋_GB2312"/>
          <w:color w:val="000000" w:themeColor="text1"/>
          <w:sz w:val="32"/>
          <w:szCs w:val="32"/>
          <w14:textFill>
            <w14:solidFill>
              <w14:schemeClr w14:val="tx1"/>
            </w14:solidFill>
          </w14:textFill>
        </w:rPr>
        <w:t>202</w:t>
      </w:r>
      <w:r>
        <w:rPr>
          <w:rFonts w:hint="eastAsia" w:ascii="仿宋_GB2312" w:hAnsi="仿宋" w:eastAsia="仿宋_GB2312" w:cs="仿宋_GB2312"/>
          <w:color w:val="000000" w:themeColor="text1"/>
          <w:sz w:val="32"/>
          <w:szCs w:val="32"/>
          <w:lang w:val="en-US" w:eastAsia="zh-CN"/>
          <w14:textFill>
            <w14:solidFill>
              <w14:schemeClr w14:val="tx1"/>
            </w14:solidFill>
          </w14:textFill>
        </w:rPr>
        <w:t>6</w:t>
      </w:r>
      <w:r>
        <w:rPr>
          <w:rFonts w:hint="eastAsia" w:ascii="仿宋_GB2312" w:hAnsi="仿宋" w:eastAsia="仿宋_GB2312" w:cs="仿宋_GB2312"/>
          <w:color w:val="000000" w:themeColor="text1"/>
          <w:sz w:val="32"/>
          <w:szCs w:val="32"/>
          <w14:textFill>
            <w14:solidFill>
              <w14:schemeClr w14:val="tx1"/>
            </w14:solidFill>
          </w14:textFill>
        </w:rPr>
        <w:t>〕</w:t>
      </w:r>
      <w:r>
        <w:rPr>
          <w:rFonts w:hint="eastAsia" w:ascii="仿宋_GB2312" w:hAnsi="仿宋" w:eastAsia="仿宋_GB2312" w:cs="仿宋_GB2312"/>
          <w:color w:val="000000" w:themeColor="text1"/>
          <w:sz w:val="32"/>
          <w:szCs w:val="32"/>
          <w:lang w:val="en-US" w:eastAsia="zh-CN"/>
          <w14:textFill>
            <w14:solidFill>
              <w14:schemeClr w14:val="tx1"/>
            </w14:solidFill>
          </w14:textFill>
        </w:rPr>
        <w:t>31</w:t>
      </w:r>
      <w:r>
        <w:rPr>
          <w:rFonts w:hint="eastAsia" w:ascii="仿宋_GB2312" w:hAnsi="仿宋" w:eastAsia="仿宋_GB2312" w:cs="仿宋_GB2312"/>
          <w:color w:val="000000" w:themeColor="text1"/>
          <w:sz w:val="32"/>
          <w:szCs w:val="32"/>
          <w14:textFill>
            <w14:solidFill>
              <w14:schemeClr w14:val="tx1"/>
            </w14:solidFill>
          </w14:textFill>
        </w:rPr>
        <w:t>号</w:t>
      </w:r>
    </w:p>
    <w:p w14:paraId="3A07BA54">
      <w:pPr>
        <w:adjustRightInd w:val="0"/>
        <w:snapToGrid w:val="0"/>
        <w:spacing w:line="580" w:lineRule="exact"/>
        <w:ind w:firstLine="628" w:firstLineChars="200"/>
        <w:rPr>
          <w:rFonts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为持续做好高素质农民培育工作，加快培养有文化、懂技术、善经营、会管理的高素质农民队伍，根据《山东省农业农村厅关于印发〈202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仿宋_GB2312" w:cs="仿宋_GB2312"/>
          <w:color w:val="000000" w:themeColor="text1"/>
          <w14:textFill>
            <w14:solidFill>
              <w14:schemeClr w14:val="tx1"/>
            </w14:solidFill>
          </w14:textFill>
        </w:rPr>
        <w:t>年高素质农民培育工作方案〉的通知》（鲁农社字〔202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宋体" w:cs="宋体"/>
          <w:color w:val="000000" w:themeColor="text1"/>
          <w14:textFill>
            <w14:solidFill>
              <w14:schemeClr w14:val="tx1"/>
            </w14:solidFill>
          </w14:textFill>
        </w:rPr>
        <w:t>〕</w:t>
      </w:r>
      <w:r>
        <w:rPr>
          <w:rFonts w:hint="eastAsia" w:ascii="仿宋_GB2312" w:hAnsi="宋体" w:cs="宋体"/>
          <w:color w:val="000000" w:themeColor="text1"/>
          <w:lang w:val="en-US" w:eastAsia="zh-CN"/>
          <w14:textFill>
            <w14:solidFill>
              <w14:schemeClr w14:val="tx1"/>
            </w14:solidFill>
          </w14:textFill>
        </w:rPr>
        <w:t>7</w:t>
      </w:r>
      <w:r>
        <w:rPr>
          <w:rFonts w:hint="eastAsia" w:ascii="仿宋_GB2312" w:hAnsi="仿宋_GB2312" w:cs="仿宋_GB2312"/>
          <w:color w:val="000000" w:themeColor="text1"/>
          <w14:textFill>
            <w14:solidFill>
              <w14:schemeClr w14:val="tx1"/>
            </w14:solidFill>
          </w14:textFill>
        </w:rPr>
        <w:t>号）</w:t>
      </w:r>
      <w:r>
        <w:rPr>
          <w:rFonts w:hint="eastAsia" w:ascii="仿宋_GB2312" w:hAnsi="仿宋_GB2312" w:cs="仿宋_GB2312"/>
          <w:color w:val="000000" w:themeColor="text1"/>
          <w:lang w:eastAsia="zh-CN"/>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w:t>
      </w:r>
      <w:r>
        <w:rPr>
          <w:rFonts w:hint="eastAsia" w:ascii="仿宋_GB2312" w:hAnsi="仿宋_GB2312" w:cs="仿宋_GB2312"/>
          <w:color w:val="000000" w:themeColor="text1"/>
          <w:lang w:val="en-US" w:eastAsia="zh-CN"/>
          <w14:textFill>
            <w14:solidFill>
              <w14:schemeClr w14:val="tx1"/>
            </w14:solidFill>
          </w14:textFill>
        </w:rPr>
        <w:t>济南市</w:t>
      </w:r>
      <w:r>
        <w:rPr>
          <w:rFonts w:hint="eastAsia" w:ascii="仿宋_GB2312" w:hAnsi="仿宋_GB2312" w:cs="仿宋_GB2312"/>
          <w:color w:val="000000" w:themeColor="text1"/>
          <w14:textFill>
            <w14:solidFill>
              <w14:schemeClr w14:val="tx1"/>
            </w14:solidFill>
          </w14:textFill>
        </w:rPr>
        <w:t>农业农村</w:t>
      </w:r>
      <w:r>
        <w:rPr>
          <w:rFonts w:hint="eastAsia" w:ascii="仿宋_GB2312" w:hAnsi="仿宋_GB2312" w:cs="仿宋_GB2312"/>
          <w:color w:val="000000" w:themeColor="text1"/>
          <w:lang w:val="en-US" w:eastAsia="zh-CN"/>
          <w14:textFill>
            <w14:solidFill>
              <w14:schemeClr w14:val="tx1"/>
            </w14:solidFill>
          </w14:textFill>
        </w:rPr>
        <w:t>局</w:t>
      </w:r>
      <w:r>
        <w:rPr>
          <w:rFonts w:hint="eastAsia" w:ascii="仿宋_GB2312" w:hAnsi="仿宋_GB2312" w:cs="仿宋_GB2312"/>
          <w:color w:val="000000" w:themeColor="text1"/>
          <w14:textFill>
            <w14:solidFill>
              <w14:schemeClr w14:val="tx1"/>
            </w14:solidFill>
          </w14:textFill>
        </w:rPr>
        <w:t>关于印发〈202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仿宋_GB2312" w:cs="仿宋_GB2312"/>
          <w:color w:val="000000" w:themeColor="text1"/>
          <w14:textFill>
            <w14:solidFill>
              <w14:schemeClr w14:val="tx1"/>
            </w14:solidFill>
          </w14:textFill>
        </w:rPr>
        <w:t>年高素质农民培育工作</w:t>
      </w:r>
      <w:r>
        <w:rPr>
          <w:rFonts w:hint="eastAsia" w:ascii="仿宋_GB2312" w:hAnsi="仿宋_GB2312" w:cs="仿宋_GB2312"/>
          <w:color w:val="000000" w:themeColor="text1"/>
          <w:lang w:val="en-US" w:eastAsia="zh-CN"/>
          <w14:textFill>
            <w14:solidFill>
              <w14:schemeClr w14:val="tx1"/>
            </w14:solidFill>
          </w14:textFill>
        </w:rPr>
        <w:t>实施</w:t>
      </w:r>
      <w:r>
        <w:rPr>
          <w:rFonts w:hint="eastAsia" w:ascii="仿宋_GB2312" w:hAnsi="仿宋_GB2312" w:cs="仿宋_GB2312"/>
          <w:color w:val="000000" w:themeColor="text1"/>
          <w14:textFill>
            <w14:solidFill>
              <w14:schemeClr w14:val="tx1"/>
            </w14:solidFill>
          </w14:textFill>
        </w:rPr>
        <w:t>方案〉的通知》（</w:t>
      </w:r>
      <w:r>
        <w:rPr>
          <w:rFonts w:hint="eastAsia" w:ascii="仿宋_GB2312" w:hAnsi="仿宋_GB2312" w:cs="仿宋_GB2312"/>
          <w:color w:val="000000" w:themeColor="text1"/>
          <w:lang w:val="en-US" w:eastAsia="zh-CN"/>
          <w14:textFill>
            <w14:solidFill>
              <w14:schemeClr w14:val="tx1"/>
            </w14:solidFill>
          </w14:textFill>
        </w:rPr>
        <w:t>济农农</w:t>
      </w:r>
      <w:r>
        <w:rPr>
          <w:rFonts w:hint="eastAsia" w:ascii="仿宋_GB2312" w:hAnsi="仿宋_GB2312" w:cs="仿宋_GB2312"/>
          <w:color w:val="000000" w:themeColor="text1"/>
          <w14:textFill>
            <w14:solidFill>
              <w14:schemeClr w14:val="tx1"/>
            </w14:solidFill>
          </w14:textFill>
        </w:rPr>
        <w:t>〔202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宋体" w:cs="宋体"/>
          <w:color w:val="000000" w:themeColor="text1"/>
          <w14:textFill>
            <w14:solidFill>
              <w14:schemeClr w14:val="tx1"/>
            </w14:solidFill>
          </w14:textFill>
        </w:rPr>
        <w:t>〕</w:t>
      </w:r>
      <w:r>
        <w:rPr>
          <w:rFonts w:hint="eastAsia" w:ascii="仿宋_GB2312" w:hAnsi="宋体" w:cs="宋体"/>
          <w:color w:val="000000" w:themeColor="text1"/>
          <w:lang w:val="en-US" w:eastAsia="zh-CN"/>
          <w14:textFill>
            <w14:solidFill>
              <w14:schemeClr w14:val="tx1"/>
            </w14:solidFill>
          </w14:textFill>
        </w:rPr>
        <w:t>22</w:t>
      </w:r>
      <w:r>
        <w:rPr>
          <w:rFonts w:hint="eastAsia" w:ascii="仿宋_GB2312" w:hAnsi="仿宋_GB2312" w:cs="仿宋_GB2312"/>
          <w:color w:val="000000" w:themeColor="text1"/>
          <w14:textFill>
            <w14:solidFill>
              <w14:schemeClr w14:val="tx1"/>
            </w14:solidFill>
          </w14:textFill>
        </w:rPr>
        <w:t>号）</w:t>
      </w:r>
      <w:r>
        <w:rPr>
          <w:rFonts w:hint="eastAsia" w:ascii="仿宋_GB2312" w:hAnsi="仿宋_GB2312" w:cs="仿宋_GB2312"/>
          <w:color w:val="000000" w:themeColor="text1"/>
          <w:lang w:val="en-US" w:eastAsia="zh-CN"/>
          <w14:textFill>
            <w14:solidFill>
              <w14:schemeClr w14:val="tx1"/>
            </w14:solidFill>
          </w14:textFill>
        </w:rPr>
        <w:t>文件精神和要求</w:t>
      </w:r>
      <w:r>
        <w:rPr>
          <w:rFonts w:hint="eastAsia" w:ascii="仿宋_GB2312" w:hAnsi="仿宋_GB2312" w:cs="仿宋_GB2312"/>
          <w:color w:val="000000" w:themeColor="text1"/>
          <w14:textFill>
            <w14:solidFill>
              <w14:schemeClr w14:val="tx1"/>
            </w14:solidFill>
          </w14:textFill>
        </w:rPr>
        <w:t>，结合</w:t>
      </w:r>
      <w:r>
        <w:rPr>
          <w:rFonts w:hint="eastAsia" w:ascii="仿宋_GB2312" w:hAnsi="仿宋_GB2312" w:cs="仿宋_GB2312"/>
          <w:color w:val="000000" w:themeColor="text1"/>
          <w:lang w:val="en-US" w:eastAsia="zh-CN"/>
          <w14:textFill>
            <w14:solidFill>
              <w14:schemeClr w14:val="tx1"/>
            </w14:solidFill>
          </w14:textFill>
        </w:rPr>
        <w:t>章丘区</w:t>
      </w:r>
      <w:r>
        <w:rPr>
          <w:rFonts w:hint="eastAsia" w:ascii="仿宋_GB2312" w:hAnsi="仿宋_GB2312" w:cs="仿宋_GB2312"/>
          <w:color w:val="000000" w:themeColor="text1"/>
          <w14:textFill>
            <w14:solidFill>
              <w14:schemeClr w14:val="tx1"/>
            </w14:solidFill>
          </w14:textFill>
        </w:rPr>
        <w:t>实际，制定本</w:t>
      </w:r>
      <w:r>
        <w:rPr>
          <w:rFonts w:hint="eastAsia" w:ascii="仿宋_GB2312" w:hAnsi="仿宋_GB2312" w:cs="仿宋_GB2312"/>
          <w:color w:val="000000" w:themeColor="text1"/>
          <w:lang w:val="en-US" w:eastAsia="zh-CN"/>
          <w14:textFill>
            <w14:solidFill>
              <w14:schemeClr w14:val="tx1"/>
            </w14:solidFill>
          </w14:textFill>
        </w:rPr>
        <w:t>实施</w:t>
      </w:r>
      <w:r>
        <w:rPr>
          <w:rFonts w:hint="eastAsia" w:ascii="仿宋_GB2312" w:hAnsi="仿宋_GB2312" w:cs="仿宋_GB2312"/>
          <w:color w:val="000000" w:themeColor="text1"/>
          <w14:textFill>
            <w14:solidFill>
              <w14:schemeClr w14:val="tx1"/>
            </w14:solidFill>
          </w14:textFill>
        </w:rPr>
        <w:t>方案。</w:t>
      </w:r>
    </w:p>
    <w:p w14:paraId="20994B27">
      <w:pPr>
        <w:numPr>
          <w:ilvl w:val="0"/>
          <w:numId w:val="1"/>
        </w:numPr>
        <w:adjustRightInd w:val="0"/>
        <w:snapToGrid w:val="0"/>
        <w:spacing w:line="600" w:lineRule="exact"/>
        <w:ind w:firstLine="628" w:firstLineChars="200"/>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kern w:val="32"/>
          <w:sz w:val="32"/>
          <w:szCs w:val="32"/>
          <w:highlight w:val="none"/>
          <w:u w:val="none"/>
          <w:lang w:eastAsia="zh-CN" w:bidi="ar"/>
        </w:rPr>
        <w:t>任务目标</w:t>
      </w:r>
    </w:p>
    <w:p w14:paraId="5B5D93BF">
      <w:pPr>
        <w:pStyle w:val="3"/>
        <w:keepNext w:val="0"/>
        <w:keepLines w:val="0"/>
        <w:pageBreakBefore w:val="0"/>
        <w:widowControl w:val="0"/>
        <w:kinsoku/>
        <w:wordWrap/>
        <w:overflowPunct/>
        <w:topLinePunct w:val="0"/>
        <w:autoSpaceDE/>
        <w:autoSpaceDN/>
        <w:bidi w:val="0"/>
        <w:snapToGrid/>
        <w:spacing w:line="240" w:lineRule="auto"/>
        <w:ind w:left="0" w:leftChars="0" w:firstLine="628" w:firstLineChars="200"/>
        <w:textAlignment w:val="auto"/>
        <w:rPr>
          <w:rFonts w:hint="eastAsia" w:ascii="仿宋_GB2312" w:hAnsi="仿宋_GB2312" w:cs="仿宋_GB2312"/>
          <w:color w:val="000000" w:themeColor="text1"/>
          <w14:textFill>
            <w14:solidFill>
              <w14:schemeClr w14:val="tx1"/>
            </w14:solidFill>
          </w14:textFill>
        </w:rPr>
      </w:pPr>
      <w:r>
        <w:rPr>
          <w:rFonts w:hint="eastAsia" w:ascii="仿宋_GB2312" w:hAnsi="仿宋_GB2312" w:eastAsia="仿宋_GB2312" w:cs="仿宋_GB2312"/>
          <w:bCs/>
          <w:color w:val="000000"/>
          <w:kern w:val="32"/>
          <w:sz w:val="32"/>
          <w:szCs w:val="32"/>
          <w:highlight w:val="none"/>
          <w:u w:val="none"/>
          <w:lang w:val="en-US" w:eastAsia="zh-CN" w:bidi="ar-SA"/>
        </w:rPr>
        <w:t>坚持以习近平新时代中国特色社会主义思想为指导，全面贯彻落实党的二十大和二十届历次全会精神，深入学习践行“千万工程”经验，</w:t>
      </w:r>
      <w:r>
        <w:rPr>
          <w:rFonts w:hint="eastAsia" w:ascii="仿宋_GB2312" w:hAnsi="仿宋_GB2312" w:eastAsia="仿宋_GB2312" w:cs="仿宋_GB2312"/>
          <w:sz w:val="32"/>
          <w:szCs w:val="32"/>
        </w:rPr>
        <w:t>聚焦农业农村现代化</w:t>
      </w:r>
      <w:r>
        <w:rPr>
          <w:rFonts w:hint="eastAsia" w:ascii="仿宋_GB2312" w:hAnsi="仿宋_GB2312" w:eastAsia="仿宋_GB2312" w:cs="仿宋_GB2312"/>
          <w:bCs/>
          <w:color w:val="000000"/>
          <w:kern w:val="32"/>
          <w:sz w:val="32"/>
          <w:szCs w:val="32"/>
          <w:highlight w:val="none"/>
          <w:u w:val="none"/>
          <w:lang w:val="en-US" w:eastAsia="zh-CN" w:bidi="ar-SA"/>
        </w:rPr>
        <w:t>，开展高素质农民培育，不断满足乡村振兴人才需求。坚持需求导向、质量优先、突出实效，坚持分层实施、分级管理、育用结合，按照工程化项目化闭环化要求组织实施高素质农民培育，持续提升农民技术技能水平、产</w:t>
      </w:r>
      <w:r>
        <w:rPr>
          <w:rFonts w:hint="eastAsia" w:ascii="仿宋_GB2312" w:hAnsi="仿宋_GB2312" w:eastAsia="仿宋_GB2312" w:cs="仿宋_GB2312"/>
          <w:color w:val="000000"/>
          <w:kern w:val="32"/>
          <w:sz w:val="32"/>
          <w:szCs w:val="32"/>
          <w:highlight w:val="none"/>
          <w:u w:val="none"/>
        </w:rPr>
        <w:t>业发展</w:t>
      </w:r>
      <w:r>
        <w:rPr>
          <w:rFonts w:hint="eastAsia" w:ascii="仿宋_GB2312" w:hAnsi="仿宋_GB2312" w:eastAsia="仿宋_GB2312" w:cs="仿宋_GB2312"/>
          <w:color w:val="000000"/>
          <w:kern w:val="32"/>
          <w:sz w:val="32"/>
          <w:szCs w:val="32"/>
          <w:highlight w:val="none"/>
          <w:u w:val="none"/>
          <w:lang w:eastAsia="zh-CN"/>
        </w:rPr>
        <w:t>能力</w:t>
      </w:r>
      <w:r>
        <w:rPr>
          <w:rFonts w:hint="eastAsia" w:ascii="仿宋_GB2312" w:hAnsi="仿宋_GB2312" w:eastAsia="仿宋_GB2312" w:cs="仿宋_GB2312"/>
          <w:color w:val="000000"/>
          <w:kern w:val="32"/>
          <w:sz w:val="32"/>
          <w:szCs w:val="32"/>
          <w:highlight w:val="none"/>
          <w:u w:val="none"/>
          <w:lang w:val="en-US" w:eastAsia="zh-CN"/>
        </w:rPr>
        <w:t>和</w:t>
      </w:r>
      <w:r>
        <w:rPr>
          <w:rFonts w:hint="eastAsia" w:ascii="仿宋_GB2312" w:hAnsi="仿宋_GB2312" w:eastAsia="仿宋_GB2312" w:cs="仿宋_GB2312"/>
          <w:color w:val="000000"/>
          <w:kern w:val="32"/>
          <w:sz w:val="32"/>
          <w:szCs w:val="32"/>
          <w:highlight w:val="none"/>
          <w:u w:val="none"/>
        </w:rPr>
        <w:t>综合</w:t>
      </w:r>
      <w:r>
        <w:rPr>
          <w:rFonts w:hint="eastAsia" w:ascii="仿宋_GB2312" w:hAnsi="仿宋_GB2312" w:eastAsia="仿宋_GB2312" w:cs="仿宋_GB2312"/>
          <w:color w:val="000000"/>
          <w:kern w:val="32"/>
          <w:sz w:val="32"/>
          <w:szCs w:val="32"/>
          <w:highlight w:val="none"/>
          <w:u w:val="none"/>
          <w:lang w:eastAsia="zh-CN"/>
        </w:rPr>
        <w:t>素质</w:t>
      </w:r>
      <w:r>
        <w:rPr>
          <w:rFonts w:hint="eastAsia" w:ascii="仿宋_GB2312" w:hAnsi="仿宋_GB2312" w:eastAsia="仿宋_GB2312" w:cs="仿宋_GB2312"/>
          <w:color w:val="000000"/>
          <w:kern w:val="32"/>
          <w:sz w:val="32"/>
          <w:szCs w:val="32"/>
          <w:highlight w:val="none"/>
          <w:u w:val="none"/>
        </w:rPr>
        <w:t>素养，</w:t>
      </w:r>
      <w:r>
        <w:rPr>
          <w:rFonts w:hint="eastAsia" w:ascii="仿宋_GB2312" w:hAnsi="仿宋_GB2312" w:eastAsia="仿宋_GB2312" w:cs="仿宋_GB2312"/>
          <w:bCs/>
          <w:color w:val="000000"/>
          <w:kern w:val="32"/>
          <w:sz w:val="32"/>
          <w:szCs w:val="32"/>
          <w:highlight w:val="none"/>
          <w:u w:val="none"/>
          <w:lang w:val="en-US" w:eastAsia="zh-CN" w:bidi="ar-SA"/>
        </w:rPr>
        <w:t>为加快建设现代农业强市提供坚实人才支撑。</w:t>
      </w:r>
      <w:r>
        <w:rPr>
          <w:rFonts w:hint="eastAsia" w:ascii="仿宋_GB2312" w:hAnsi="仿宋_GB2312" w:cs="仿宋_GB2312"/>
          <w:color w:val="000000" w:themeColor="text1"/>
          <w14:textFill>
            <w14:solidFill>
              <w14:schemeClr w14:val="tx1"/>
            </w14:solidFill>
          </w14:textFill>
        </w:rPr>
        <w:t>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仿宋_GB2312" w:cs="仿宋_GB2312"/>
          <w:color w:val="000000" w:themeColor="text1"/>
          <w14:textFill>
            <w14:solidFill>
              <w14:schemeClr w14:val="tx1"/>
            </w14:solidFill>
          </w14:textFill>
        </w:rPr>
        <w:t>年，</w:t>
      </w:r>
      <w:r>
        <w:rPr>
          <w:rFonts w:hint="eastAsia" w:ascii="仿宋_GB2312" w:hAnsi="仿宋_GB2312" w:cs="仿宋_GB2312"/>
          <w:color w:val="000000" w:themeColor="text1"/>
          <w:lang w:val="en-US" w:eastAsia="zh-CN"/>
          <w14:textFill>
            <w14:solidFill>
              <w14:schemeClr w14:val="tx1"/>
            </w14:solidFill>
          </w14:textFill>
        </w:rPr>
        <w:t>章丘区围绕</w:t>
      </w:r>
      <w:r>
        <w:rPr>
          <w:rFonts w:hint="eastAsia" w:ascii="仿宋_GB2312" w:hAnsi="仿宋_GB2312" w:cs="仿宋_GB2312"/>
          <w:color w:val="000000" w:themeColor="text1"/>
          <w14:textFill>
            <w14:solidFill>
              <w14:schemeClr w14:val="tx1"/>
            </w14:solidFill>
          </w14:textFill>
        </w:rPr>
        <w:t>粮油和重要农产品生产经营主体提升工程、新产业新业态带头人培育工程、文明乡风建设素质素养提升工程</w:t>
      </w:r>
      <w:r>
        <w:rPr>
          <w:rFonts w:hint="eastAsia" w:ascii="仿宋_GB2312" w:hAnsi="仿宋_GB2312" w:cs="仿宋_GB2312"/>
          <w:color w:val="000000" w:themeColor="text1"/>
          <w:lang w:eastAsia="zh-CN"/>
          <w14:textFill>
            <w14:solidFill>
              <w14:schemeClr w14:val="tx1"/>
            </w14:solidFill>
          </w14:textFill>
        </w:rPr>
        <w:t>三大工程和省、市</w:t>
      </w:r>
      <w:r>
        <w:rPr>
          <w:rFonts w:hint="eastAsia" w:ascii="仿宋_GB2312" w:hAnsi="仿宋_GB2312" w:eastAsia="仿宋_GB2312" w:cs="仿宋_GB2312"/>
          <w:color w:val="000000"/>
          <w:kern w:val="2"/>
          <w:sz w:val="32"/>
          <w:szCs w:val="32"/>
          <w:highlight w:val="none"/>
          <w:u w:val="none"/>
          <w:lang w:val="en-US" w:eastAsia="zh-CN" w:bidi="ar"/>
        </w:rPr>
        <w:t>三大专题任务</w:t>
      </w:r>
      <w:r>
        <w:rPr>
          <w:rFonts w:hint="eastAsia" w:ascii="仿宋_GB2312" w:hAnsi="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bCs/>
          <w:kern w:val="2"/>
          <w:sz w:val="32"/>
          <w:szCs w:val="32"/>
          <w:lang w:val="en-US" w:eastAsia="zh-CN" w:bidi="ar-SA"/>
        </w:rPr>
        <w:t>全年</w:t>
      </w:r>
      <w:r>
        <w:rPr>
          <w:rFonts w:hint="eastAsia" w:ascii="仿宋_GB2312" w:hAnsi="仿宋_GB2312" w:cs="仿宋_GB2312"/>
          <w:bCs/>
          <w:kern w:val="2"/>
          <w:sz w:val="32"/>
          <w:szCs w:val="32"/>
          <w:lang w:val="en-US" w:eastAsia="zh-CN" w:bidi="ar-SA"/>
        </w:rPr>
        <w:t>计划完成</w:t>
      </w:r>
      <w:r>
        <w:rPr>
          <w:rFonts w:hint="eastAsia" w:ascii="仿宋_GB2312" w:hAnsi="仿宋_GB2312" w:eastAsia="仿宋_GB2312" w:cs="仿宋_GB2312"/>
          <w:bCs/>
          <w:kern w:val="2"/>
          <w:sz w:val="32"/>
          <w:szCs w:val="32"/>
          <w:lang w:val="en-US" w:eastAsia="zh-CN" w:bidi="ar-SA"/>
        </w:rPr>
        <w:t>高素质农民培</w:t>
      </w:r>
      <w:r>
        <w:rPr>
          <w:rFonts w:hint="eastAsia" w:ascii="仿宋_GB2312" w:hAnsi="仿宋_GB2312" w:cs="仿宋_GB2312"/>
          <w:bCs/>
          <w:kern w:val="2"/>
          <w:sz w:val="32"/>
          <w:szCs w:val="32"/>
          <w:lang w:val="en-US" w:eastAsia="zh-CN" w:bidi="ar-SA"/>
        </w:rPr>
        <w:t>育500</w:t>
      </w:r>
      <w:r>
        <w:rPr>
          <w:rFonts w:hint="eastAsia" w:ascii="仿宋_GB2312" w:hAnsi="仿宋_GB2312" w:eastAsia="仿宋_GB2312" w:cs="仿宋_GB2312"/>
          <w:bCs/>
          <w:kern w:val="2"/>
          <w:sz w:val="32"/>
          <w:szCs w:val="32"/>
          <w:lang w:val="en-US" w:eastAsia="zh-CN" w:bidi="ar-SA"/>
        </w:rPr>
        <w:t>人，其中市级</w:t>
      </w:r>
      <w:r>
        <w:rPr>
          <w:rFonts w:hint="eastAsia" w:ascii="仿宋_GB2312" w:hAnsi="仿宋_GB2312" w:cs="仿宋_GB2312"/>
          <w:bCs/>
          <w:kern w:val="2"/>
          <w:sz w:val="32"/>
          <w:szCs w:val="32"/>
          <w:lang w:val="en-US" w:eastAsia="zh-CN" w:bidi="ar-SA"/>
        </w:rPr>
        <w:t>常规</w:t>
      </w:r>
      <w:r>
        <w:rPr>
          <w:rFonts w:hint="eastAsia" w:ascii="仿宋_GB2312" w:hAnsi="仿宋_GB2312" w:eastAsia="仿宋_GB2312" w:cs="仿宋_GB2312"/>
          <w:bCs/>
          <w:kern w:val="2"/>
          <w:sz w:val="32"/>
          <w:szCs w:val="32"/>
          <w:lang w:val="en-US" w:eastAsia="zh-CN" w:bidi="ar-SA"/>
        </w:rPr>
        <w:t>培训</w:t>
      </w:r>
      <w:r>
        <w:rPr>
          <w:rFonts w:hint="eastAsia" w:ascii="仿宋_GB2312" w:hAnsi="仿宋_GB2312" w:cs="仿宋_GB2312"/>
          <w:bCs/>
          <w:kern w:val="2"/>
          <w:sz w:val="32"/>
          <w:szCs w:val="32"/>
          <w:lang w:val="en-US" w:eastAsia="zh-CN" w:bidi="ar-SA"/>
        </w:rPr>
        <w:t>130</w:t>
      </w:r>
      <w:r>
        <w:rPr>
          <w:rFonts w:hint="eastAsia" w:ascii="仿宋_GB2312" w:hAnsi="仿宋_GB2312" w:eastAsia="仿宋_GB2312" w:cs="仿宋_GB2312"/>
          <w:bCs/>
          <w:kern w:val="2"/>
          <w:sz w:val="32"/>
          <w:szCs w:val="32"/>
          <w:lang w:val="en-US" w:eastAsia="zh-CN" w:bidi="ar-SA"/>
        </w:rPr>
        <w:t>人</w:t>
      </w:r>
      <w:r>
        <w:rPr>
          <w:rFonts w:hint="eastAsia" w:ascii="仿宋_GB2312" w:hAnsi="仿宋_GB2312" w:cs="仿宋_GB2312"/>
          <w:bCs/>
          <w:kern w:val="2"/>
          <w:sz w:val="32"/>
          <w:szCs w:val="32"/>
          <w:lang w:val="en-US" w:eastAsia="zh-CN" w:bidi="ar-SA"/>
        </w:rPr>
        <w:t>；</w:t>
      </w:r>
      <w:r>
        <w:rPr>
          <w:rFonts w:hint="eastAsia" w:ascii="仿宋_GB2312" w:hAnsi="仿宋_GB2312" w:eastAsia="仿宋_GB2312" w:cs="仿宋_GB2312"/>
          <w:bCs/>
          <w:kern w:val="2"/>
          <w:sz w:val="32"/>
          <w:szCs w:val="32"/>
          <w:lang w:val="en-US" w:eastAsia="zh-CN" w:bidi="ar-SA"/>
        </w:rPr>
        <w:t>区县级</w:t>
      </w:r>
      <w:r>
        <w:rPr>
          <w:rFonts w:hint="eastAsia" w:ascii="仿宋_GB2312" w:hAnsi="仿宋_GB2312" w:cs="仿宋_GB2312"/>
          <w:bCs/>
          <w:kern w:val="2"/>
          <w:sz w:val="32"/>
          <w:szCs w:val="32"/>
          <w:lang w:val="en-US" w:eastAsia="zh-CN" w:bidi="ar-SA"/>
        </w:rPr>
        <w:t>常规</w:t>
      </w:r>
      <w:r>
        <w:rPr>
          <w:rFonts w:hint="eastAsia" w:ascii="仿宋_GB2312" w:hAnsi="仿宋_GB2312" w:eastAsia="仿宋_GB2312" w:cs="仿宋_GB2312"/>
          <w:bCs/>
          <w:kern w:val="2"/>
          <w:sz w:val="32"/>
          <w:szCs w:val="32"/>
          <w:lang w:val="en-US" w:eastAsia="zh-CN" w:bidi="ar-SA"/>
        </w:rPr>
        <w:t>培训2</w:t>
      </w:r>
      <w:r>
        <w:rPr>
          <w:rFonts w:hint="eastAsia" w:ascii="仿宋_GB2312" w:hAnsi="仿宋_GB2312" w:cs="仿宋_GB2312"/>
          <w:bCs/>
          <w:kern w:val="2"/>
          <w:sz w:val="32"/>
          <w:szCs w:val="32"/>
          <w:lang w:val="en-US" w:eastAsia="zh-CN" w:bidi="ar-SA"/>
        </w:rPr>
        <w:t>60</w:t>
      </w:r>
      <w:r>
        <w:rPr>
          <w:rFonts w:hint="eastAsia" w:ascii="仿宋_GB2312" w:hAnsi="仿宋_GB2312" w:eastAsia="仿宋_GB2312" w:cs="仿宋_GB2312"/>
          <w:bCs/>
          <w:kern w:val="2"/>
          <w:sz w:val="32"/>
          <w:szCs w:val="32"/>
          <w:lang w:val="en-US" w:eastAsia="zh-CN" w:bidi="ar-SA"/>
        </w:rPr>
        <w:t>人</w:t>
      </w:r>
      <w:r>
        <w:rPr>
          <w:rFonts w:hint="eastAsia" w:ascii="仿宋_GB2312" w:hAnsi="仿宋_GB2312" w:cs="仿宋_GB2312"/>
          <w:bCs/>
          <w:kern w:val="2"/>
          <w:sz w:val="32"/>
          <w:szCs w:val="32"/>
          <w:lang w:val="en-US" w:eastAsia="zh-CN" w:bidi="ar-SA"/>
        </w:rPr>
        <w:t>；省级专题培训40人；市级专题培训70人</w:t>
      </w:r>
      <w:r>
        <w:rPr>
          <w:rFonts w:hint="eastAsia" w:ascii="仿宋_GB2312" w:hAnsi="仿宋_GB2312" w:cs="仿宋_GB2312"/>
          <w:color w:val="000000" w:themeColor="text1"/>
          <w14:textFill>
            <w14:solidFill>
              <w14:schemeClr w14:val="tx1"/>
            </w14:solidFill>
          </w14:textFill>
        </w:rPr>
        <w:t>。</w:t>
      </w:r>
    </w:p>
    <w:p w14:paraId="3FA2395E">
      <w:pPr>
        <w:pStyle w:val="3"/>
        <w:keepNext w:val="0"/>
        <w:keepLines w:val="0"/>
        <w:pageBreakBefore w:val="0"/>
        <w:widowControl w:val="0"/>
        <w:kinsoku/>
        <w:wordWrap/>
        <w:overflowPunct/>
        <w:topLinePunct w:val="0"/>
        <w:autoSpaceDE/>
        <w:autoSpaceDN/>
        <w:bidi w:val="0"/>
        <w:snapToGrid/>
        <w:spacing w:line="240" w:lineRule="auto"/>
        <w:ind w:left="0" w:leftChars="0" w:firstLine="628" w:firstLineChars="200"/>
        <w:textAlignment w:val="auto"/>
        <w:rPr>
          <w:rFonts w:hint="eastAsia" w:ascii="仿宋_GB2312" w:hAnsi="仿宋_GB2312" w:cs="仿宋_GB2312"/>
          <w:color w:val="000000" w:themeColor="text1"/>
          <w14:textFill>
            <w14:solidFill>
              <w14:schemeClr w14:val="tx1"/>
            </w14:solidFill>
          </w14:textFill>
        </w:rPr>
      </w:pPr>
      <w:r>
        <w:rPr>
          <w:rFonts w:hint="eastAsia" w:ascii="黑体" w:hAnsi="黑体" w:eastAsia="黑体" w:cs="黑体"/>
          <w:color w:val="000000"/>
          <w:kern w:val="32"/>
          <w:sz w:val="32"/>
          <w:szCs w:val="32"/>
          <w:highlight w:val="none"/>
          <w:u w:val="none"/>
          <w:lang w:val="en-US" w:eastAsia="zh-CN" w:bidi="ar"/>
        </w:rPr>
        <w:t>二、常规培训</w:t>
      </w:r>
    </w:p>
    <w:p w14:paraId="34B8FB91">
      <w:pPr>
        <w:pStyle w:val="4"/>
        <w:keepNext w:val="0"/>
        <w:keepLines w:val="0"/>
        <w:pageBreakBefore w:val="0"/>
        <w:widowControl w:val="0"/>
        <w:kinsoku/>
        <w:wordWrap/>
        <w:overflowPunct/>
        <w:topLinePunct w:val="0"/>
        <w:autoSpaceDE/>
        <w:autoSpaceDN/>
        <w:bidi w:val="0"/>
        <w:adjustRightInd/>
        <w:snapToGrid/>
        <w:spacing w:before="0" w:beforeLines="0" w:afterLines="0" w:line="600" w:lineRule="exact"/>
        <w:ind w:left="0" w:right="0" w:firstLine="628" w:firstLineChars="200"/>
        <w:textAlignment w:val="auto"/>
        <w:rPr>
          <w:rFonts w:hint="eastAsia"/>
          <w:lang w:val="en-US" w:eastAsia="zh-CN"/>
        </w:rPr>
      </w:pPr>
      <w:r>
        <w:rPr>
          <w:rFonts w:hint="eastAsia" w:ascii="楷体_GB2312" w:hAnsi="楷体_GB2312" w:eastAsia="楷体_GB2312" w:cs="楷体_GB2312"/>
          <w:b w:val="0"/>
          <w:bCs w:val="0"/>
          <w:color w:val="000000"/>
          <w:spacing w:val="0"/>
          <w:w w:val="100"/>
          <w:kern w:val="32"/>
          <w:sz w:val="32"/>
          <w:szCs w:val="32"/>
          <w:highlight w:val="none"/>
          <w:u w:val="none"/>
        </w:rPr>
        <w:t>（一）粮油和重要农产品生产经营主体提升工程</w:t>
      </w:r>
    </w:p>
    <w:p w14:paraId="5229F327">
      <w:pPr>
        <w:numPr>
          <w:ilvl w:val="0"/>
          <w:numId w:val="0"/>
        </w:numPr>
        <w:adjustRightInd w:val="0"/>
        <w:snapToGrid w:val="0"/>
        <w:spacing w:line="600" w:lineRule="exact"/>
        <w:ind w:firstLine="628" w:firstLineChars="200"/>
        <w:rPr>
          <w:rFonts w:hint="eastAsia" w:ascii="仿宋_GB2312" w:hAnsi="仿宋_GB2312" w:eastAsia="仿宋_GB2312" w:cs="仿宋_GB2312"/>
          <w:bCs/>
          <w:color w:val="000000"/>
          <w:kern w:val="32"/>
          <w:sz w:val="32"/>
          <w:szCs w:val="32"/>
          <w:highlight w:val="none"/>
          <w:u w:val="none"/>
          <w:lang w:val="en-US" w:eastAsia="zh-CN" w:bidi="ar-SA"/>
        </w:rPr>
      </w:pPr>
      <w:r>
        <w:rPr>
          <w:rFonts w:hint="eastAsia" w:ascii="仿宋_GB2312" w:hAnsi="仿宋_GB2312" w:eastAsia="仿宋_GB2312" w:cs="仿宋_GB2312"/>
          <w:b/>
          <w:bCs/>
          <w:color w:val="000000"/>
          <w:kern w:val="2"/>
          <w:sz w:val="32"/>
          <w:szCs w:val="32"/>
          <w:highlight w:val="none"/>
          <w:u w:val="none"/>
          <w:lang w:val="en-US" w:eastAsia="zh-CN"/>
        </w:rPr>
        <w:t>1</w:t>
      </w:r>
      <w:r>
        <w:rPr>
          <w:rFonts w:hint="eastAsia" w:ascii="仿宋_GB2312" w:hAnsi="仿宋_GB2312" w:cs="仿宋_GB2312"/>
          <w:b/>
          <w:bCs/>
          <w:color w:val="000000"/>
          <w:kern w:val="2"/>
          <w:sz w:val="32"/>
          <w:szCs w:val="32"/>
          <w:highlight w:val="none"/>
          <w:u w:val="none"/>
          <w:lang w:val="en-US" w:eastAsia="zh-CN"/>
        </w:rPr>
        <w:t>.</w:t>
      </w:r>
      <w:r>
        <w:rPr>
          <w:rFonts w:hint="eastAsia" w:ascii="仿宋_GB2312" w:hAnsi="仿宋_GB2312" w:eastAsia="仿宋_GB2312" w:cs="仿宋_GB2312"/>
          <w:b/>
          <w:bCs/>
          <w:color w:val="000000"/>
          <w:kern w:val="2"/>
          <w:sz w:val="32"/>
          <w:szCs w:val="32"/>
          <w:highlight w:val="none"/>
          <w:u w:val="none"/>
          <w:lang w:val="en-US" w:eastAsia="zh-CN"/>
        </w:rPr>
        <w:t>粮油作物大面积单产提升主体培育</w:t>
      </w:r>
      <w:r>
        <w:rPr>
          <w:rFonts w:hint="eastAsia" w:ascii="楷体_GB2312" w:hAnsi="楷体_GB2312" w:eastAsia="楷体_GB2312" w:cs="楷体_GB2312"/>
          <w:color w:val="000000" w:themeColor="text1"/>
          <w:lang w:eastAsia="zh-CN"/>
          <w14:textFill>
            <w14:solidFill>
              <w14:schemeClr w14:val="tx1"/>
            </w14:solidFill>
          </w14:textFill>
        </w:rPr>
        <w:t>。</w:t>
      </w:r>
      <w:r>
        <w:rPr>
          <w:rFonts w:hint="eastAsia" w:ascii="仿宋_GB2312" w:hAnsi="仿宋_GB2312" w:eastAsia="仿宋_GB2312" w:cs="仿宋_GB2312"/>
          <w:bCs/>
          <w:color w:val="000000"/>
          <w:kern w:val="32"/>
          <w:sz w:val="32"/>
          <w:szCs w:val="32"/>
          <w:highlight w:val="none"/>
          <w:u w:val="none"/>
          <w:lang w:val="en-US" w:eastAsia="zh-CN" w:bidi="ar-SA"/>
        </w:rPr>
        <w:t>围绕保障粮食安全，以粮油领域新品种、新技术、新装备应用等为主要内容，开展全产业链技术或单项关</w:t>
      </w:r>
      <w:r>
        <w:rPr>
          <w:rFonts w:hint="eastAsia" w:ascii="仿宋_GB2312" w:hAnsi="仿宋_GB2312" w:eastAsia="仿宋_GB2312" w:cs="仿宋_GB2312"/>
          <w:color w:val="000000"/>
          <w:spacing w:val="0"/>
          <w:w w:val="100"/>
          <w:kern w:val="32"/>
          <w:sz w:val="32"/>
          <w:szCs w:val="32"/>
          <w:highlight w:val="none"/>
          <w:u w:val="none"/>
        </w:rPr>
        <w:t>键技术培训</w:t>
      </w:r>
      <w:r>
        <w:rPr>
          <w:rFonts w:hint="eastAsia" w:ascii="仿宋_GB2312" w:hAnsi="仿宋_GB2312" w:eastAsia="仿宋_GB2312" w:cs="仿宋_GB2312"/>
          <w:color w:val="000000"/>
          <w:spacing w:val="0"/>
          <w:w w:val="100"/>
          <w:kern w:val="32"/>
          <w:sz w:val="32"/>
          <w:szCs w:val="32"/>
          <w:highlight w:val="none"/>
          <w:u w:val="none"/>
          <w:lang w:eastAsia="zh-CN"/>
        </w:rPr>
        <w:t>。</w:t>
      </w:r>
      <w:r>
        <w:rPr>
          <w:rFonts w:hint="eastAsia" w:ascii="仿宋_GB2312" w:hAnsi="仿宋_GB2312" w:eastAsia="仿宋_GB2312" w:cs="仿宋_GB2312"/>
          <w:color w:val="000000"/>
          <w:sz w:val="32"/>
          <w:szCs w:val="32"/>
          <w:highlight w:val="none"/>
          <w:u w:val="none"/>
          <w:lang w:val="en-US" w:eastAsia="zh-CN"/>
        </w:rPr>
        <w:t>重点围绕高产模式、病虫草害防治、农机使用维修、农田建设</w:t>
      </w:r>
      <w:r>
        <w:rPr>
          <w:rFonts w:hint="eastAsia" w:ascii="仿宋_GB2312" w:hAnsi="仿宋_GB2312" w:eastAsia="仿宋_GB2312" w:cs="仿宋_GB2312"/>
          <w:bCs/>
          <w:color w:val="000000"/>
          <w:kern w:val="32"/>
          <w:sz w:val="32"/>
          <w:szCs w:val="32"/>
          <w:highlight w:val="none"/>
          <w:u w:val="none"/>
          <w:lang w:val="en-US" w:eastAsia="zh-CN" w:bidi="ar-SA"/>
        </w:rPr>
        <w:t>保护、农业防灾减灾等内容，开展生产经营主体能力提升培训，推进良田、良种、良法、良机融合，持续提升新型农业经营主体和服务主体的技术技能水平</w:t>
      </w:r>
      <w:r>
        <w:rPr>
          <w:rFonts w:hint="eastAsia" w:ascii="仿宋_GB2312" w:hAnsi="仿宋_GB2312" w:cs="仿宋_GB2312"/>
          <w:bCs/>
          <w:color w:val="000000"/>
          <w:kern w:val="32"/>
          <w:sz w:val="32"/>
          <w:szCs w:val="32"/>
          <w:highlight w:val="none"/>
          <w:u w:val="none"/>
          <w:lang w:val="en-US" w:eastAsia="zh-CN" w:bidi="ar-SA"/>
        </w:rPr>
        <w:t>。</w:t>
      </w:r>
      <w:r>
        <w:rPr>
          <w:rFonts w:hint="eastAsia" w:ascii="仿宋_GB2312" w:hAnsi="仿宋_GB2312" w:cs="仿宋_GB2312"/>
          <w:color w:val="000000" w:themeColor="text1"/>
          <w:lang w:val="en-US" w:eastAsia="zh-CN"/>
          <w14:textFill>
            <w14:solidFill>
              <w14:schemeClr w14:val="tx1"/>
            </w14:solidFill>
          </w14:textFill>
        </w:rPr>
        <w:t>计划组织开展区县级粮油常规培训班3期，培训200人。</w:t>
      </w:r>
    </w:p>
    <w:p w14:paraId="317BD0A1">
      <w:pPr>
        <w:adjustRightInd w:val="0"/>
        <w:snapToGrid w:val="0"/>
        <w:spacing w:line="600" w:lineRule="exact"/>
        <w:ind w:firstLine="628"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kern w:val="2"/>
          <w:sz w:val="32"/>
          <w:szCs w:val="32"/>
          <w:highlight w:val="none"/>
          <w:u w:val="none"/>
          <w:lang w:val="en-US" w:eastAsia="zh-CN"/>
        </w:rPr>
        <w:t>2</w:t>
      </w:r>
      <w:r>
        <w:rPr>
          <w:rFonts w:hint="eastAsia" w:ascii="仿宋_GB2312" w:hAnsi="仿宋_GB2312" w:cs="仿宋_GB2312"/>
          <w:b/>
          <w:bCs/>
          <w:color w:val="000000"/>
          <w:kern w:val="2"/>
          <w:sz w:val="32"/>
          <w:szCs w:val="32"/>
          <w:highlight w:val="none"/>
          <w:u w:val="none"/>
          <w:lang w:val="en-US" w:eastAsia="zh-CN"/>
        </w:rPr>
        <w:t>.</w:t>
      </w:r>
      <w:r>
        <w:rPr>
          <w:rFonts w:hint="eastAsia" w:ascii="仿宋_GB2312" w:hAnsi="仿宋_GB2312" w:eastAsia="仿宋_GB2312" w:cs="仿宋_GB2312"/>
          <w:b/>
          <w:bCs/>
          <w:color w:val="000000"/>
          <w:kern w:val="2"/>
          <w:sz w:val="32"/>
          <w:szCs w:val="32"/>
          <w:highlight w:val="none"/>
          <w:u w:val="none"/>
          <w:lang w:val="en-US" w:eastAsia="zh-CN"/>
        </w:rPr>
        <w:t>重要农产品生产经营主体培育</w:t>
      </w:r>
      <w:r>
        <w:rPr>
          <w:rFonts w:hint="eastAsia" w:ascii="楷体_GB2312" w:hAnsi="楷体_GB2312" w:eastAsia="楷体_GB2312" w:cs="楷体_GB2312"/>
          <w:color w:val="000000" w:themeColor="text1"/>
          <w:lang w:eastAsia="zh-CN"/>
          <w14:textFill>
            <w14:solidFill>
              <w14:schemeClr w14:val="tx1"/>
            </w14:solidFill>
          </w14:textFill>
        </w:rPr>
        <w:t>。</w:t>
      </w:r>
      <w:r>
        <w:rPr>
          <w:rFonts w:hint="eastAsia" w:ascii="仿宋_GB2312" w:hAnsi="仿宋_GB2312" w:eastAsia="仿宋_GB2312" w:cs="仿宋_GB2312"/>
          <w:color w:val="000000"/>
          <w:sz w:val="32"/>
          <w:szCs w:val="32"/>
          <w:highlight w:val="none"/>
          <w:u w:val="none"/>
          <w:lang w:val="en-US" w:eastAsia="zh-CN"/>
        </w:rPr>
        <w:t>围绕构建重要农产品供给体系，以畜牧、水产、蔬菜等种养理论、生产技术和绿色发展等知识技能为主要内容，结合</w:t>
      </w:r>
      <w:r>
        <w:rPr>
          <w:rFonts w:hint="eastAsia" w:ascii="仿宋_GB2312" w:hAnsi="仿宋_GB2312" w:cs="仿宋_GB2312"/>
          <w:color w:val="000000"/>
          <w:sz w:val="32"/>
          <w:szCs w:val="32"/>
          <w:highlight w:val="none"/>
          <w:u w:val="none"/>
          <w:lang w:val="en-US" w:eastAsia="zh-CN"/>
        </w:rPr>
        <w:t>章丘</w:t>
      </w:r>
      <w:r>
        <w:rPr>
          <w:rFonts w:hint="eastAsia" w:ascii="仿宋_GB2312" w:hAnsi="仿宋_GB2312" w:eastAsia="仿宋_GB2312" w:cs="仿宋_GB2312"/>
          <w:color w:val="000000"/>
          <w:sz w:val="32"/>
          <w:szCs w:val="32"/>
          <w:highlight w:val="none"/>
          <w:u w:val="none"/>
          <w:lang w:val="en-US" w:eastAsia="zh-CN"/>
        </w:rPr>
        <w:t>区农业特色，</w:t>
      </w:r>
      <w:r>
        <w:rPr>
          <w:rFonts w:hint="eastAsia" w:ascii="仿宋_GB2312" w:hAnsi="仿宋_GB2312" w:cs="仿宋_GB2312"/>
          <w:color w:val="000000"/>
          <w:sz w:val="32"/>
          <w:szCs w:val="32"/>
          <w:highlight w:val="none"/>
          <w:u w:val="none"/>
          <w:lang w:val="en-US" w:eastAsia="zh-CN"/>
        </w:rPr>
        <w:t>组织学员参加市级大葱豇豆</w:t>
      </w:r>
      <w:r>
        <w:rPr>
          <w:rFonts w:hint="eastAsia" w:ascii="仿宋_GB2312" w:hAnsi="仿宋_GB2312" w:cs="仿宋_GB2312"/>
          <w:color w:val="000000" w:themeColor="text1"/>
          <w:lang w:val="en-US" w:eastAsia="zh-CN"/>
          <w14:textFill>
            <w14:solidFill>
              <w14:schemeClr w14:val="tx1"/>
            </w14:solidFill>
          </w14:textFill>
        </w:rPr>
        <w:t>、蛋鸡养殖、水产渔业</w:t>
      </w:r>
      <w:r>
        <w:rPr>
          <w:rFonts w:hint="eastAsia" w:ascii="仿宋_GB2312" w:hAnsi="仿宋_GB2312" w:cs="仿宋_GB2312"/>
          <w:color w:val="000000" w:themeColor="text1"/>
          <w14:textFill>
            <w14:solidFill>
              <w14:schemeClr w14:val="tx1"/>
            </w14:solidFill>
          </w14:textFill>
        </w:rPr>
        <w:t>等重要农产品生产经营主体带头人能力提升培</w:t>
      </w:r>
      <w:r>
        <w:rPr>
          <w:rFonts w:hint="eastAsia" w:ascii="仿宋_GB2312" w:hAnsi="仿宋_GB2312" w:cs="仿宋_GB2312"/>
          <w:color w:val="000000" w:themeColor="text1"/>
          <w:lang w:val="en-US" w:eastAsia="zh-CN"/>
          <w14:textFill>
            <w14:solidFill>
              <w14:schemeClr w14:val="tx1"/>
            </w14:solidFill>
          </w14:textFill>
        </w:rPr>
        <w:t>训</w:t>
      </w:r>
      <w:r>
        <w:rPr>
          <w:rFonts w:hint="eastAsia" w:ascii="仿宋_GB2312" w:hAnsi="仿宋_GB2312" w:cs="仿宋_GB2312"/>
          <w:color w:val="000000" w:themeColor="text1"/>
          <w:lang w:eastAsia="zh-CN"/>
          <w14:textFill>
            <w14:solidFill>
              <w14:schemeClr w14:val="tx1"/>
            </w14:solidFill>
          </w14:textFill>
        </w:rPr>
        <w:t>，</w:t>
      </w:r>
      <w:r>
        <w:rPr>
          <w:rFonts w:hint="eastAsia" w:ascii="仿宋_GB2312" w:hAnsi="仿宋_GB2312" w:cs="仿宋_GB2312"/>
          <w:color w:val="000000" w:themeColor="text1"/>
          <w:lang w:val="en-US" w:eastAsia="zh-CN"/>
          <w14:textFill>
            <w14:solidFill>
              <w14:schemeClr w14:val="tx1"/>
            </w14:solidFill>
          </w14:textFill>
        </w:rPr>
        <w:t>计划培训30人</w:t>
      </w:r>
      <w:r>
        <w:rPr>
          <w:rFonts w:hint="eastAsia" w:ascii="仿宋_GB2312" w:hAnsi="仿宋_GB2312" w:cs="仿宋_GB2312"/>
          <w:color w:val="000000" w:themeColor="text1"/>
          <w14:textFill>
            <w14:solidFill>
              <w14:schemeClr w14:val="tx1"/>
            </w14:solidFill>
          </w14:textFill>
        </w:rPr>
        <w:t>。</w:t>
      </w:r>
    </w:p>
    <w:p w14:paraId="5A40DB7A">
      <w:pPr>
        <w:adjustRightInd w:val="0"/>
        <w:snapToGrid w:val="0"/>
        <w:spacing w:line="600" w:lineRule="exact"/>
        <w:ind w:firstLine="628" w:firstLineChars="200"/>
        <w:rPr>
          <w:rFonts w:hint="eastAsia" w:ascii="楷体_GB2312" w:hAnsi="楷体_GB2312" w:eastAsia="楷体_GB2312" w:cs="楷体_GB2312"/>
          <w:b w:val="0"/>
          <w:bCs w:val="0"/>
          <w:color w:val="000000"/>
          <w:spacing w:val="0"/>
          <w:w w:val="100"/>
          <w:kern w:val="32"/>
          <w:sz w:val="32"/>
          <w:szCs w:val="32"/>
          <w:highlight w:val="none"/>
          <w:u w:val="none"/>
        </w:rPr>
      </w:pPr>
      <w:r>
        <w:rPr>
          <w:rFonts w:hint="eastAsia" w:ascii="楷体_GB2312" w:hAnsi="楷体_GB2312" w:eastAsia="楷体_GB2312" w:cs="楷体_GB2312"/>
          <w:b w:val="0"/>
          <w:bCs w:val="0"/>
          <w:color w:val="000000"/>
          <w:spacing w:val="0"/>
          <w:w w:val="100"/>
          <w:kern w:val="32"/>
          <w:sz w:val="32"/>
          <w:szCs w:val="32"/>
          <w:highlight w:val="none"/>
          <w:u w:val="none"/>
        </w:rPr>
        <w:t>（二）新产业新业态带头人培育工程</w:t>
      </w:r>
    </w:p>
    <w:p w14:paraId="37DE1B49">
      <w:pPr>
        <w:keepNext w:val="0"/>
        <w:keepLines w:val="0"/>
        <w:pageBreakBefore w:val="0"/>
        <w:widowControl w:val="0"/>
        <w:kinsoku/>
        <w:wordWrap/>
        <w:overflowPunct/>
        <w:topLinePunct w:val="0"/>
        <w:autoSpaceDE/>
        <w:autoSpaceDN/>
        <w:bidi w:val="0"/>
        <w:adjustRightInd/>
        <w:snapToGrid/>
        <w:spacing w:line="240" w:lineRule="auto"/>
        <w:ind w:left="0" w:firstLine="628" w:firstLineChars="200"/>
        <w:jc w:val="left"/>
        <w:textAlignment w:val="auto"/>
        <w:outlineLvl w:val="9"/>
        <w:rPr>
          <w:rFonts w:hint="eastAsia" w:ascii="仿宋_GB2312" w:hAnsi="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b/>
          <w:bCs/>
          <w:color w:val="000000"/>
          <w:kern w:val="2"/>
          <w:sz w:val="32"/>
          <w:szCs w:val="32"/>
          <w:highlight w:val="none"/>
          <w:u w:val="none"/>
          <w:lang w:val="en-US" w:eastAsia="zh-CN"/>
        </w:rPr>
        <w:t>1.</w:t>
      </w:r>
      <w:r>
        <w:rPr>
          <w:rFonts w:hint="eastAsia" w:ascii="仿宋_GB2312" w:hAnsi="仿宋_GB2312" w:eastAsia="仿宋_GB2312" w:cs="仿宋_GB2312"/>
          <w:b/>
          <w:bCs/>
          <w:color w:val="000000"/>
          <w:sz w:val="32"/>
          <w:szCs w:val="32"/>
          <w:highlight w:val="none"/>
          <w:u w:val="none"/>
          <w:lang w:val="en-US" w:eastAsia="zh-CN"/>
        </w:rPr>
        <w:t>农文旅融合发展带头人培育</w:t>
      </w:r>
      <w:r>
        <w:rPr>
          <w:rFonts w:hint="eastAsia" w:ascii="仿宋_GB2312" w:hAnsi="仿宋_GB2312" w:eastAsia="仿宋_GB2312" w:cs="仿宋_GB2312"/>
          <w:color w:val="000000"/>
          <w:sz w:val="32"/>
          <w:szCs w:val="32"/>
          <w:highlight w:val="none"/>
          <w:u w:val="none"/>
          <w:lang w:val="en-US" w:eastAsia="zh-CN"/>
        </w:rPr>
        <w:t>。</w:t>
      </w:r>
      <w:r>
        <w:rPr>
          <w:rFonts w:hint="eastAsia" w:ascii="仿宋_GB2312" w:hAnsi="仿宋_GB2312" w:eastAsia="仿宋_GB2312" w:cs="仿宋_GB2312"/>
          <w:color w:val="000000"/>
          <w:kern w:val="2"/>
          <w:sz w:val="32"/>
          <w:szCs w:val="32"/>
          <w:highlight w:val="none"/>
          <w:u w:val="none"/>
          <w:lang w:val="en-US" w:eastAsia="zh-CN" w:bidi="ar"/>
        </w:rPr>
        <w:t>聚焦农文旅深度融合提质增效，围绕</w:t>
      </w:r>
      <w:r>
        <w:rPr>
          <w:rFonts w:hint="eastAsia" w:ascii="仿宋_GB2312" w:hAnsi="仿宋_GB2312" w:eastAsia="仿宋_GB2312" w:cs="仿宋_GB2312"/>
          <w:color w:val="000000"/>
          <w:sz w:val="32"/>
          <w:szCs w:val="32"/>
          <w:highlight w:val="none"/>
          <w:u w:val="none"/>
          <w:lang w:val="en-US" w:eastAsia="zh-CN"/>
        </w:rPr>
        <w:t>乡村休闲旅游产品开发、</w:t>
      </w:r>
      <w:r>
        <w:rPr>
          <w:rFonts w:hint="eastAsia" w:ascii="仿宋_GB2312" w:hAnsi="仿宋_GB2312" w:eastAsia="仿宋_GB2312" w:cs="仿宋_GB2312"/>
          <w:color w:val="000000"/>
          <w:kern w:val="2"/>
          <w:sz w:val="32"/>
          <w:szCs w:val="32"/>
          <w:highlight w:val="none"/>
          <w:u w:val="none"/>
          <w:lang w:val="en-US" w:eastAsia="zh-CN" w:bidi="ar"/>
        </w:rPr>
        <w:t>乡土文化活化利用、农事体验项目开发、品牌策划与新媒体营销、农旅节庆活动策划等内容，开展农文旅融合发展带头人能力提升培训，持续提升新型农业经营主体、农文旅从业主体等的专业技能、运营水平和联农带农能力。</w:t>
      </w:r>
      <w:r>
        <w:rPr>
          <w:rFonts w:hint="eastAsia" w:ascii="仿宋_GB2312" w:hAnsi="仿宋_GB2312" w:cs="仿宋_GB2312"/>
          <w:color w:val="000000"/>
          <w:kern w:val="2"/>
          <w:sz w:val="32"/>
          <w:szCs w:val="32"/>
          <w:highlight w:val="none"/>
          <w:u w:val="none"/>
          <w:lang w:val="en-US" w:eastAsia="zh-CN" w:bidi="ar"/>
        </w:rPr>
        <w:t>计划</w:t>
      </w:r>
      <w:r>
        <w:rPr>
          <w:rFonts w:hint="eastAsia" w:ascii="仿宋_GB2312" w:hAnsi="仿宋_GB2312" w:cs="仿宋_GB2312"/>
          <w:color w:val="000000" w:themeColor="text1"/>
          <w14:textFill>
            <w14:solidFill>
              <w14:schemeClr w14:val="tx1"/>
            </w14:solidFill>
          </w14:textFill>
        </w:rPr>
        <w:t>举办</w:t>
      </w:r>
      <w:r>
        <w:rPr>
          <w:rFonts w:hint="eastAsia" w:ascii="仿宋_GB2312" w:hAnsi="仿宋_GB2312" w:cs="仿宋_GB2312"/>
          <w:color w:val="000000" w:themeColor="text1"/>
          <w:lang w:val="en-US" w:eastAsia="zh-CN"/>
          <w14:textFill>
            <w14:solidFill>
              <w14:schemeClr w14:val="tx1"/>
            </w14:solidFill>
          </w14:textFill>
        </w:rPr>
        <w:t>区县级农文旅常规培训班1期，培训60人。</w:t>
      </w:r>
    </w:p>
    <w:p w14:paraId="651D2411">
      <w:pPr>
        <w:keepNext w:val="0"/>
        <w:keepLines w:val="0"/>
        <w:pageBreakBefore w:val="0"/>
        <w:widowControl w:val="0"/>
        <w:kinsoku/>
        <w:wordWrap/>
        <w:overflowPunct/>
        <w:topLinePunct w:val="0"/>
        <w:autoSpaceDE/>
        <w:autoSpaceDN/>
        <w:bidi w:val="0"/>
        <w:adjustRightInd/>
        <w:snapToGrid/>
        <w:spacing w:line="240" w:lineRule="auto"/>
        <w:ind w:left="0" w:firstLine="628" w:firstLineChars="200"/>
        <w:jc w:val="left"/>
        <w:textAlignment w:val="auto"/>
        <w:outlineLvl w:val="9"/>
        <w:rPr>
          <w:rFonts w:hint="eastAsia" w:ascii="仿宋_GB2312" w:hAnsi="仿宋_GB2312" w:eastAsia="仿宋_GB2312" w:cs="仿宋_GB2312"/>
          <w:color w:val="000000"/>
          <w:kern w:val="2"/>
          <w:sz w:val="32"/>
          <w:szCs w:val="32"/>
          <w:highlight w:val="none"/>
          <w:u w:val="none"/>
          <w:lang w:val="en-US" w:eastAsia="zh-CN" w:bidi="ar"/>
        </w:rPr>
      </w:pPr>
      <w:r>
        <w:rPr>
          <w:rFonts w:hint="eastAsia" w:ascii="仿宋_GB2312" w:hAnsi="仿宋_GB2312" w:eastAsia="仿宋_GB2312" w:cs="仿宋_GB2312"/>
          <w:b/>
          <w:bCs/>
          <w:color w:val="000000"/>
          <w:sz w:val="32"/>
          <w:szCs w:val="32"/>
          <w:highlight w:val="none"/>
          <w:u w:val="none"/>
          <w:lang w:val="en-US" w:eastAsia="zh-CN" w:bidi="ar"/>
        </w:rPr>
        <w:t>2.AI+农业智能运营人才培育。</w:t>
      </w:r>
      <w:r>
        <w:rPr>
          <w:rFonts w:hint="eastAsia" w:ascii="仿宋_GB2312" w:hAnsi="仿宋_GB2312" w:eastAsia="仿宋_GB2312" w:cs="仿宋_GB2312"/>
          <w:color w:val="000000"/>
          <w:kern w:val="2"/>
          <w:sz w:val="32"/>
          <w:szCs w:val="32"/>
          <w:highlight w:val="none"/>
          <w:u w:val="none"/>
          <w:lang w:val="en-US" w:eastAsia="zh-CN" w:bidi="ar"/>
        </w:rPr>
        <w:t>聚焦涉农短视频、直播电商、品牌打造，围绕AI实用工具使用、新媒体与品牌营销等内容，开展AI智能工具赋能农业生产经营培训，提升从业者利用AI工具优化生产运营、开展品牌推广的能力</w:t>
      </w:r>
      <w:r>
        <w:rPr>
          <w:rFonts w:hint="eastAsia" w:ascii="仿宋_GB2312" w:hAnsi="仿宋_GB2312" w:cs="仿宋_GB2312"/>
          <w:color w:val="000000"/>
          <w:kern w:val="2"/>
          <w:sz w:val="32"/>
          <w:szCs w:val="32"/>
          <w:highlight w:val="none"/>
          <w:u w:val="none"/>
          <w:lang w:val="en-US" w:eastAsia="zh-CN" w:bidi="ar"/>
        </w:rPr>
        <w:t>，</w:t>
      </w:r>
      <w:r>
        <w:rPr>
          <w:rFonts w:hint="eastAsia" w:ascii="仿宋_GB2312" w:hAnsi="仿宋_GB2312" w:cs="仿宋_GB2312"/>
          <w:color w:val="000000" w:themeColor="text1"/>
          <w:lang w:val="en-US" w:eastAsia="zh-CN"/>
          <w14:textFill>
            <w14:solidFill>
              <w14:schemeClr w14:val="tx1"/>
            </w14:solidFill>
          </w14:textFill>
        </w:rPr>
        <w:t>组织学员参加市级</w:t>
      </w:r>
      <w:r>
        <w:rPr>
          <w:rFonts w:hint="eastAsia" w:ascii="仿宋_GB2312" w:hAnsi="仿宋_GB2312" w:eastAsia="仿宋_GB2312" w:cs="仿宋_GB2312"/>
          <w:color w:val="000000"/>
          <w:kern w:val="2"/>
          <w:sz w:val="32"/>
          <w:szCs w:val="32"/>
          <w:highlight w:val="none"/>
          <w:u w:val="none"/>
          <w:lang w:val="en-US" w:eastAsia="zh-CN" w:bidi="ar"/>
        </w:rPr>
        <w:t>AI+农业智能运营专题培训班，计划培训20人。</w:t>
      </w:r>
    </w:p>
    <w:p w14:paraId="1ABAFED9">
      <w:pPr>
        <w:keepNext w:val="0"/>
        <w:keepLines w:val="0"/>
        <w:pageBreakBefore w:val="0"/>
        <w:widowControl w:val="0"/>
        <w:kinsoku/>
        <w:wordWrap/>
        <w:overflowPunct/>
        <w:topLinePunct w:val="0"/>
        <w:autoSpaceDE/>
        <w:autoSpaceDN/>
        <w:bidi w:val="0"/>
        <w:adjustRightInd/>
        <w:snapToGrid/>
        <w:spacing w:beforeLines="0" w:afterLines="0" w:line="600" w:lineRule="exact"/>
        <w:ind w:firstLine="628" w:firstLineChars="200"/>
        <w:jc w:val="left"/>
        <w:textAlignment w:val="auto"/>
        <w:outlineLvl w:val="9"/>
        <w:rPr>
          <w:rFonts w:hint="eastAsia"/>
          <w:lang w:val="en-US" w:eastAsia="zh-CN"/>
        </w:rPr>
      </w:pPr>
      <w:r>
        <w:rPr>
          <w:rFonts w:hint="eastAsia" w:ascii="仿宋_GB2312" w:hAnsi="仿宋_GB2312" w:cs="仿宋_GB2312"/>
          <w:b/>
          <w:bCs/>
          <w:color w:val="000000"/>
          <w:kern w:val="2"/>
          <w:sz w:val="32"/>
          <w:szCs w:val="32"/>
          <w:highlight w:val="none"/>
          <w:u w:val="none"/>
          <w:lang w:val="en-US" w:eastAsia="zh-CN"/>
        </w:rPr>
        <w:t>3</w:t>
      </w:r>
      <w:r>
        <w:rPr>
          <w:rFonts w:hint="eastAsia" w:ascii="仿宋_GB2312" w:hAnsi="仿宋_GB2312" w:eastAsia="仿宋_GB2312" w:cs="仿宋_GB2312"/>
          <w:b/>
          <w:bCs/>
          <w:color w:val="000000"/>
          <w:kern w:val="2"/>
          <w:sz w:val="32"/>
          <w:szCs w:val="32"/>
          <w:highlight w:val="none"/>
          <w:u w:val="none"/>
          <w:lang w:val="en-US" w:eastAsia="zh-CN"/>
        </w:rPr>
        <w:t>.农产品经纪人、农业经理人培育</w:t>
      </w:r>
      <w:r>
        <w:rPr>
          <w:rFonts w:hint="eastAsia" w:ascii="仿宋_GB2312" w:hAnsi="仿宋_GB2312" w:eastAsia="仿宋_GB2312" w:cs="仿宋_GB2312"/>
          <w:color w:val="000000"/>
          <w:sz w:val="32"/>
          <w:szCs w:val="32"/>
          <w:highlight w:val="none"/>
          <w:u w:val="none"/>
          <w:lang w:val="en-US" w:eastAsia="zh-CN"/>
        </w:rPr>
        <w:t>。聚焦</w:t>
      </w:r>
      <w:r>
        <w:rPr>
          <w:rFonts w:hint="eastAsia" w:ascii="仿宋_GB2312" w:hAnsi="仿宋_GB2312" w:eastAsia="仿宋_GB2312" w:cs="仿宋_GB2312"/>
          <w:color w:val="000000"/>
          <w:sz w:val="32"/>
          <w:szCs w:val="32"/>
          <w:highlight w:val="none"/>
          <w:u w:val="none"/>
          <w:lang w:val="en-US" w:eastAsia="zh-CN" w:bidi="ar"/>
        </w:rPr>
        <w:t>促进农产品高效顺畅流通，</w:t>
      </w:r>
      <w:r>
        <w:rPr>
          <w:rFonts w:hint="eastAsia" w:ascii="仿宋_GB2312" w:hAnsi="仿宋_GB2312" w:eastAsia="仿宋_GB2312" w:cs="仿宋_GB2312"/>
          <w:color w:val="000000"/>
          <w:sz w:val="32"/>
          <w:szCs w:val="32"/>
          <w:highlight w:val="none"/>
          <w:u w:val="none"/>
          <w:lang w:val="en-US" w:eastAsia="zh-CN"/>
        </w:rPr>
        <w:t>围绕农产品市场信息采集与分析、品质鉴定与储运、市场营销与应急促销等内容，</w:t>
      </w:r>
      <w:r>
        <w:rPr>
          <w:rFonts w:hint="eastAsia" w:ascii="仿宋_GB2312" w:hAnsi="仿宋_GB2312" w:cs="仿宋_GB2312"/>
          <w:color w:val="000000"/>
          <w:sz w:val="32"/>
          <w:szCs w:val="32"/>
          <w:highlight w:val="none"/>
          <w:u w:val="none"/>
          <w:lang w:val="en-US" w:eastAsia="zh-CN"/>
        </w:rPr>
        <w:t>组织学员参加市级</w:t>
      </w:r>
      <w:r>
        <w:rPr>
          <w:rFonts w:hint="eastAsia" w:ascii="仿宋_GB2312" w:hAnsi="仿宋_GB2312" w:eastAsia="仿宋_GB2312" w:cs="仿宋_GB2312"/>
          <w:color w:val="000000"/>
          <w:sz w:val="32"/>
          <w:szCs w:val="32"/>
          <w:highlight w:val="none"/>
          <w:u w:val="none"/>
          <w:lang w:val="en-US" w:eastAsia="zh-CN"/>
        </w:rPr>
        <w:t>农产品经纪人能力提升培训</w:t>
      </w:r>
      <w:r>
        <w:rPr>
          <w:rFonts w:hint="eastAsia" w:ascii="仿宋_GB2312" w:hAnsi="仿宋_GB2312" w:cs="仿宋_GB2312"/>
          <w:color w:val="000000"/>
          <w:sz w:val="32"/>
          <w:szCs w:val="32"/>
          <w:highlight w:val="none"/>
          <w:u w:val="none"/>
          <w:lang w:val="en-US" w:eastAsia="zh-CN"/>
        </w:rPr>
        <w:t>；</w:t>
      </w:r>
      <w:r>
        <w:rPr>
          <w:rFonts w:hint="eastAsia" w:ascii="仿宋_GB2312" w:hAnsi="仿宋_GB2312" w:eastAsia="仿宋_GB2312" w:cs="仿宋_GB2312"/>
          <w:bCs/>
          <w:color w:val="000000"/>
          <w:kern w:val="32"/>
          <w:sz w:val="32"/>
          <w:szCs w:val="32"/>
          <w:highlight w:val="none"/>
          <w:u w:val="none"/>
          <w:lang w:val="en-US" w:eastAsia="zh-CN" w:bidi="ar-SA"/>
        </w:rPr>
        <w:t>围绕农业生产标准化管理、农产品品牌打造与运营以及现代农业融合发展等内容，面向家庭农场、农民专业合作社、农业龙头企业经营管理者，</w:t>
      </w:r>
      <w:r>
        <w:rPr>
          <w:rFonts w:hint="eastAsia" w:ascii="仿宋_GB2312" w:hAnsi="仿宋_GB2312" w:cs="仿宋_GB2312"/>
          <w:color w:val="000000"/>
          <w:sz w:val="32"/>
          <w:szCs w:val="32"/>
          <w:highlight w:val="none"/>
          <w:u w:val="none"/>
          <w:lang w:val="en-US" w:eastAsia="zh-CN"/>
        </w:rPr>
        <w:t>组织学员参加市级</w:t>
      </w:r>
      <w:r>
        <w:rPr>
          <w:rFonts w:hint="eastAsia" w:ascii="仿宋_GB2312" w:hAnsi="仿宋_GB2312" w:eastAsia="仿宋_GB2312" w:cs="仿宋_GB2312"/>
          <w:bCs/>
          <w:color w:val="000000"/>
          <w:kern w:val="32"/>
          <w:sz w:val="32"/>
          <w:szCs w:val="32"/>
          <w:highlight w:val="none"/>
          <w:u w:val="none"/>
          <w:lang w:val="en-US" w:eastAsia="zh-CN" w:bidi="ar-SA"/>
        </w:rPr>
        <w:t>农业经理人培训，</w:t>
      </w:r>
      <w:r>
        <w:rPr>
          <w:rFonts w:hint="eastAsia" w:ascii="仿宋_GB2312" w:hAnsi="仿宋_GB2312" w:cs="仿宋_GB2312"/>
          <w:color w:val="000000"/>
          <w:sz w:val="32"/>
          <w:szCs w:val="32"/>
          <w:highlight w:val="none"/>
          <w:u w:val="none"/>
          <w:lang w:val="en-US" w:eastAsia="zh-CN"/>
        </w:rPr>
        <w:t>计划培训40人</w:t>
      </w:r>
      <w:r>
        <w:rPr>
          <w:rFonts w:hint="eastAsia" w:ascii="仿宋_GB2312" w:hAnsi="仿宋_GB2312" w:eastAsia="仿宋_GB2312" w:cs="仿宋_GB2312"/>
          <w:bCs/>
          <w:color w:val="000000"/>
          <w:kern w:val="32"/>
          <w:sz w:val="32"/>
          <w:szCs w:val="32"/>
          <w:highlight w:val="none"/>
          <w:u w:val="none"/>
          <w:lang w:val="en-US" w:eastAsia="zh-CN" w:bidi="ar-SA"/>
        </w:rPr>
        <w:t>。</w:t>
      </w:r>
    </w:p>
    <w:p w14:paraId="54ABBB60">
      <w:pPr>
        <w:keepNext w:val="0"/>
        <w:keepLines w:val="0"/>
        <w:pageBreakBefore w:val="0"/>
        <w:numPr>
          <w:ilvl w:val="0"/>
          <w:numId w:val="0"/>
        </w:numPr>
        <w:kinsoku/>
        <w:wordWrap/>
        <w:overflowPunct/>
        <w:topLinePunct w:val="0"/>
        <w:autoSpaceDE/>
        <w:autoSpaceDN/>
        <w:bidi w:val="0"/>
        <w:snapToGrid/>
        <w:spacing w:line="600" w:lineRule="exact"/>
        <w:ind w:firstLine="628" w:firstLineChars="200"/>
        <w:textAlignment w:val="auto"/>
        <w:rPr>
          <w:rFonts w:hint="eastAsia" w:ascii="楷体_GB2312" w:hAnsi="楷体_GB2312" w:eastAsia="楷体_GB2312" w:cs="楷体_GB2312"/>
          <w:b w:val="0"/>
          <w:bCs w:val="0"/>
          <w:color w:val="000000"/>
          <w:spacing w:val="0"/>
          <w:w w:val="100"/>
          <w:kern w:val="32"/>
          <w:sz w:val="32"/>
          <w:szCs w:val="32"/>
          <w:highlight w:val="none"/>
          <w:u w:val="none"/>
        </w:rPr>
      </w:pPr>
      <w:r>
        <w:rPr>
          <w:rFonts w:hint="eastAsia" w:ascii="楷体_GB2312" w:hAnsi="楷体_GB2312" w:eastAsia="楷体_GB2312" w:cs="楷体_GB2312"/>
          <w:b w:val="0"/>
          <w:bCs w:val="0"/>
          <w:color w:val="000000"/>
          <w:spacing w:val="0"/>
          <w:w w:val="100"/>
          <w:kern w:val="32"/>
          <w:sz w:val="32"/>
          <w:szCs w:val="32"/>
          <w:highlight w:val="none"/>
          <w:u w:val="none"/>
        </w:rPr>
        <w:t>（三）文明乡风建设素质素养提升工程</w:t>
      </w:r>
    </w:p>
    <w:p w14:paraId="282C95EE">
      <w:pPr>
        <w:keepNext w:val="0"/>
        <w:keepLines w:val="0"/>
        <w:pageBreakBefore w:val="0"/>
        <w:widowControl w:val="0"/>
        <w:kinsoku/>
        <w:wordWrap/>
        <w:overflowPunct/>
        <w:topLinePunct w:val="0"/>
        <w:autoSpaceDE/>
        <w:autoSpaceDN/>
        <w:bidi w:val="0"/>
        <w:adjustRightInd/>
        <w:snapToGrid/>
        <w:spacing w:beforeLines="0" w:afterLines="0" w:line="600" w:lineRule="exact"/>
        <w:ind w:firstLine="628" w:firstLineChars="200"/>
        <w:jc w:val="left"/>
        <w:textAlignment w:val="auto"/>
        <w:outlineLvl w:val="9"/>
        <w:rPr>
          <w:rFonts w:hint="eastAsia" w:ascii="仿宋_GB2312" w:hAnsi="仿宋_GB2312" w:eastAsia="仿宋_GB2312" w:cs="仿宋_GB2312"/>
          <w:color w:val="000000"/>
          <w:kern w:val="2"/>
          <w:sz w:val="32"/>
          <w:szCs w:val="32"/>
          <w:highlight w:val="none"/>
          <w:u w:val="none"/>
          <w:lang w:val="en-US" w:eastAsia="zh-CN" w:bidi="ar"/>
        </w:rPr>
      </w:pPr>
      <w:r>
        <w:rPr>
          <w:rFonts w:hint="eastAsia" w:ascii="仿宋_GB2312" w:hAnsi="仿宋_GB2312" w:eastAsia="仿宋_GB2312" w:cs="仿宋_GB2312"/>
          <w:color w:val="000000"/>
          <w:kern w:val="2"/>
          <w:sz w:val="32"/>
          <w:szCs w:val="32"/>
          <w:highlight w:val="none"/>
          <w:u w:val="none"/>
          <w:lang w:val="en-US" w:eastAsia="zh-CN" w:bidi="ar"/>
        </w:rPr>
        <w:t>聚焦乡村文化传承保护与创新发展需求，围绕乡村礼俗、农耕技艺、传统工艺、乡村文艺等内容，培养一批深耕乡村的农耕文化传承人、乡村文艺创作者和乡村文化传播者；聚焦提高乡村治理能力、发展新型农村集体经济，围绕政策衔接与治理协同、产业经营与市场开拓、组织治理与财务资本等核心内容，持续提升农村集体经济组织带头人政策运用、经营管理、规范治理、市场运营等综合能力。组织学员参加市级乡村文化人才和乡村治理人才</w:t>
      </w:r>
      <w:r>
        <w:rPr>
          <w:rFonts w:hint="eastAsia" w:ascii="仿宋_GB2312" w:hAnsi="仿宋_GB2312" w:cs="仿宋_GB2312"/>
          <w:color w:val="000000"/>
          <w:kern w:val="2"/>
          <w:sz w:val="32"/>
          <w:szCs w:val="32"/>
          <w:highlight w:val="none"/>
          <w:u w:val="none"/>
          <w:lang w:val="en-US" w:eastAsia="zh-CN" w:bidi="ar"/>
        </w:rPr>
        <w:t>培训，</w:t>
      </w:r>
      <w:r>
        <w:rPr>
          <w:rFonts w:hint="eastAsia" w:ascii="仿宋_GB2312" w:hAnsi="仿宋_GB2312" w:cs="仿宋_GB2312"/>
          <w:color w:val="000000"/>
          <w:sz w:val="32"/>
          <w:szCs w:val="32"/>
          <w:highlight w:val="none"/>
          <w:u w:val="none"/>
          <w:lang w:val="en-US" w:eastAsia="zh-CN"/>
        </w:rPr>
        <w:t>计划培训40人</w:t>
      </w:r>
      <w:r>
        <w:rPr>
          <w:rFonts w:hint="eastAsia" w:ascii="仿宋_GB2312" w:hAnsi="仿宋_GB2312" w:eastAsia="仿宋_GB2312" w:cs="仿宋_GB2312"/>
          <w:bCs/>
          <w:color w:val="000000"/>
          <w:kern w:val="32"/>
          <w:sz w:val="32"/>
          <w:szCs w:val="32"/>
          <w:highlight w:val="none"/>
          <w:u w:val="none"/>
          <w:lang w:val="en-US" w:eastAsia="zh-CN" w:bidi="ar-SA"/>
        </w:rPr>
        <w:t>。</w:t>
      </w:r>
    </w:p>
    <w:p w14:paraId="24A70BFA">
      <w:pPr>
        <w:keepNext w:val="0"/>
        <w:keepLines w:val="0"/>
        <w:pageBreakBefore w:val="0"/>
        <w:widowControl w:val="0"/>
        <w:numPr>
          <w:ilvl w:val="0"/>
          <w:numId w:val="0"/>
        </w:numPr>
        <w:kinsoku/>
        <w:wordWrap/>
        <w:overflowPunct/>
        <w:topLinePunct w:val="0"/>
        <w:autoSpaceDE/>
        <w:autoSpaceDN/>
        <w:bidi w:val="0"/>
        <w:snapToGrid/>
        <w:spacing w:line="240" w:lineRule="auto"/>
        <w:ind w:left="0" w:leftChars="0" w:firstLine="628" w:firstLineChars="200"/>
        <w:jc w:val="left"/>
        <w:textAlignment w:val="auto"/>
        <w:rPr>
          <w:rFonts w:hint="eastAsia" w:ascii="黑体" w:hAnsi="黑体" w:eastAsia="黑体" w:cs="黑体"/>
          <w:color w:val="000000"/>
          <w:sz w:val="32"/>
          <w:szCs w:val="32"/>
          <w:highlight w:val="none"/>
          <w:u w:val="none"/>
          <w:lang w:val="en-US" w:eastAsia="zh-CN"/>
        </w:rPr>
      </w:pPr>
      <w:r>
        <w:rPr>
          <w:rFonts w:hint="eastAsia" w:ascii="黑体" w:hAnsi="黑体" w:eastAsia="黑体" w:cs="黑体"/>
          <w:color w:val="000000"/>
          <w:sz w:val="32"/>
          <w:szCs w:val="32"/>
          <w:highlight w:val="none"/>
          <w:u w:val="none"/>
          <w:lang w:val="en-US" w:eastAsia="zh-CN"/>
        </w:rPr>
        <w:t>三、省、济南市专题任务培训</w:t>
      </w:r>
    </w:p>
    <w:p w14:paraId="3430A30B">
      <w:pPr>
        <w:keepNext w:val="0"/>
        <w:keepLines w:val="0"/>
        <w:pageBreakBefore w:val="0"/>
        <w:numPr>
          <w:ilvl w:val="0"/>
          <w:numId w:val="0"/>
        </w:numPr>
        <w:kinsoku/>
        <w:wordWrap/>
        <w:overflowPunct/>
        <w:topLinePunct w:val="0"/>
        <w:autoSpaceDE/>
        <w:autoSpaceDN/>
        <w:bidi w:val="0"/>
        <w:snapToGrid/>
        <w:spacing w:line="600" w:lineRule="exact"/>
        <w:ind w:firstLine="628" w:firstLineChars="200"/>
        <w:textAlignment w:val="auto"/>
        <w:rPr>
          <w:rFonts w:hint="eastAsia"/>
          <w:lang w:val="en-US" w:eastAsia="zh-CN"/>
        </w:rPr>
      </w:pPr>
      <w:r>
        <w:rPr>
          <w:rFonts w:hint="eastAsia" w:ascii="仿宋_GB2312" w:hAnsi="仿宋_GB2312" w:eastAsia="仿宋_GB2312" w:cs="仿宋_GB2312"/>
          <w:color w:val="000000"/>
          <w:kern w:val="2"/>
          <w:sz w:val="32"/>
          <w:szCs w:val="32"/>
          <w:highlight w:val="none"/>
          <w:u w:val="none"/>
          <w:lang w:val="en-US" w:eastAsia="zh-CN" w:bidi="ar"/>
        </w:rPr>
        <w:t>根据省、市高素质农民培育工作总体安排，重点围绕农机手技能提升、数智技术应用、乡土文化能人三大专题任务，组织学员参加省、市专题任务培训</w:t>
      </w:r>
      <w:r>
        <w:rPr>
          <w:rFonts w:hint="eastAsia" w:ascii="仿宋_GB2312" w:hAnsi="仿宋_GB2312" w:cs="仿宋_GB2312"/>
          <w:color w:val="000000"/>
          <w:kern w:val="2"/>
          <w:sz w:val="32"/>
          <w:szCs w:val="32"/>
          <w:highlight w:val="none"/>
          <w:u w:val="none"/>
          <w:lang w:val="en-US" w:eastAsia="zh-CN" w:bidi="ar"/>
        </w:rPr>
        <w:t>。</w:t>
      </w:r>
      <w:r>
        <w:rPr>
          <w:rFonts w:hint="eastAsia" w:ascii="仿宋_GB2312" w:hAnsi="仿宋_GB2312" w:eastAsia="仿宋_GB2312" w:cs="仿宋_GB2312"/>
          <w:color w:val="000000"/>
          <w:kern w:val="2"/>
          <w:sz w:val="32"/>
          <w:szCs w:val="32"/>
          <w:highlight w:val="none"/>
          <w:u w:val="none"/>
          <w:lang w:val="en-US" w:eastAsia="zh-CN" w:bidi="ar"/>
        </w:rPr>
        <w:t>一是围绕粮油作物高质量机播、高效飞防植保、机收减损、粮食烘干、农机抗灾救灾、农机安全生产、农机保养维修和主体经营管理能力提升等内容，以实操实训和作业演练为重点，组织学员参加农机手技能提升专题培训班；二是围绕物联网、大数据、人工智能、机器人等信息技术在农业全链条普及应用和智慧农场发展，组织学员参加青年数智技术应用专题培训班和农产品电商专题培训班；三是面向有一定文艺特长、长期扎根乡村发展文化事业、致力于乡土文化保护传承的农民文化能人及乡村工匠等，组织学员参加乡土文化能人专题培训班。计划培训110人</w:t>
      </w:r>
      <w:r>
        <w:rPr>
          <w:rFonts w:hint="eastAsia" w:ascii="仿宋_GB2312" w:hAnsi="仿宋_GB2312" w:cs="仿宋_GB2312"/>
          <w:color w:val="000000"/>
          <w:kern w:val="2"/>
          <w:sz w:val="32"/>
          <w:szCs w:val="32"/>
          <w:highlight w:val="none"/>
          <w:u w:val="none"/>
          <w:lang w:val="en-US" w:eastAsia="zh-CN" w:bidi="ar"/>
        </w:rPr>
        <w:t>。</w:t>
      </w:r>
    </w:p>
    <w:p w14:paraId="06A8C165">
      <w:pPr>
        <w:adjustRightInd w:val="0"/>
        <w:snapToGrid w:val="0"/>
        <w:spacing w:line="600" w:lineRule="exact"/>
        <w:ind w:firstLine="628" w:firstLineChars="20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四</w:t>
      </w:r>
      <w:r>
        <w:rPr>
          <w:rFonts w:hint="eastAsia" w:ascii="黑体" w:hAnsi="黑体" w:eastAsia="黑体" w:cs="黑体"/>
          <w:color w:val="000000" w:themeColor="text1"/>
          <w14:textFill>
            <w14:solidFill>
              <w14:schemeClr w14:val="tx1"/>
            </w14:solidFill>
          </w14:textFill>
        </w:rPr>
        <w:t>、工作要求</w:t>
      </w:r>
    </w:p>
    <w:p w14:paraId="29B644DF">
      <w:pPr>
        <w:adjustRightInd w:val="0"/>
        <w:snapToGrid w:val="0"/>
        <w:spacing w:line="600" w:lineRule="exact"/>
        <w:ind w:firstLine="628"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高素质农民培育作为乡村人才振兴的一项基础性工作，我区将精心组织安排</w:t>
      </w:r>
      <w:r>
        <w:rPr>
          <w:rFonts w:hint="eastAsia" w:ascii="仿宋_GB2312" w:hAnsi="仿宋_GB2312" w:cs="仿宋_GB2312"/>
          <w:bCs/>
          <w:kern w:val="2"/>
          <w:sz w:val="32"/>
          <w:szCs w:val="32"/>
          <w:lang w:val="en-US" w:eastAsia="zh-CN" w:bidi="ar-SA"/>
        </w:rPr>
        <w:t>，</w:t>
      </w:r>
      <w:r>
        <w:rPr>
          <w:rFonts w:hint="eastAsia" w:ascii="仿宋_GB2312" w:hAnsi="仿宋_GB2312" w:eastAsia="仿宋_GB2312" w:cs="仿宋_GB2312"/>
          <w:bCs/>
          <w:kern w:val="2"/>
          <w:sz w:val="32"/>
          <w:szCs w:val="32"/>
          <w:lang w:val="en-US" w:eastAsia="zh-CN" w:bidi="ar-SA"/>
        </w:rPr>
        <w:t>严格按照实施方案与培训工作规范的要求抓好落实，切实做好相关工作</w:t>
      </w:r>
      <w:r>
        <w:rPr>
          <w:rFonts w:hint="eastAsia" w:ascii="仿宋_GB2312" w:hAnsi="仿宋_GB2312" w:cs="仿宋_GB2312"/>
          <w:bCs/>
          <w:kern w:val="2"/>
          <w:sz w:val="32"/>
          <w:szCs w:val="32"/>
          <w:lang w:val="en-US" w:eastAsia="zh-CN" w:bidi="ar-SA"/>
        </w:rPr>
        <w:t>。</w:t>
      </w:r>
      <w:r>
        <w:rPr>
          <w:rFonts w:hint="eastAsia" w:ascii="仿宋_GB2312" w:hAnsi="仿宋_GB2312" w:cs="仿宋_GB2312"/>
          <w:color w:val="000000" w:themeColor="text1"/>
          <w:lang w:val="en-US" w:eastAsia="zh-CN"/>
          <w14:textFill>
            <w14:solidFill>
              <w14:schemeClr w14:val="tx1"/>
            </w14:solidFill>
          </w14:textFill>
        </w:rPr>
        <w:t>区县级班</w:t>
      </w:r>
      <w:r>
        <w:rPr>
          <w:rFonts w:hint="eastAsia" w:ascii="仿宋_GB2312" w:hAnsi="仿宋_GB2312" w:cs="仿宋_GB2312"/>
          <w:color w:val="000000" w:themeColor="text1"/>
          <w14:textFill>
            <w14:solidFill>
              <w14:schemeClr w14:val="tx1"/>
            </w14:solidFill>
          </w14:textFill>
        </w:rPr>
        <w:t>集中教学阶段培育任务在12月10日前全部完成</w:t>
      </w:r>
      <w:r>
        <w:rPr>
          <w:rFonts w:hint="eastAsia" w:ascii="仿宋_GB2312" w:hAnsi="仿宋_GB2312" w:cs="仿宋_GB2312"/>
          <w:color w:val="000000" w:themeColor="text1"/>
          <w:lang w:eastAsia="zh-CN"/>
          <w14:textFill>
            <w14:solidFill>
              <w14:schemeClr w14:val="tx1"/>
            </w14:solidFill>
          </w14:textFill>
        </w:rPr>
        <w:t>，</w:t>
      </w:r>
      <w:r>
        <w:rPr>
          <w:rFonts w:ascii="仿宋_GB2312" w:hAnsi="仿宋_GB2312" w:eastAsia="仿宋_GB2312" w:cs="仿宋_GB2312"/>
          <w:color w:val="000000"/>
          <w:kern w:val="0"/>
          <w:sz w:val="31"/>
          <w:szCs w:val="31"/>
          <w:lang w:val="en-US" w:eastAsia="zh-CN" w:bidi="ar"/>
        </w:rPr>
        <w:t>农</w:t>
      </w:r>
      <w:r>
        <w:rPr>
          <w:rFonts w:ascii="仿宋_GB2312" w:hAnsi="仿宋_GB2312" w:eastAsia="仿宋_GB2312" w:cs="仿宋_GB2312"/>
          <w:color w:val="000000"/>
          <w:sz w:val="31"/>
          <w:szCs w:val="31"/>
        </w:rPr>
        <w:t>民培育合格率达到90%以上</w:t>
      </w:r>
      <w:r>
        <w:rPr>
          <w:rFonts w:hint="eastAsia" w:ascii="仿宋_GB2312" w:hAnsi="仿宋_GB2312" w:cs="仿宋_GB2312"/>
          <w:color w:val="000000"/>
          <w:sz w:val="31"/>
          <w:szCs w:val="31"/>
          <w:lang w:eastAsia="zh-CN"/>
        </w:rPr>
        <w:t>。</w:t>
      </w:r>
    </w:p>
    <w:p w14:paraId="1B68EDAE">
      <w:pPr>
        <w:pStyle w:val="2"/>
        <w:widowControl w:val="0"/>
        <w:numPr>
          <w:ilvl w:val="0"/>
          <w:numId w:val="2"/>
        </w:numPr>
        <w:ind w:firstLine="628" w:firstLineChars="200"/>
        <w:jc w:val="left"/>
        <w:rPr>
          <w:rFonts w:hint="eastAsia" w:ascii="仿宋_GB2312" w:hAnsi="仿宋_GB2312" w:eastAsia="仿宋_GB2312" w:cs="仿宋_GB2312"/>
          <w:color w:val="000000"/>
          <w:kern w:val="2"/>
          <w:sz w:val="32"/>
          <w:szCs w:val="32"/>
          <w:highlight w:val="none"/>
          <w:u w:val="none"/>
          <w:lang w:val="en-US" w:eastAsia="zh-CN" w:bidi="ar"/>
        </w:rPr>
      </w:pPr>
      <w:r>
        <w:rPr>
          <w:rFonts w:hint="eastAsia" w:ascii="楷体_GB2312" w:hAnsi="楷体_GB2312" w:eastAsia="楷体_GB2312" w:cs="楷体_GB2312"/>
          <w:b w:val="0"/>
          <w:bCs w:val="0"/>
          <w:color w:val="000000"/>
          <w:spacing w:val="0"/>
          <w:w w:val="100"/>
          <w:kern w:val="32"/>
          <w:sz w:val="32"/>
          <w:szCs w:val="32"/>
          <w:highlight w:val="none"/>
          <w:u w:val="none"/>
          <w:lang w:val="en-US" w:eastAsia="zh-CN" w:bidi="ar-SA"/>
        </w:rPr>
        <w:t>加强组织管理</w:t>
      </w:r>
      <w:r>
        <w:rPr>
          <w:rFonts w:hint="eastAsia" w:ascii="楷体_GB2312" w:hAnsi="楷体_GB2312" w:eastAsia="楷体_GB2312" w:cs="楷体_GB2312"/>
          <w:color w:val="000000" w:themeColor="text1"/>
          <w14:textFill>
            <w14:solidFill>
              <w14:schemeClr w14:val="tx1"/>
            </w14:solidFill>
          </w14:textFill>
        </w:rPr>
        <w:t>。</w:t>
      </w:r>
      <w:r>
        <w:rPr>
          <w:rFonts w:hint="eastAsia" w:ascii="仿宋_GB2312" w:hAnsi="仿宋_GB2312" w:eastAsia="仿宋_GB2312" w:cs="仿宋_GB2312"/>
          <w:color w:val="000000"/>
          <w:kern w:val="2"/>
          <w:sz w:val="32"/>
          <w:szCs w:val="32"/>
          <w:highlight w:val="none"/>
          <w:u w:val="none"/>
          <w:lang w:val="en-US" w:eastAsia="zh-CN" w:bidi="ar"/>
        </w:rPr>
        <w:t>严格对标农业农村部《高素质农民培育规范（修订）》《高素质农民培育项目管理工作规程（试行）》，全面规范培育实施、资金使用、监督管理全流程工作。要强化部门联动、整合平台资源、延伸服务链条，建立分级负责、上下协同的工作机制。组织实施好区县级常规培训班与学员后续服务，在开班前一周，将培训审批单报市农业农村局审核，获批后方可开班。做好省、市级培训班学员遴选工作，配合市农广校完成跟踪服务工作。</w:t>
      </w:r>
    </w:p>
    <w:p w14:paraId="0C5B86BD">
      <w:pPr>
        <w:pStyle w:val="2"/>
        <w:widowControl w:val="0"/>
        <w:numPr>
          <w:ilvl w:val="0"/>
          <w:numId w:val="2"/>
        </w:numPr>
        <w:ind w:left="117" w:leftChars="0" w:firstLine="628" w:firstLineChars="200"/>
        <w:jc w:val="left"/>
        <w:rPr>
          <w:rFonts w:hint="eastAsia" w:ascii="仿宋_GB2312" w:hAnsi="仿宋_GB2312" w:eastAsia="仿宋_GB2312" w:cs="仿宋_GB2312"/>
          <w:bCs/>
          <w:kern w:val="2"/>
          <w:sz w:val="32"/>
          <w:szCs w:val="32"/>
          <w:lang w:val="en-US" w:eastAsia="zh-CN" w:bidi="ar-SA"/>
        </w:rPr>
      </w:pPr>
      <w:r>
        <w:rPr>
          <w:rFonts w:hint="eastAsia" w:ascii="楷体_GB2312" w:hAnsi="楷体_GB2312" w:eastAsia="楷体_GB2312" w:cs="楷体_GB2312"/>
          <w:b w:val="0"/>
          <w:bCs w:val="0"/>
          <w:color w:val="000000"/>
          <w:spacing w:val="0"/>
          <w:w w:val="100"/>
          <w:kern w:val="32"/>
          <w:sz w:val="32"/>
          <w:szCs w:val="32"/>
          <w:highlight w:val="none"/>
          <w:u w:val="none"/>
          <w:lang w:val="en-US" w:eastAsia="zh-CN" w:bidi="ar-SA"/>
        </w:rPr>
        <w:t>严格资金与档案管理。</w:t>
      </w:r>
      <w:r>
        <w:rPr>
          <w:rFonts w:hint="eastAsia" w:ascii="仿宋_GB2312" w:hAnsi="仿宋_GB2312" w:eastAsia="仿宋_GB2312" w:cs="仿宋_GB2312"/>
          <w:bCs/>
          <w:kern w:val="2"/>
          <w:sz w:val="32"/>
          <w:szCs w:val="32"/>
          <w:lang w:val="en-US" w:eastAsia="zh-CN" w:bidi="ar-SA"/>
        </w:rPr>
        <w:t>严格执行资金闭环管理模式，项目资金实行市级统一留存、市农广校统筹调度、专账核算、专款专用。区农业农村局作为县级培育责任主体，要规范资金使用流程、提升财政资金使用效能。培育工作完成后及时整理完善档案资料，报市农广校审核，按规定结算相关培训费用。严格落实不低于30%的训后学员回访制度，并将回访结果纳入项目综合评价。</w:t>
      </w:r>
    </w:p>
    <w:p w14:paraId="53443A66">
      <w:pPr>
        <w:pStyle w:val="2"/>
        <w:widowControl w:val="0"/>
        <w:numPr>
          <w:ilvl w:val="0"/>
          <w:numId w:val="2"/>
        </w:numPr>
        <w:ind w:left="117" w:leftChars="0" w:firstLine="628" w:firstLineChars="200"/>
        <w:jc w:val="left"/>
        <w:rPr>
          <w:rFonts w:hint="eastAsia" w:ascii="仿宋_GB2312" w:hAnsi="仿宋_GB2312" w:cs="仿宋_GB2312"/>
          <w:color w:val="000000" w:themeColor="text1"/>
          <w14:textFill>
            <w14:solidFill>
              <w14:schemeClr w14:val="tx1"/>
            </w14:solidFill>
          </w14:textFill>
        </w:rPr>
      </w:pPr>
      <w:r>
        <w:rPr>
          <w:rFonts w:hint="eastAsia" w:ascii="楷体_GB2312" w:hAnsi="楷体_GB2312" w:eastAsia="楷体_GB2312" w:cs="楷体_GB2312"/>
          <w:b w:val="0"/>
          <w:bCs w:val="0"/>
          <w:color w:val="000000"/>
          <w:spacing w:val="0"/>
          <w:w w:val="100"/>
          <w:kern w:val="32"/>
          <w:sz w:val="32"/>
          <w:szCs w:val="32"/>
          <w:highlight w:val="none"/>
          <w:u w:val="none"/>
          <w:lang w:val="en-US" w:eastAsia="zh-CN" w:bidi="ar-SA"/>
        </w:rPr>
        <w:t>切实提升培育质效。</w:t>
      </w:r>
      <w:r>
        <w:rPr>
          <w:rFonts w:hint="eastAsia" w:ascii="CESI仿宋-GB2312" w:hAnsi="CESI仿宋-GB2312" w:eastAsia="CESI仿宋-GB2312" w:cs="CESI仿宋-GB2312"/>
          <w:b w:val="0"/>
          <w:bCs w:val="0"/>
          <w:i w:val="0"/>
          <w:iCs w:val="0"/>
          <w:caps w:val="0"/>
          <w:color w:val="000000"/>
          <w:spacing w:val="0"/>
          <w:sz w:val="32"/>
          <w:szCs w:val="32"/>
          <w:highlight w:val="none"/>
          <w:shd w:val="clear" w:color="auto" w:fill="auto"/>
          <w:lang w:bidi="ar"/>
        </w:rPr>
        <w:t>依托各类媒体、政务平台及线上培育渠道，做好政策宣传与农民需求收集，结合政策标准、产业现状和农民实际需求精准设置培育内容</w:t>
      </w:r>
      <w:r>
        <w:rPr>
          <w:rFonts w:hint="eastAsia" w:ascii="CESI仿宋-GB2312" w:hAnsi="CESI仿宋-GB2312" w:eastAsia="CESI仿宋-GB2312" w:cs="CESI仿宋-GB2312"/>
          <w:b w:val="0"/>
          <w:bCs w:val="0"/>
          <w:i w:val="0"/>
          <w:iCs w:val="0"/>
          <w:caps w:val="0"/>
          <w:color w:val="000000"/>
          <w:spacing w:val="0"/>
          <w:sz w:val="32"/>
          <w:szCs w:val="32"/>
          <w:highlight w:val="none"/>
          <w:shd w:val="clear" w:color="auto" w:fill="auto"/>
          <w:lang w:eastAsia="zh-CN" w:bidi="ar"/>
        </w:rPr>
        <w:t>。</w:t>
      </w:r>
      <w:r>
        <w:rPr>
          <w:rFonts w:hint="eastAsia" w:ascii="CESI仿宋-GB2312" w:hAnsi="CESI仿宋-GB2312" w:eastAsia="CESI仿宋-GB2312" w:cs="CESI仿宋-GB2312"/>
          <w:b w:val="0"/>
          <w:bCs w:val="0"/>
          <w:i w:val="0"/>
          <w:iCs w:val="0"/>
          <w:caps w:val="0"/>
          <w:color w:val="000000"/>
          <w:spacing w:val="0"/>
          <w:sz w:val="32"/>
          <w:szCs w:val="32"/>
          <w:highlight w:val="none"/>
          <w:shd w:val="clear" w:color="auto" w:fill="auto"/>
          <w:lang w:bidi="ar"/>
        </w:rPr>
        <w:t>择优吸纳本土农技人才充实师资队伍，通过跟岗见习、以赛促学、产业对接等方式推动学用结合，融合VR、AR等智能化技术优化培育场景，全面提升培育工作规范化水平与实施质效，助力乡村人才振兴。</w:t>
      </w:r>
    </w:p>
    <w:p w14:paraId="6750F665">
      <w:pPr>
        <w:pStyle w:val="52"/>
        <w:spacing w:line="560" w:lineRule="exact"/>
        <w:ind w:firstLine="420"/>
        <w:rPr>
          <w:rFonts w:hint="eastAsia" w:ascii="仿宋_GB2312" w:hAnsi="仿宋_GB2312" w:cs="仿宋_GB2312"/>
          <w:color w:val="000000" w:themeColor="text1"/>
          <w14:textFill>
            <w14:solidFill>
              <w14:schemeClr w14:val="tx1"/>
            </w14:solidFill>
          </w14:textFill>
        </w:rPr>
      </w:pPr>
    </w:p>
    <w:p w14:paraId="7F4C0D3D">
      <w:pPr>
        <w:pStyle w:val="52"/>
        <w:spacing w:line="560" w:lineRule="exact"/>
        <w:ind w:firstLine="420"/>
        <w:rPr>
          <w:rFonts w:hint="eastAsia" w:ascii="仿宋_GB2312" w:hAnsi="仿宋_GB2312" w:eastAsia="仿宋_GB2312" w:cs="仿宋_GB2312"/>
          <w:bCs/>
          <w:kern w:val="2"/>
          <w:sz w:val="32"/>
          <w:szCs w:val="32"/>
          <w:lang w:val="en-US" w:eastAsia="zh-CN" w:bidi="ar-SA"/>
        </w:rPr>
      </w:pPr>
      <w:r>
        <w:rPr>
          <w:rFonts w:hint="eastAsia" w:ascii="仿宋_GB2312" w:hAnsi="仿宋_GB2312" w:cs="仿宋_GB2312"/>
          <w:color w:val="000000" w:themeColor="text1"/>
          <w14:textFill>
            <w14:solidFill>
              <w14:schemeClr w14:val="tx1"/>
            </w14:solidFill>
          </w14:textFill>
        </w:rPr>
        <w:t>附件：1</w:t>
      </w:r>
      <w:r>
        <w:rPr>
          <w:rFonts w:hint="eastAsia" w:ascii="仿宋_GB2312" w:hAnsi="仿宋_GB2312" w:eastAsia="仿宋_GB2312" w:cs="仿宋_GB2312"/>
          <w:bCs/>
          <w:kern w:val="2"/>
          <w:sz w:val="32"/>
          <w:szCs w:val="32"/>
          <w:lang w:val="en-US" w:eastAsia="zh-CN" w:bidi="ar-SA"/>
        </w:rPr>
        <w:t>：章丘区高素质农民培育工作</w:t>
      </w:r>
      <w:r>
        <w:rPr>
          <w:rFonts w:hint="eastAsia" w:ascii="仿宋_GB2312" w:hAnsi="仿宋_GB2312" w:cs="仿宋_GB2312"/>
          <w:bCs/>
          <w:kern w:val="2"/>
          <w:sz w:val="32"/>
          <w:szCs w:val="32"/>
          <w:lang w:val="en-US" w:eastAsia="zh-CN" w:bidi="ar-SA"/>
        </w:rPr>
        <w:t>领导</w:t>
      </w:r>
      <w:r>
        <w:rPr>
          <w:rFonts w:hint="eastAsia" w:ascii="仿宋_GB2312" w:hAnsi="仿宋_GB2312" w:eastAsia="仿宋_GB2312" w:cs="仿宋_GB2312"/>
          <w:bCs/>
          <w:kern w:val="2"/>
          <w:sz w:val="32"/>
          <w:szCs w:val="32"/>
          <w:lang w:val="en-US" w:eastAsia="zh-CN" w:bidi="ar-SA"/>
        </w:rPr>
        <w:t>小组名单</w:t>
      </w:r>
    </w:p>
    <w:p w14:paraId="27415C51">
      <w:pPr>
        <w:adjustRightInd w:val="0"/>
        <w:snapToGrid w:val="0"/>
        <w:spacing w:line="580" w:lineRule="exact"/>
        <w:ind w:firstLine="628" w:firstLineChars="200"/>
        <w:rPr>
          <w:rFonts w:ascii="仿宋_GB2312" w:cs="仿宋_GB2312"/>
          <w:color w:val="000000" w:themeColor="text1"/>
          <w14:textFill>
            <w14:solidFill>
              <w14:schemeClr w14:val="tx1"/>
            </w14:solidFill>
          </w14:textFill>
        </w:rPr>
      </w:pPr>
      <w:r>
        <w:rPr>
          <w:rFonts w:hint="eastAsia" w:ascii="仿宋_GB2312" w:hAnsi="仿宋_GB2312" w:cs="仿宋_GB2312"/>
          <w:color w:val="000000" w:themeColor="text1"/>
          <w:lang w:val="en-US" w:eastAsia="zh-CN"/>
          <w14:textFill>
            <w14:solidFill>
              <w14:schemeClr w14:val="tx1"/>
            </w14:solidFill>
          </w14:textFill>
        </w:rPr>
        <w:t>附件：2：章丘区</w:t>
      </w:r>
      <w:r>
        <w:rPr>
          <w:rFonts w:hint="eastAsia" w:ascii="仿宋_GB2312" w:hAnsi="仿宋_GB2312" w:cs="仿宋_GB2312"/>
          <w:color w:val="000000" w:themeColor="text1"/>
          <w14:textFill>
            <w14:solidFill>
              <w14:schemeClr w14:val="tx1"/>
            </w14:solidFill>
          </w14:textFill>
        </w:rPr>
        <w:t>202</w:t>
      </w:r>
      <w:r>
        <w:rPr>
          <w:rFonts w:hint="eastAsia" w:ascii="仿宋_GB2312" w:hAnsi="仿宋_GB2312" w:cs="仿宋_GB2312"/>
          <w:color w:val="000000" w:themeColor="text1"/>
          <w:lang w:val="en-US" w:eastAsia="zh-CN"/>
          <w14:textFill>
            <w14:solidFill>
              <w14:schemeClr w14:val="tx1"/>
            </w14:solidFill>
          </w14:textFill>
        </w:rPr>
        <w:t>6</w:t>
      </w:r>
      <w:r>
        <w:rPr>
          <w:rFonts w:hint="eastAsia" w:ascii="仿宋_GB2312" w:hAnsi="仿宋_GB2312" w:cs="仿宋_GB2312"/>
          <w:color w:val="000000" w:themeColor="text1"/>
          <w14:textFill>
            <w14:solidFill>
              <w14:schemeClr w14:val="tx1"/>
            </w14:solidFill>
          </w14:textFill>
        </w:rPr>
        <w:t>年高素质农民培育计划表</w:t>
      </w:r>
    </w:p>
    <w:p w14:paraId="0333D2A5">
      <w:pPr>
        <w:pStyle w:val="2"/>
        <w:rPr>
          <w:rFonts w:ascii="仿宋_GB2312" w:cs="仿宋_GB2312"/>
          <w:color w:val="000000" w:themeColor="text1"/>
          <w14:textFill>
            <w14:solidFill>
              <w14:schemeClr w14:val="tx1"/>
            </w14:solidFill>
          </w14:textFill>
        </w:rPr>
      </w:pPr>
    </w:p>
    <w:p w14:paraId="0BFF4F6E"/>
    <w:p w14:paraId="17694209">
      <w:pPr>
        <w:pStyle w:val="52"/>
        <w:spacing w:line="560" w:lineRule="exact"/>
        <w:ind w:firstLine="4082" w:firstLineChars="13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济南市章丘区农业农村局</w:t>
      </w:r>
    </w:p>
    <w:p w14:paraId="3B1CAC52">
      <w:pPr>
        <w:pStyle w:val="52"/>
        <w:spacing w:line="560" w:lineRule="exact"/>
        <w:ind w:firstLine="42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 xml:space="preserve">                     </w:t>
      </w:r>
      <w:r>
        <w:rPr>
          <w:rFonts w:hint="eastAsia" w:ascii="仿宋_GB2312" w:hAnsi="仿宋_GB2312" w:cs="仿宋_GB2312"/>
          <w:bCs/>
          <w:kern w:val="2"/>
          <w:sz w:val="32"/>
          <w:szCs w:val="32"/>
          <w:lang w:val="en-US" w:eastAsia="zh-CN" w:bidi="ar-SA"/>
        </w:rPr>
        <w:t xml:space="preserve">   </w:t>
      </w:r>
      <w:r>
        <w:rPr>
          <w:rFonts w:hint="eastAsia" w:ascii="仿宋_GB2312" w:hAnsi="仿宋_GB2312" w:eastAsia="仿宋_GB2312" w:cs="仿宋_GB2312"/>
          <w:bCs/>
          <w:kern w:val="2"/>
          <w:sz w:val="32"/>
          <w:szCs w:val="32"/>
          <w:lang w:val="en-US" w:eastAsia="zh-CN" w:bidi="ar-SA"/>
        </w:rPr>
        <w:t xml:space="preserve"> 202</w:t>
      </w:r>
      <w:r>
        <w:rPr>
          <w:rFonts w:hint="eastAsia" w:ascii="仿宋_GB2312" w:hAnsi="仿宋_GB2312" w:cs="仿宋_GB2312"/>
          <w:bCs/>
          <w:kern w:val="2"/>
          <w:sz w:val="32"/>
          <w:szCs w:val="32"/>
          <w:lang w:val="en-US" w:eastAsia="zh-CN" w:bidi="ar-SA"/>
        </w:rPr>
        <w:t>6</w:t>
      </w:r>
      <w:r>
        <w:rPr>
          <w:rFonts w:hint="eastAsia" w:ascii="仿宋_GB2312" w:hAnsi="仿宋_GB2312" w:eastAsia="仿宋_GB2312" w:cs="仿宋_GB2312"/>
          <w:bCs/>
          <w:kern w:val="2"/>
          <w:sz w:val="32"/>
          <w:szCs w:val="32"/>
          <w:lang w:val="en-US" w:eastAsia="zh-CN" w:bidi="ar-SA"/>
        </w:rPr>
        <w:t>年</w:t>
      </w:r>
      <w:r>
        <w:rPr>
          <w:rFonts w:hint="eastAsia" w:ascii="仿宋_GB2312" w:hAnsi="仿宋_GB2312" w:cs="仿宋_GB2312"/>
          <w:bCs/>
          <w:kern w:val="2"/>
          <w:sz w:val="32"/>
          <w:szCs w:val="32"/>
          <w:lang w:val="en-US" w:eastAsia="zh-CN" w:bidi="ar-SA"/>
        </w:rPr>
        <w:t>8</w:t>
      </w:r>
      <w:r>
        <w:rPr>
          <w:rFonts w:hint="eastAsia" w:ascii="仿宋_GB2312" w:hAnsi="仿宋_GB2312" w:eastAsia="仿宋_GB2312" w:cs="仿宋_GB2312"/>
          <w:bCs/>
          <w:kern w:val="2"/>
          <w:sz w:val="32"/>
          <w:szCs w:val="32"/>
          <w:lang w:val="en-US" w:eastAsia="zh-CN" w:bidi="ar-SA"/>
        </w:rPr>
        <w:t>月</w:t>
      </w:r>
      <w:r>
        <w:rPr>
          <w:rFonts w:hint="eastAsia" w:ascii="仿宋_GB2312" w:hAnsi="仿宋_GB2312" w:cs="仿宋_GB2312"/>
          <w:bCs/>
          <w:kern w:val="2"/>
          <w:sz w:val="32"/>
          <w:szCs w:val="32"/>
          <w:lang w:val="en-US" w:eastAsia="zh-CN" w:bidi="ar-SA"/>
        </w:rPr>
        <w:t>18</w:t>
      </w:r>
      <w:r>
        <w:rPr>
          <w:rFonts w:hint="eastAsia" w:ascii="仿宋_GB2312" w:hAnsi="仿宋_GB2312" w:eastAsia="仿宋_GB2312" w:cs="仿宋_GB2312"/>
          <w:bCs/>
          <w:kern w:val="2"/>
          <w:sz w:val="32"/>
          <w:szCs w:val="32"/>
          <w:lang w:val="en-US" w:eastAsia="zh-CN" w:bidi="ar-SA"/>
        </w:rPr>
        <w:t>日</w:t>
      </w:r>
    </w:p>
    <w:p w14:paraId="717F6B0D">
      <w:pPr>
        <w:pStyle w:val="2"/>
        <w:ind w:left="0" w:leftChars="0" w:firstLine="0" w:firstLineChars="0"/>
        <w:rPr>
          <w:rFonts w:hint="eastAsia"/>
        </w:rPr>
      </w:pPr>
    </w:p>
    <w:p w14:paraId="3B8D1025">
      <w:pPr>
        <w:pStyle w:val="3"/>
        <w:rPr>
          <w:rFonts w:hint="eastAsia"/>
        </w:rPr>
      </w:pPr>
    </w:p>
    <w:p w14:paraId="5411323D">
      <w:pPr>
        <w:rPr>
          <w:rFonts w:hint="eastAsia"/>
        </w:rPr>
      </w:pPr>
    </w:p>
    <w:p w14:paraId="640E5E82">
      <w:pPr>
        <w:pStyle w:val="2"/>
        <w:rPr>
          <w:rFonts w:hint="eastAsia"/>
        </w:rPr>
      </w:pPr>
    </w:p>
    <w:p w14:paraId="40457F09">
      <w:pPr>
        <w:pStyle w:val="3"/>
        <w:rPr>
          <w:rFonts w:hint="eastAsia"/>
        </w:rPr>
      </w:pPr>
    </w:p>
    <w:p w14:paraId="79BCCB7B">
      <w:pPr>
        <w:rPr>
          <w:rFonts w:hint="eastAsia"/>
        </w:rPr>
      </w:pPr>
    </w:p>
    <w:p w14:paraId="7C4850CF">
      <w:pPr>
        <w:pStyle w:val="2"/>
        <w:rPr>
          <w:rFonts w:hint="eastAsia"/>
        </w:rPr>
      </w:pPr>
    </w:p>
    <w:p w14:paraId="196465EB">
      <w:pPr>
        <w:pStyle w:val="3"/>
        <w:rPr>
          <w:rFonts w:hint="eastAsia"/>
        </w:rPr>
      </w:pPr>
    </w:p>
    <w:p w14:paraId="0F81295A">
      <w:pPr>
        <w:rPr>
          <w:rFonts w:hint="eastAsia" w:ascii="仿宋" w:hAnsi="仿宋" w:eastAsia="仿宋" w:cs="仿宋"/>
          <w:color w:val="000000"/>
          <w:sz w:val="32"/>
          <w:szCs w:val="32"/>
        </w:rPr>
      </w:pPr>
    </w:p>
    <w:p w14:paraId="50F7417F">
      <w:pPr>
        <w:rPr>
          <w:rFonts w:hint="eastAsia" w:ascii="仿宋" w:hAnsi="仿宋" w:eastAsia="仿宋" w:cs="仿宋"/>
          <w:color w:val="000000"/>
          <w:sz w:val="32"/>
          <w:szCs w:val="32"/>
        </w:rPr>
      </w:pPr>
    </w:p>
    <w:p w14:paraId="07451DC1">
      <w:pPr>
        <w:rPr>
          <w:rFonts w:hint="eastAsia" w:ascii="仿宋" w:hAnsi="仿宋" w:eastAsia="仿宋" w:cs="仿宋"/>
          <w:color w:val="000000"/>
          <w:sz w:val="32"/>
          <w:szCs w:val="32"/>
        </w:rPr>
      </w:pPr>
    </w:p>
    <w:p w14:paraId="29A4AB27">
      <w:pPr>
        <w:rPr>
          <w:rFonts w:hint="eastAsia" w:ascii="仿宋" w:hAnsi="仿宋" w:eastAsia="仿宋" w:cs="仿宋"/>
          <w:color w:val="000000"/>
          <w:sz w:val="32"/>
          <w:szCs w:val="32"/>
        </w:rPr>
      </w:pPr>
    </w:p>
    <w:p w14:paraId="3904F5C6">
      <w:pPr>
        <w:rPr>
          <w:rFonts w:hint="eastAsia" w:ascii="仿宋" w:hAnsi="仿宋" w:eastAsia="仿宋" w:cs="仿宋"/>
          <w:color w:val="000000"/>
          <w:sz w:val="32"/>
          <w:szCs w:val="32"/>
        </w:rPr>
      </w:pPr>
    </w:p>
    <w:p w14:paraId="28FE19A7">
      <w:pPr>
        <w:rPr>
          <w:rFonts w:hint="eastAsia" w:ascii="仿宋" w:hAnsi="仿宋" w:eastAsia="仿宋" w:cs="仿宋"/>
          <w:color w:val="000000"/>
          <w:sz w:val="32"/>
          <w:szCs w:val="32"/>
        </w:rPr>
      </w:pPr>
    </w:p>
    <w:p w14:paraId="3449CCDB">
      <w:pPr>
        <w:rPr>
          <w:rFonts w:hint="eastAsia" w:ascii="仿宋" w:hAnsi="仿宋" w:eastAsia="仿宋" w:cs="仿宋"/>
          <w:color w:val="000000"/>
          <w:sz w:val="32"/>
          <w:szCs w:val="32"/>
        </w:rPr>
      </w:pPr>
      <w:r>
        <w:rPr>
          <w:rFonts w:hint="eastAsia" w:ascii="仿宋" w:hAnsi="仿宋" w:eastAsia="仿宋" w:cs="仿宋"/>
          <w:color w:val="000000"/>
          <w:sz w:val="32"/>
          <w:szCs w:val="32"/>
        </w:rPr>
        <w:t>附件</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w:t>
      </w:r>
    </w:p>
    <w:p w14:paraId="72F7CFAA">
      <w:pPr>
        <w:spacing w:before="319" w:beforeLines="100" w:after="319" w:afterLines="100"/>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章丘区</w:t>
      </w:r>
      <w:r>
        <w:rPr>
          <w:rFonts w:hint="eastAsia" w:ascii="宋体" w:hAnsi="宋体" w:eastAsia="宋体" w:cs="宋体"/>
          <w:b/>
          <w:bCs/>
          <w:color w:val="000000"/>
          <w:sz w:val="36"/>
          <w:szCs w:val="36"/>
          <w:lang w:eastAsia="zh-CN"/>
        </w:rPr>
        <w:t>高素质农民培育</w:t>
      </w:r>
      <w:r>
        <w:rPr>
          <w:rFonts w:hint="eastAsia" w:ascii="宋体" w:hAnsi="宋体" w:eastAsia="宋体" w:cs="宋体"/>
          <w:b/>
          <w:bCs/>
          <w:color w:val="000000"/>
          <w:sz w:val="36"/>
          <w:szCs w:val="36"/>
        </w:rPr>
        <w:t>工作</w:t>
      </w:r>
      <w:r>
        <w:rPr>
          <w:rFonts w:hint="eastAsia" w:ascii="宋体" w:hAnsi="宋体" w:eastAsia="宋体" w:cs="宋体"/>
          <w:b/>
          <w:bCs/>
          <w:color w:val="000000"/>
          <w:sz w:val="36"/>
          <w:szCs w:val="36"/>
          <w:lang w:val="en-US" w:eastAsia="zh-CN"/>
        </w:rPr>
        <w:t>领导</w:t>
      </w:r>
      <w:r>
        <w:rPr>
          <w:rFonts w:hint="eastAsia" w:ascii="宋体" w:hAnsi="宋体" w:eastAsia="宋体" w:cs="宋体"/>
          <w:b/>
          <w:bCs/>
          <w:color w:val="000000"/>
          <w:sz w:val="36"/>
          <w:szCs w:val="36"/>
        </w:rPr>
        <w:t>小组名单</w:t>
      </w:r>
    </w:p>
    <w:p w14:paraId="72F8EA1F">
      <w:pPr>
        <w:spacing w:line="560" w:lineRule="exact"/>
        <w:ind w:left="3454" w:leftChars="200" w:hanging="2826" w:hangingChars="9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组  长：景奉源   区农业农村局党组成员、农业发展</w:t>
      </w:r>
    </w:p>
    <w:p w14:paraId="40CDA01E">
      <w:pPr>
        <w:spacing w:line="560" w:lineRule="exact"/>
        <w:ind w:firstLine="3454" w:firstLineChars="11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服务中心主任</w:t>
      </w:r>
    </w:p>
    <w:p w14:paraId="2628A1A3">
      <w:pPr>
        <w:spacing w:line="560" w:lineRule="exact"/>
        <w:ind w:leftChars="2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副组长：马京伟   区农业发展服务中心副主任</w:t>
      </w:r>
    </w:p>
    <w:p w14:paraId="40D5C73B">
      <w:pPr>
        <w:spacing w:line="560" w:lineRule="exact"/>
        <w:ind w:leftChars="2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成  员：马金廷   区农业发展服务中心科教部</w:t>
      </w:r>
    </w:p>
    <w:p w14:paraId="0937854F">
      <w:pPr>
        <w:spacing w:line="560" w:lineRule="exact"/>
        <w:ind w:firstLine="1884" w:firstLineChars="6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李克合   区农业发展服务中心科教部</w:t>
      </w:r>
    </w:p>
    <w:p w14:paraId="55C90986">
      <w:pPr>
        <w:spacing w:line="560" w:lineRule="exact"/>
        <w:ind w:firstLine="1884" w:firstLineChars="6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周承波   区农业发展服务中心科教部</w:t>
      </w:r>
    </w:p>
    <w:p w14:paraId="6AAE7A5B">
      <w:pPr>
        <w:spacing w:line="560" w:lineRule="exact"/>
        <w:ind w:firstLine="1884" w:firstLineChars="600"/>
        <w:rPr>
          <w:rFonts w:hint="eastAsia" w:ascii="仿宋_GB2312" w:hAnsi="Calibri" w:eastAsia="仿宋_GB2312" w:cs="仿宋_GB2312"/>
          <w:color w:val="000000"/>
          <w:kern w:val="0"/>
          <w:sz w:val="32"/>
          <w:szCs w:val="32"/>
          <w:lang w:val="en-US" w:eastAsia="zh-CN" w:bidi="ar-SA"/>
        </w:rPr>
      </w:pPr>
      <w:r>
        <w:rPr>
          <w:rFonts w:hint="eastAsia" w:ascii="仿宋_GB2312" w:hAnsi="Calibri" w:eastAsia="仿宋_GB2312" w:cs="仿宋_GB2312"/>
          <w:color w:val="000000"/>
          <w:kern w:val="0"/>
          <w:sz w:val="32"/>
          <w:szCs w:val="32"/>
          <w:lang w:val="en-US" w:eastAsia="zh-CN" w:bidi="ar-SA"/>
        </w:rPr>
        <w:t>尹承梅   区农业发展服务中心科</w:t>
      </w:r>
      <w:r>
        <w:rPr>
          <w:rFonts w:hint="eastAsia" w:ascii="仿宋_GB2312" w:cs="仿宋_GB2312"/>
          <w:color w:val="000000"/>
          <w:kern w:val="0"/>
          <w:sz w:val="32"/>
          <w:szCs w:val="32"/>
          <w:lang w:val="en-US" w:eastAsia="zh-CN" w:bidi="ar-SA"/>
        </w:rPr>
        <w:t>教部</w:t>
      </w:r>
    </w:p>
    <w:p w14:paraId="0E9AB776">
      <w:pPr>
        <w:pStyle w:val="2"/>
        <w:rPr>
          <w:rFonts w:hint="eastAsia" w:ascii="仿宋_GB2312" w:hAnsi="Calibri" w:eastAsia="仿宋_GB2312" w:cs="仿宋_GB2312"/>
          <w:color w:val="000000"/>
          <w:kern w:val="0"/>
          <w:sz w:val="32"/>
          <w:szCs w:val="32"/>
          <w:lang w:val="en-US" w:eastAsia="zh-CN" w:bidi="ar-SA"/>
        </w:rPr>
      </w:pPr>
    </w:p>
    <w:p w14:paraId="0A5D270B">
      <w:pPr>
        <w:sectPr>
          <w:headerReference r:id="rId3" w:type="default"/>
          <w:footerReference r:id="rId5" w:type="default"/>
          <w:headerReference r:id="rId4" w:type="even"/>
          <w:footerReference r:id="rId6" w:type="even"/>
          <w:pgSz w:w="11906" w:h="16838"/>
          <w:pgMar w:top="1984" w:right="1474" w:bottom="1701" w:left="1644" w:header="851" w:footer="992" w:gutter="0"/>
          <w:cols w:space="0" w:num="1"/>
          <w:rtlGutter w:val="0"/>
          <w:docGrid w:type="linesAndChars" w:linePitch="597" w:charSpace="-1259"/>
        </w:sectPr>
      </w:pPr>
    </w:p>
    <w:p w14:paraId="032FE823">
      <w:p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附件</w:t>
      </w:r>
      <w:r>
        <w:rPr>
          <w:rFonts w:hint="eastAsia" w:ascii="仿宋" w:hAnsi="仿宋" w:eastAsia="仿宋" w:cs="仿宋"/>
          <w:color w:val="000000"/>
          <w:sz w:val="32"/>
          <w:szCs w:val="32"/>
          <w:lang w:val="en-US" w:eastAsia="zh-CN"/>
        </w:rPr>
        <w:t xml:space="preserve">2：             </w:t>
      </w:r>
    </w:p>
    <w:p w14:paraId="328E50AF">
      <w:pPr>
        <w:ind w:firstLine="3894" w:firstLineChars="1100"/>
        <w:rPr>
          <w:rFonts w:hint="eastAsia"/>
          <w:b/>
          <w:bCs/>
          <w:sz w:val="36"/>
          <w:szCs w:val="36"/>
        </w:rPr>
      </w:pPr>
      <w:r>
        <w:rPr>
          <w:rFonts w:hint="eastAsia" w:ascii="宋体" w:hAnsi="宋体" w:eastAsia="宋体" w:cs="宋体"/>
          <w:b/>
          <w:bCs/>
          <w:snapToGrid w:val="0"/>
          <w:color w:val="000000"/>
          <w:kern w:val="0"/>
          <w:sz w:val="36"/>
          <w:szCs w:val="36"/>
          <w:lang w:val="en-US" w:eastAsia="zh-CN"/>
        </w:rPr>
        <w:t>章丘区2026年</w:t>
      </w:r>
      <w:r>
        <w:rPr>
          <w:rFonts w:hint="eastAsia" w:ascii="宋体" w:hAnsi="宋体" w:eastAsia="宋体" w:cs="宋体"/>
          <w:b/>
          <w:bCs/>
          <w:snapToGrid w:val="0"/>
          <w:color w:val="000000"/>
          <w:kern w:val="0"/>
          <w:sz w:val="36"/>
          <w:szCs w:val="36"/>
        </w:rPr>
        <w:t>高素质农民培育计划表</w:t>
      </w:r>
    </w:p>
    <w:tbl>
      <w:tblPr>
        <w:tblStyle w:val="12"/>
        <w:tblW w:w="1297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917"/>
        <w:gridCol w:w="1182"/>
        <w:gridCol w:w="1020"/>
        <w:gridCol w:w="1135"/>
        <w:gridCol w:w="1335"/>
        <w:gridCol w:w="1620"/>
        <w:gridCol w:w="780"/>
        <w:gridCol w:w="660"/>
        <w:gridCol w:w="2366"/>
        <w:gridCol w:w="855"/>
        <w:gridCol w:w="1107"/>
      </w:tblGrid>
      <w:tr w14:paraId="7B382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917" w:type="dxa"/>
            <w:vAlign w:val="center"/>
          </w:tcPr>
          <w:p w14:paraId="11EA4AAE">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区县</w:t>
            </w:r>
          </w:p>
        </w:tc>
        <w:tc>
          <w:tcPr>
            <w:tcW w:w="1182" w:type="dxa"/>
            <w:vAlign w:val="center"/>
          </w:tcPr>
          <w:p w14:paraId="1DBF270D">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培育机构</w:t>
            </w:r>
          </w:p>
        </w:tc>
        <w:tc>
          <w:tcPr>
            <w:tcW w:w="1020" w:type="dxa"/>
            <w:vAlign w:val="center"/>
          </w:tcPr>
          <w:p w14:paraId="21892B48">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培育类型</w:t>
            </w:r>
          </w:p>
        </w:tc>
        <w:tc>
          <w:tcPr>
            <w:tcW w:w="1135" w:type="dxa"/>
            <w:vAlign w:val="center"/>
          </w:tcPr>
          <w:p w14:paraId="5A8F671D">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培训行动</w:t>
            </w:r>
          </w:p>
        </w:tc>
        <w:tc>
          <w:tcPr>
            <w:tcW w:w="1335" w:type="dxa"/>
            <w:vAlign w:val="center"/>
          </w:tcPr>
          <w:p w14:paraId="328AAF99">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培训时间</w:t>
            </w:r>
          </w:p>
          <w:p w14:paraId="7657D5B0">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（计划）</w:t>
            </w:r>
          </w:p>
        </w:tc>
        <w:tc>
          <w:tcPr>
            <w:tcW w:w="1620" w:type="dxa"/>
            <w:vAlign w:val="center"/>
          </w:tcPr>
          <w:p w14:paraId="6B51DE1F">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培训地点</w:t>
            </w:r>
          </w:p>
        </w:tc>
        <w:tc>
          <w:tcPr>
            <w:tcW w:w="780" w:type="dxa"/>
            <w:vAlign w:val="center"/>
          </w:tcPr>
          <w:p w14:paraId="0A202508">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w:t>
            </w:r>
            <w:r>
              <w:rPr>
                <w:rFonts w:hint="eastAsia" w:ascii="黑体" w:hAnsi="黑体" w:eastAsia="黑体" w:cs="宋体"/>
                <w:b/>
                <w:bCs/>
                <w:color w:val="000000"/>
                <w:kern w:val="0"/>
                <w:sz w:val="21"/>
                <w:szCs w:val="21"/>
                <w:lang w:val="en-US" w:eastAsia="zh-CN"/>
              </w:rPr>
              <w:t xml:space="preserve"> </w:t>
            </w:r>
            <w:r>
              <w:rPr>
                <w:rFonts w:hint="eastAsia" w:ascii="黑体" w:hAnsi="黑体" w:eastAsia="黑体" w:cs="宋体"/>
                <w:b/>
                <w:bCs/>
                <w:color w:val="000000"/>
                <w:kern w:val="0"/>
                <w:sz w:val="21"/>
                <w:szCs w:val="21"/>
              </w:rPr>
              <w:t>人数</w:t>
            </w:r>
          </w:p>
        </w:tc>
        <w:tc>
          <w:tcPr>
            <w:tcW w:w="660" w:type="dxa"/>
            <w:vAlign w:val="center"/>
          </w:tcPr>
          <w:p w14:paraId="2DFB8F2D">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培训学时</w:t>
            </w:r>
          </w:p>
        </w:tc>
        <w:tc>
          <w:tcPr>
            <w:tcW w:w="2366" w:type="dxa"/>
            <w:vAlign w:val="center"/>
          </w:tcPr>
          <w:p w14:paraId="7F053D4F">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培训内容</w:t>
            </w:r>
            <w:r>
              <w:rPr>
                <w:rFonts w:hint="eastAsia" w:ascii="黑体" w:hAnsi="黑体" w:eastAsia="黑体" w:cs="宋体"/>
                <w:b/>
                <w:bCs/>
                <w:color w:val="000000"/>
                <w:kern w:val="0"/>
                <w:sz w:val="21"/>
                <w:szCs w:val="21"/>
              </w:rPr>
              <w:br w:type="textWrapping"/>
            </w:r>
            <w:r>
              <w:rPr>
                <w:rFonts w:hint="eastAsia" w:ascii="黑体" w:hAnsi="黑体" w:eastAsia="黑体" w:cs="宋体"/>
                <w:b/>
                <w:bCs/>
                <w:color w:val="000000"/>
                <w:kern w:val="0"/>
                <w:sz w:val="21"/>
                <w:szCs w:val="21"/>
              </w:rPr>
              <w:t>（课程）</w:t>
            </w:r>
          </w:p>
        </w:tc>
        <w:tc>
          <w:tcPr>
            <w:tcW w:w="855" w:type="dxa"/>
            <w:vAlign w:val="center"/>
          </w:tcPr>
          <w:p w14:paraId="76F34C1F">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联系人</w:t>
            </w:r>
          </w:p>
        </w:tc>
        <w:tc>
          <w:tcPr>
            <w:tcW w:w="1107" w:type="dxa"/>
            <w:vAlign w:val="center"/>
          </w:tcPr>
          <w:p w14:paraId="615E6D2F">
            <w:pPr>
              <w:widowControl/>
              <w:adjustRightInd w:val="0"/>
              <w:snapToGrid w:val="0"/>
              <w:jc w:val="center"/>
              <w:rPr>
                <w:rFonts w:hint="eastAsia" w:ascii="黑体" w:hAnsi="黑体" w:eastAsia="黑体" w:cs="宋体"/>
                <w:b/>
                <w:bCs/>
                <w:color w:val="000000"/>
                <w:kern w:val="0"/>
                <w:sz w:val="21"/>
                <w:szCs w:val="21"/>
              </w:rPr>
            </w:pPr>
            <w:r>
              <w:rPr>
                <w:rFonts w:hint="eastAsia" w:ascii="黑体" w:hAnsi="黑体" w:eastAsia="黑体" w:cs="宋体"/>
                <w:b/>
                <w:bCs/>
                <w:color w:val="000000"/>
                <w:kern w:val="0"/>
                <w:sz w:val="21"/>
                <w:szCs w:val="21"/>
              </w:rPr>
              <w:t>联系电话</w:t>
            </w:r>
          </w:p>
        </w:tc>
      </w:tr>
      <w:tr w14:paraId="125677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661" w:hRule="atLeast"/>
          <w:jc w:val="center"/>
        </w:trPr>
        <w:tc>
          <w:tcPr>
            <w:tcW w:w="917" w:type="dxa"/>
            <w:vAlign w:val="center"/>
          </w:tcPr>
          <w:p w14:paraId="3C8FF68A">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w:t>
            </w:r>
          </w:p>
        </w:tc>
        <w:tc>
          <w:tcPr>
            <w:tcW w:w="1182" w:type="dxa"/>
            <w:vAlign w:val="center"/>
          </w:tcPr>
          <w:p w14:paraId="2C4FB055">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  农广校</w:t>
            </w:r>
          </w:p>
        </w:tc>
        <w:tc>
          <w:tcPr>
            <w:tcW w:w="1020" w:type="dxa"/>
            <w:vAlign w:val="center"/>
          </w:tcPr>
          <w:p w14:paraId="15B9EF53">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专业生产型</w:t>
            </w:r>
          </w:p>
        </w:tc>
        <w:tc>
          <w:tcPr>
            <w:tcW w:w="1135" w:type="dxa"/>
            <w:vAlign w:val="center"/>
          </w:tcPr>
          <w:p w14:paraId="2504DA24">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粮油稳产 保供</w:t>
            </w:r>
          </w:p>
        </w:tc>
        <w:tc>
          <w:tcPr>
            <w:tcW w:w="1335" w:type="dxa"/>
            <w:vAlign w:val="center"/>
          </w:tcPr>
          <w:p w14:paraId="5EED6831">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8月10日 -8月20日</w:t>
            </w:r>
          </w:p>
        </w:tc>
        <w:tc>
          <w:tcPr>
            <w:tcW w:w="1620" w:type="dxa"/>
            <w:vAlign w:val="center"/>
          </w:tcPr>
          <w:p w14:paraId="0BF940A1">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济南市农民教育培训基地</w:t>
            </w:r>
          </w:p>
        </w:tc>
        <w:tc>
          <w:tcPr>
            <w:tcW w:w="780" w:type="dxa"/>
            <w:vAlign w:val="center"/>
          </w:tcPr>
          <w:p w14:paraId="5B3C3A8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70</w:t>
            </w:r>
          </w:p>
        </w:tc>
        <w:tc>
          <w:tcPr>
            <w:tcW w:w="660" w:type="dxa"/>
            <w:vAlign w:val="center"/>
          </w:tcPr>
          <w:p w14:paraId="7360B44D">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45</w:t>
            </w:r>
          </w:p>
        </w:tc>
        <w:tc>
          <w:tcPr>
            <w:tcW w:w="2366" w:type="dxa"/>
            <w:vAlign w:val="center"/>
          </w:tcPr>
          <w:p w14:paraId="465090AF">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玉米水肥一体化、高产栽培技术、植保绿色防控技术、农机应用等</w:t>
            </w:r>
          </w:p>
        </w:tc>
        <w:tc>
          <w:tcPr>
            <w:tcW w:w="855" w:type="dxa"/>
            <w:vAlign w:val="center"/>
          </w:tcPr>
          <w:p w14:paraId="4B8B9B23">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马金廷</w:t>
            </w:r>
          </w:p>
        </w:tc>
        <w:tc>
          <w:tcPr>
            <w:tcW w:w="1107" w:type="dxa"/>
            <w:vAlign w:val="center"/>
          </w:tcPr>
          <w:p w14:paraId="189329F4">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13853170263</w:t>
            </w:r>
          </w:p>
        </w:tc>
      </w:tr>
      <w:tr w14:paraId="74101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646" w:hRule="atLeast"/>
          <w:jc w:val="center"/>
        </w:trPr>
        <w:tc>
          <w:tcPr>
            <w:tcW w:w="917" w:type="dxa"/>
            <w:vAlign w:val="center"/>
          </w:tcPr>
          <w:p w14:paraId="62F44EE9">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w:t>
            </w:r>
          </w:p>
        </w:tc>
        <w:tc>
          <w:tcPr>
            <w:tcW w:w="1182" w:type="dxa"/>
            <w:vAlign w:val="center"/>
          </w:tcPr>
          <w:p w14:paraId="2AB1B0F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  农广校</w:t>
            </w:r>
          </w:p>
        </w:tc>
        <w:tc>
          <w:tcPr>
            <w:tcW w:w="1020" w:type="dxa"/>
            <w:vAlign w:val="center"/>
          </w:tcPr>
          <w:p w14:paraId="20FAF32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专业生产型</w:t>
            </w:r>
          </w:p>
        </w:tc>
        <w:tc>
          <w:tcPr>
            <w:tcW w:w="1135" w:type="dxa"/>
            <w:vAlign w:val="center"/>
          </w:tcPr>
          <w:p w14:paraId="4F7426C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auto"/>
                <w:kern w:val="0"/>
                <w:sz w:val="24"/>
                <w:szCs w:val="24"/>
                <w:lang w:val="en-US" w:eastAsia="zh-CN"/>
              </w:rPr>
              <w:t>粮油稳产 保供</w:t>
            </w:r>
          </w:p>
        </w:tc>
        <w:tc>
          <w:tcPr>
            <w:tcW w:w="1335" w:type="dxa"/>
            <w:vAlign w:val="center"/>
          </w:tcPr>
          <w:p w14:paraId="4F1D80BE">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8月31日 -9月10日</w:t>
            </w:r>
          </w:p>
        </w:tc>
        <w:tc>
          <w:tcPr>
            <w:tcW w:w="1620" w:type="dxa"/>
            <w:vAlign w:val="center"/>
          </w:tcPr>
          <w:p w14:paraId="3E601826">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济南市农民教育培训基地</w:t>
            </w:r>
          </w:p>
        </w:tc>
        <w:tc>
          <w:tcPr>
            <w:tcW w:w="780" w:type="dxa"/>
            <w:vAlign w:val="center"/>
          </w:tcPr>
          <w:p w14:paraId="46A574B3">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660" w:type="dxa"/>
            <w:vAlign w:val="center"/>
          </w:tcPr>
          <w:p w14:paraId="7439E605">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45</w:t>
            </w:r>
          </w:p>
        </w:tc>
        <w:tc>
          <w:tcPr>
            <w:tcW w:w="2366" w:type="dxa"/>
            <w:vAlign w:val="center"/>
          </w:tcPr>
          <w:p w14:paraId="1D5CDAE6">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玉米水肥一体化、高产栽培技术、植保绿色防控技术、农机应用等</w:t>
            </w:r>
          </w:p>
        </w:tc>
        <w:tc>
          <w:tcPr>
            <w:tcW w:w="855" w:type="dxa"/>
            <w:vAlign w:val="center"/>
          </w:tcPr>
          <w:p w14:paraId="1A87C52C">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马金廷</w:t>
            </w:r>
          </w:p>
        </w:tc>
        <w:tc>
          <w:tcPr>
            <w:tcW w:w="1107" w:type="dxa"/>
            <w:vAlign w:val="center"/>
          </w:tcPr>
          <w:p w14:paraId="7C2E398E">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13853170263</w:t>
            </w:r>
          </w:p>
        </w:tc>
      </w:tr>
      <w:tr w14:paraId="75B3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646" w:hRule="atLeast"/>
          <w:jc w:val="center"/>
        </w:trPr>
        <w:tc>
          <w:tcPr>
            <w:tcW w:w="917" w:type="dxa"/>
            <w:vAlign w:val="center"/>
          </w:tcPr>
          <w:p w14:paraId="3D02DF1B">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w:t>
            </w:r>
          </w:p>
        </w:tc>
        <w:tc>
          <w:tcPr>
            <w:tcW w:w="1182" w:type="dxa"/>
            <w:vAlign w:val="center"/>
          </w:tcPr>
          <w:p w14:paraId="5AEA6129">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  农广校</w:t>
            </w:r>
          </w:p>
        </w:tc>
        <w:tc>
          <w:tcPr>
            <w:tcW w:w="1020" w:type="dxa"/>
            <w:vAlign w:val="center"/>
          </w:tcPr>
          <w:p w14:paraId="187D794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经营管理型</w:t>
            </w:r>
          </w:p>
        </w:tc>
        <w:tc>
          <w:tcPr>
            <w:tcW w:w="1135" w:type="dxa"/>
            <w:vAlign w:val="center"/>
          </w:tcPr>
          <w:p w14:paraId="25BEAE5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乡村农文旅</w:t>
            </w:r>
          </w:p>
        </w:tc>
        <w:tc>
          <w:tcPr>
            <w:tcW w:w="1335" w:type="dxa"/>
            <w:vAlign w:val="center"/>
          </w:tcPr>
          <w:p w14:paraId="605807BC">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10月20日-10月30日</w:t>
            </w:r>
          </w:p>
        </w:tc>
        <w:tc>
          <w:tcPr>
            <w:tcW w:w="1620" w:type="dxa"/>
            <w:vAlign w:val="center"/>
          </w:tcPr>
          <w:p w14:paraId="1CF222D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济南市农民教育培训基地</w:t>
            </w:r>
          </w:p>
        </w:tc>
        <w:tc>
          <w:tcPr>
            <w:tcW w:w="780" w:type="dxa"/>
            <w:vAlign w:val="center"/>
          </w:tcPr>
          <w:p w14:paraId="7D99EAC0">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60</w:t>
            </w:r>
          </w:p>
        </w:tc>
        <w:tc>
          <w:tcPr>
            <w:tcW w:w="660" w:type="dxa"/>
            <w:vAlign w:val="center"/>
          </w:tcPr>
          <w:p w14:paraId="43912CB1">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45</w:t>
            </w:r>
          </w:p>
        </w:tc>
        <w:tc>
          <w:tcPr>
            <w:tcW w:w="2366" w:type="dxa"/>
            <w:vAlign w:val="center"/>
          </w:tcPr>
          <w:p w14:paraId="261D46F9">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农文旅项目开发、运营能力提升，农旅</w:t>
            </w:r>
            <w:r>
              <w:rPr>
                <w:rFonts w:hint="eastAsia" w:ascii="仿宋_GB2312" w:hAnsi="仿宋_GB2312" w:eastAsia="仿宋_GB2312" w:cs="仿宋_GB2312"/>
                <w:color w:val="000000"/>
                <w:kern w:val="2"/>
                <w:sz w:val="24"/>
                <w:szCs w:val="24"/>
                <w:highlight w:val="none"/>
                <w:u w:val="none"/>
                <w:lang w:val="en-US" w:eastAsia="zh-CN" w:bidi="ar"/>
              </w:rPr>
              <w:t>节庆活动</w:t>
            </w:r>
            <w:r>
              <w:rPr>
                <w:rFonts w:hint="eastAsia" w:ascii="仿宋" w:hAnsi="仿宋" w:eastAsia="仿宋" w:cs="仿宋"/>
                <w:color w:val="000000"/>
                <w:kern w:val="0"/>
                <w:sz w:val="24"/>
                <w:szCs w:val="24"/>
                <w:lang w:val="en-US" w:eastAsia="zh-CN"/>
              </w:rPr>
              <w:t>策划，</w:t>
            </w:r>
            <w:r>
              <w:rPr>
                <w:rFonts w:hint="eastAsia" w:ascii="仿宋_GB2312" w:hAnsi="仿宋_GB2312" w:eastAsia="仿宋_GB2312" w:cs="仿宋_GB2312"/>
                <w:color w:val="000000"/>
                <w:sz w:val="24"/>
                <w:szCs w:val="24"/>
                <w:highlight w:val="none"/>
                <w:u w:val="none"/>
                <w:lang w:val="en-US" w:eastAsia="zh-CN"/>
              </w:rPr>
              <w:t>旅游产品开发</w:t>
            </w:r>
          </w:p>
        </w:tc>
        <w:tc>
          <w:tcPr>
            <w:tcW w:w="855" w:type="dxa"/>
            <w:vAlign w:val="center"/>
          </w:tcPr>
          <w:p w14:paraId="7F246782">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马金廷</w:t>
            </w:r>
          </w:p>
        </w:tc>
        <w:tc>
          <w:tcPr>
            <w:tcW w:w="1107" w:type="dxa"/>
            <w:vAlign w:val="center"/>
          </w:tcPr>
          <w:p w14:paraId="450B61A7">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13853170263</w:t>
            </w:r>
          </w:p>
        </w:tc>
      </w:tr>
      <w:tr w14:paraId="679BD7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731" w:hRule="atLeast"/>
          <w:jc w:val="center"/>
        </w:trPr>
        <w:tc>
          <w:tcPr>
            <w:tcW w:w="917" w:type="dxa"/>
            <w:vAlign w:val="center"/>
          </w:tcPr>
          <w:p w14:paraId="3AE13DD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章丘区</w:t>
            </w:r>
          </w:p>
        </w:tc>
        <w:tc>
          <w:tcPr>
            <w:tcW w:w="1182" w:type="dxa"/>
            <w:vAlign w:val="center"/>
          </w:tcPr>
          <w:p w14:paraId="4C415736">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章丘区  农广校</w:t>
            </w:r>
          </w:p>
        </w:tc>
        <w:tc>
          <w:tcPr>
            <w:tcW w:w="1020" w:type="dxa"/>
            <w:vAlign w:val="center"/>
          </w:tcPr>
          <w:p w14:paraId="0BCAC15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专业生产型</w:t>
            </w:r>
          </w:p>
        </w:tc>
        <w:tc>
          <w:tcPr>
            <w:tcW w:w="1135" w:type="dxa"/>
            <w:vAlign w:val="center"/>
          </w:tcPr>
          <w:p w14:paraId="721F998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粮油稳产 保供</w:t>
            </w:r>
          </w:p>
        </w:tc>
        <w:tc>
          <w:tcPr>
            <w:tcW w:w="1335" w:type="dxa"/>
            <w:vAlign w:val="center"/>
          </w:tcPr>
          <w:p w14:paraId="4EF18333">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11月10日-11月20日</w:t>
            </w:r>
          </w:p>
        </w:tc>
        <w:tc>
          <w:tcPr>
            <w:tcW w:w="1620" w:type="dxa"/>
            <w:vAlign w:val="center"/>
          </w:tcPr>
          <w:p w14:paraId="5B0D9D08">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济南市农民教育培训基地</w:t>
            </w:r>
          </w:p>
        </w:tc>
        <w:tc>
          <w:tcPr>
            <w:tcW w:w="780" w:type="dxa"/>
            <w:vAlign w:val="center"/>
          </w:tcPr>
          <w:p w14:paraId="3253BDAA">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660" w:type="dxa"/>
            <w:vAlign w:val="center"/>
          </w:tcPr>
          <w:p w14:paraId="57220231">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45</w:t>
            </w:r>
          </w:p>
        </w:tc>
        <w:tc>
          <w:tcPr>
            <w:tcW w:w="2366" w:type="dxa"/>
            <w:vAlign w:val="center"/>
          </w:tcPr>
          <w:p w14:paraId="050DFC76">
            <w:pPr>
              <w:widowControl/>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小麦高产栽培技术，植保绿色防控技术、高标准农田建设管护等</w:t>
            </w:r>
          </w:p>
        </w:tc>
        <w:tc>
          <w:tcPr>
            <w:tcW w:w="855" w:type="dxa"/>
            <w:vAlign w:val="center"/>
          </w:tcPr>
          <w:p w14:paraId="03F7572F">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马金廷</w:t>
            </w:r>
          </w:p>
        </w:tc>
        <w:tc>
          <w:tcPr>
            <w:tcW w:w="1107" w:type="dxa"/>
            <w:vAlign w:val="center"/>
          </w:tcPr>
          <w:p w14:paraId="1B7A36EB">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13853170263</w:t>
            </w:r>
          </w:p>
        </w:tc>
      </w:tr>
    </w:tbl>
    <w:p w14:paraId="5FE48F3D">
      <w:pPr>
        <w:adjustRightInd w:val="0"/>
        <w:snapToGrid w:val="0"/>
        <w:spacing w:line="40" w:lineRule="exact"/>
        <w:rPr>
          <w:rFonts w:cs="Times New Roman"/>
          <w:color w:val="000000" w:themeColor="text1"/>
          <w14:textFill>
            <w14:solidFill>
              <w14:schemeClr w14:val="tx1"/>
            </w14:solidFill>
          </w14:textFill>
        </w:rPr>
      </w:pPr>
      <w:bookmarkStart w:id="0" w:name="_GoBack"/>
      <w:bookmarkEnd w:id="0"/>
    </w:p>
    <w:sectPr>
      <w:pgSz w:w="16838" w:h="11906" w:orient="landscape"/>
      <w:pgMar w:top="1361" w:right="1701" w:bottom="1361" w:left="1701" w:header="851" w:footer="992" w:gutter="0"/>
      <w:cols w:space="0" w:num="1"/>
      <w:rtlGutter w:val="0"/>
      <w:docGrid w:type="linesAndChars" w:linePitch="597" w:charSpace="-1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KSOF4C539D17">
    <w:panose1 w:val="020B0503020204020204"/>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7AE65">
    <w:pPr>
      <w:pStyle w:val="7"/>
      <w:ind w:right="360" w:firstLine="360"/>
      <w:rPr>
        <w:rFonts w:cs="Times New Roman"/>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-309880</wp:posOffset>
              </wp:positionV>
              <wp:extent cx="893445" cy="3498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93445" cy="3498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2A1CA">
                          <w:pPr>
                            <w:pStyle w:val="7"/>
                            <w:jc w:val="center"/>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5</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24.4pt;height:27.55pt;width:70.35pt;mso-position-horizontal:outside;mso-position-horizontal-relative:margin;z-index:251660288;mso-width-relative:page;mso-height-relative:page;" filled="f" stroked="f" coordsize="21600,21600" o:gfxdata="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H9WwI1gAAAAYBAAAPAAAAAAAAAAEAIAAAACIAAABkcnMvZG93bnJldi54bWxQ&#10;SwECFAAUAAAACACHTuJA2NoJXTICAABVBAAADgAAAAAAAAABACAAAAAlAQAAZHJzL2Uyb0RvYy54&#10;bWxQSwUGAAAAAAYABgBZAQAAyQUAAAAA&#10;">
              <v:fill on="f" focussize="0,0"/>
              <v:stroke on="f" weight="0.5pt"/>
              <v:imagedata o:title=""/>
              <o:lock v:ext="edit" aspectratio="f"/>
              <v:textbox inset="0mm,0mm,0mm,0mm">
                <w:txbxContent>
                  <w:p w14:paraId="7DF2A1CA">
                    <w:pPr>
                      <w:pStyle w:val="7"/>
                      <w:jc w:val="center"/>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5</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52470">
    <w:pPr>
      <w:pStyle w:val="7"/>
      <w:ind w:right="360" w:firstLine="360"/>
      <w:rPr>
        <w:rFonts w:cs="Times New Roman"/>
      </w:rPr>
    </w:pPr>
    <w:r>
      <mc:AlternateContent>
        <mc:Choice Requires="wps">
          <w:drawing>
            <wp:anchor distT="0" distB="0" distL="114300" distR="114300" simplePos="0" relativeHeight="251659264" behindDoc="0" locked="0" layoutInCell="1" allowOverlap="1">
              <wp:simplePos x="0" y="0"/>
              <wp:positionH relativeFrom="margin">
                <wp:posOffset>24130</wp:posOffset>
              </wp:positionH>
              <wp:positionV relativeFrom="paragraph">
                <wp:posOffset>-274955</wp:posOffset>
              </wp:positionV>
              <wp:extent cx="839470" cy="283210"/>
              <wp:effectExtent l="0" t="0" r="0" b="0"/>
              <wp:wrapNone/>
              <wp:docPr id="9" name="文本框 5"/>
              <wp:cNvGraphicFramePr/>
              <a:graphic xmlns:a="http://schemas.openxmlformats.org/drawingml/2006/main">
                <a:graphicData uri="http://schemas.microsoft.com/office/word/2010/wordprocessingShape">
                  <wps:wsp>
                    <wps:cNvSpPr txBox="1"/>
                    <wps:spPr>
                      <a:xfrm>
                        <a:off x="0" y="0"/>
                        <a:ext cx="839470" cy="283210"/>
                      </a:xfrm>
                      <a:prstGeom prst="rect">
                        <a:avLst/>
                      </a:prstGeom>
                      <a:noFill/>
                      <a:ln>
                        <a:noFill/>
                      </a:ln>
                    </wps:spPr>
                    <wps:txbx>
                      <w:txbxContent>
                        <w:p w14:paraId="064ACF7A">
                          <w:pPr>
                            <w:pStyle w:val="7"/>
                            <w:jc w:val="center"/>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1</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wps:txbx>
                    <wps:bodyPr wrap="square" lIns="0" tIns="0" rIns="0" bIns="0">
                      <a:noAutofit/>
                    </wps:bodyPr>
                  </wps:wsp>
                </a:graphicData>
              </a:graphic>
            </wp:anchor>
          </w:drawing>
        </mc:Choice>
        <mc:Fallback>
          <w:pict>
            <v:shape id="文本框 5" o:spid="_x0000_s1026" o:spt="202" type="#_x0000_t202" style="position:absolute;left:0pt;margin-left:1.9pt;margin-top:-21.65pt;height:22.3pt;width:66.1pt;mso-position-horizontal-relative:margin;z-index:251659264;mso-width-relative:page;mso-height-relative:page;" filled="f" stroked="f" coordsize="21600,21600" o:gfxdata="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O51Zg1gAAAAcBAAAPAAAAAAAAAAEAIAAAACIAAABkcnMvZG93&#10;bnJldi54bWxQSwECFAAUAAAACACHTuJAoH60cskBAACNAwAADgAAAAAAAAABACAAAAAlAQAAZHJz&#10;L2Uyb0RvYy54bWxQSwUGAAAAAAYABgBZAQAAYAUAAAAA&#10;">
              <v:fill on="f" focussize="0,0"/>
              <v:stroke on="f"/>
              <v:imagedata o:title=""/>
              <o:lock v:ext="edit" aspectratio="f"/>
              <v:textbox inset="0mm,0mm,0mm,0mm">
                <w:txbxContent>
                  <w:p w14:paraId="064ACF7A">
                    <w:pPr>
                      <w:pStyle w:val="7"/>
                      <w:jc w:val="center"/>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1</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3D63">
    <w:pPr>
      <w:pStyle w:val="8"/>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A3BEC">
    <w:pPr>
      <w:pStyle w:val="8"/>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435817"/>
    <w:multiLevelType w:val="singleLevel"/>
    <w:tmpl w:val="34435817"/>
    <w:lvl w:ilvl="0" w:tentative="0">
      <w:start w:val="1"/>
      <w:numFmt w:val="chineseCounting"/>
      <w:suff w:val="nothing"/>
      <w:lvlText w:val="（%1）"/>
      <w:lvlJc w:val="left"/>
      <w:rPr>
        <w:rFonts w:hint="eastAsia"/>
      </w:rPr>
    </w:lvl>
  </w:abstractNum>
  <w:abstractNum w:abstractNumId="1">
    <w:nsid w:val="3A260F24"/>
    <w:multiLevelType w:val="singleLevel"/>
    <w:tmpl w:val="3A260F2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HorizontalSpacing w:val="157"/>
  <w:drawingGridVerticalSpacing w:val="299"/>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kODFlZGIwOGNhZWIzNTgyZTk3YjRmYmY5NmZlMmQifQ=="/>
  </w:docVars>
  <w:rsids>
    <w:rsidRoot w:val="00251215"/>
    <w:rsid w:val="00000758"/>
    <w:rsid w:val="00001E5B"/>
    <w:rsid w:val="000022E8"/>
    <w:rsid w:val="000029E1"/>
    <w:rsid w:val="00004FF6"/>
    <w:rsid w:val="000064D6"/>
    <w:rsid w:val="000132CF"/>
    <w:rsid w:val="0001794E"/>
    <w:rsid w:val="00017C92"/>
    <w:rsid w:val="00021BD3"/>
    <w:rsid w:val="00022A05"/>
    <w:rsid w:val="00027026"/>
    <w:rsid w:val="00027940"/>
    <w:rsid w:val="000325A1"/>
    <w:rsid w:val="00032897"/>
    <w:rsid w:val="000357FF"/>
    <w:rsid w:val="00041EAB"/>
    <w:rsid w:val="000420E8"/>
    <w:rsid w:val="00046CA9"/>
    <w:rsid w:val="00054536"/>
    <w:rsid w:val="00054DF6"/>
    <w:rsid w:val="00055336"/>
    <w:rsid w:val="00055AD3"/>
    <w:rsid w:val="00060527"/>
    <w:rsid w:val="0006218D"/>
    <w:rsid w:val="00063112"/>
    <w:rsid w:val="000636F7"/>
    <w:rsid w:val="00065C48"/>
    <w:rsid w:val="00072FDA"/>
    <w:rsid w:val="00074B15"/>
    <w:rsid w:val="0007583E"/>
    <w:rsid w:val="0008047B"/>
    <w:rsid w:val="000816A5"/>
    <w:rsid w:val="00082B4C"/>
    <w:rsid w:val="00086097"/>
    <w:rsid w:val="00086343"/>
    <w:rsid w:val="000920FB"/>
    <w:rsid w:val="000949C3"/>
    <w:rsid w:val="00096739"/>
    <w:rsid w:val="00097F56"/>
    <w:rsid w:val="000A13BB"/>
    <w:rsid w:val="000A172A"/>
    <w:rsid w:val="000A3085"/>
    <w:rsid w:val="000A38AA"/>
    <w:rsid w:val="000A5457"/>
    <w:rsid w:val="000B1138"/>
    <w:rsid w:val="000B1E72"/>
    <w:rsid w:val="000B43F5"/>
    <w:rsid w:val="000B6347"/>
    <w:rsid w:val="000B6A90"/>
    <w:rsid w:val="000C358F"/>
    <w:rsid w:val="000C6AE8"/>
    <w:rsid w:val="000D03B5"/>
    <w:rsid w:val="000D1108"/>
    <w:rsid w:val="000D2F9D"/>
    <w:rsid w:val="000D4FE7"/>
    <w:rsid w:val="000D5D36"/>
    <w:rsid w:val="000D79D5"/>
    <w:rsid w:val="000E0BE1"/>
    <w:rsid w:val="000E0CF2"/>
    <w:rsid w:val="000E14F2"/>
    <w:rsid w:val="000E1AD9"/>
    <w:rsid w:val="000E36E7"/>
    <w:rsid w:val="000E3C24"/>
    <w:rsid w:val="000E4D69"/>
    <w:rsid w:val="000E4EF1"/>
    <w:rsid w:val="000F34B6"/>
    <w:rsid w:val="000F5264"/>
    <w:rsid w:val="000F660A"/>
    <w:rsid w:val="001014CD"/>
    <w:rsid w:val="00101F1D"/>
    <w:rsid w:val="001049CE"/>
    <w:rsid w:val="00106051"/>
    <w:rsid w:val="00106301"/>
    <w:rsid w:val="00115A72"/>
    <w:rsid w:val="0011632B"/>
    <w:rsid w:val="0012353B"/>
    <w:rsid w:val="00125AA7"/>
    <w:rsid w:val="00137464"/>
    <w:rsid w:val="00140948"/>
    <w:rsid w:val="00141375"/>
    <w:rsid w:val="00141AD7"/>
    <w:rsid w:val="00141F37"/>
    <w:rsid w:val="001526CB"/>
    <w:rsid w:val="00154148"/>
    <w:rsid w:val="001542DF"/>
    <w:rsid w:val="00154A7E"/>
    <w:rsid w:val="00161702"/>
    <w:rsid w:val="0016202E"/>
    <w:rsid w:val="0016205F"/>
    <w:rsid w:val="001671A8"/>
    <w:rsid w:val="0017038A"/>
    <w:rsid w:val="001718A7"/>
    <w:rsid w:val="00175307"/>
    <w:rsid w:val="0017738D"/>
    <w:rsid w:val="00177548"/>
    <w:rsid w:val="00183909"/>
    <w:rsid w:val="00187DD1"/>
    <w:rsid w:val="00190F28"/>
    <w:rsid w:val="00192E82"/>
    <w:rsid w:val="001932B7"/>
    <w:rsid w:val="00193E46"/>
    <w:rsid w:val="001A09F0"/>
    <w:rsid w:val="001A1FD3"/>
    <w:rsid w:val="001A3B06"/>
    <w:rsid w:val="001A3DA5"/>
    <w:rsid w:val="001A6B04"/>
    <w:rsid w:val="001B160D"/>
    <w:rsid w:val="001B357D"/>
    <w:rsid w:val="001B65B9"/>
    <w:rsid w:val="001C124F"/>
    <w:rsid w:val="001C1977"/>
    <w:rsid w:val="001C33C2"/>
    <w:rsid w:val="001C77CD"/>
    <w:rsid w:val="001D2775"/>
    <w:rsid w:val="001D2F3A"/>
    <w:rsid w:val="001D7214"/>
    <w:rsid w:val="001E0FE1"/>
    <w:rsid w:val="001E47E2"/>
    <w:rsid w:val="001E7A5D"/>
    <w:rsid w:val="001F3E2F"/>
    <w:rsid w:val="0020029A"/>
    <w:rsid w:val="002045BA"/>
    <w:rsid w:val="00205877"/>
    <w:rsid w:val="00205C1F"/>
    <w:rsid w:val="0021072A"/>
    <w:rsid w:val="00211D7A"/>
    <w:rsid w:val="00215B84"/>
    <w:rsid w:val="002264CA"/>
    <w:rsid w:val="00233C02"/>
    <w:rsid w:val="00234932"/>
    <w:rsid w:val="0023568B"/>
    <w:rsid w:val="00237178"/>
    <w:rsid w:val="00237FBD"/>
    <w:rsid w:val="0024277A"/>
    <w:rsid w:val="002446A4"/>
    <w:rsid w:val="00246B9E"/>
    <w:rsid w:val="00251215"/>
    <w:rsid w:val="00252B2E"/>
    <w:rsid w:val="002567E8"/>
    <w:rsid w:val="00257989"/>
    <w:rsid w:val="002630A5"/>
    <w:rsid w:val="002650C5"/>
    <w:rsid w:val="0027210A"/>
    <w:rsid w:val="00272487"/>
    <w:rsid w:val="00273A3E"/>
    <w:rsid w:val="00273EA3"/>
    <w:rsid w:val="00276174"/>
    <w:rsid w:val="00281130"/>
    <w:rsid w:val="00283D4E"/>
    <w:rsid w:val="00285604"/>
    <w:rsid w:val="00286A66"/>
    <w:rsid w:val="002873FB"/>
    <w:rsid w:val="00290C86"/>
    <w:rsid w:val="00290EE4"/>
    <w:rsid w:val="00291555"/>
    <w:rsid w:val="002919CB"/>
    <w:rsid w:val="00291BDD"/>
    <w:rsid w:val="00295A5A"/>
    <w:rsid w:val="0029617C"/>
    <w:rsid w:val="00297F5F"/>
    <w:rsid w:val="002A0AAA"/>
    <w:rsid w:val="002A52B4"/>
    <w:rsid w:val="002A5C2A"/>
    <w:rsid w:val="002B2E7A"/>
    <w:rsid w:val="002B2FB6"/>
    <w:rsid w:val="002B445D"/>
    <w:rsid w:val="002B5219"/>
    <w:rsid w:val="002C0F2D"/>
    <w:rsid w:val="002C1FBD"/>
    <w:rsid w:val="002C2278"/>
    <w:rsid w:val="002C2B21"/>
    <w:rsid w:val="002C2CCC"/>
    <w:rsid w:val="002C317F"/>
    <w:rsid w:val="002C486A"/>
    <w:rsid w:val="002C68D3"/>
    <w:rsid w:val="002D0C68"/>
    <w:rsid w:val="002D2973"/>
    <w:rsid w:val="002D39C4"/>
    <w:rsid w:val="002D4FAF"/>
    <w:rsid w:val="002D5106"/>
    <w:rsid w:val="002D5ED8"/>
    <w:rsid w:val="002D7129"/>
    <w:rsid w:val="002E094C"/>
    <w:rsid w:val="002E2F15"/>
    <w:rsid w:val="002E42DD"/>
    <w:rsid w:val="002E7190"/>
    <w:rsid w:val="002F27A2"/>
    <w:rsid w:val="0030088D"/>
    <w:rsid w:val="003008C1"/>
    <w:rsid w:val="00301016"/>
    <w:rsid w:val="0030271F"/>
    <w:rsid w:val="0030434A"/>
    <w:rsid w:val="00311C5F"/>
    <w:rsid w:val="0031406F"/>
    <w:rsid w:val="003162D0"/>
    <w:rsid w:val="003165B4"/>
    <w:rsid w:val="00321522"/>
    <w:rsid w:val="00323304"/>
    <w:rsid w:val="00323583"/>
    <w:rsid w:val="003242F5"/>
    <w:rsid w:val="00326F79"/>
    <w:rsid w:val="00336B4B"/>
    <w:rsid w:val="00336F72"/>
    <w:rsid w:val="003403D5"/>
    <w:rsid w:val="0034047F"/>
    <w:rsid w:val="00341C3F"/>
    <w:rsid w:val="00341EF6"/>
    <w:rsid w:val="003432FA"/>
    <w:rsid w:val="00351ABF"/>
    <w:rsid w:val="003521AC"/>
    <w:rsid w:val="003537A9"/>
    <w:rsid w:val="00355377"/>
    <w:rsid w:val="00355947"/>
    <w:rsid w:val="003566D0"/>
    <w:rsid w:val="00356A3A"/>
    <w:rsid w:val="00360D9C"/>
    <w:rsid w:val="003612E3"/>
    <w:rsid w:val="003635B8"/>
    <w:rsid w:val="003652EA"/>
    <w:rsid w:val="00367AFD"/>
    <w:rsid w:val="00371657"/>
    <w:rsid w:val="003718CB"/>
    <w:rsid w:val="003729EC"/>
    <w:rsid w:val="00373239"/>
    <w:rsid w:val="00384831"/>
    <w:rsid w:val="00396381"/>
    <w:rsid w:val="003A1A9A"/>
    <w:rsid w:val="003A2804"/>
    <w:rsid w:val="003B1CEF"/>
    <w:rsid w:val="003B41B4"/>
    <w:rsid w:val="003B6375"/>
    <w:rsid w:val="003C1347"/>
    <w:rsid w:val="003C23D4"/>
    <w:rsid w:val="003C3468"/>
    <w:rsid w:val="003D1163"/>
    <w:rsid w:val="003D2092"/>
    <w:rsid w:val="003D2AF6"/>
    <w:rsid w:val="003D55B6"/>
    <w:rsid w:val="003D5806"/>
    <w:rsid w:val="003D7E12"/>
    <w:rsid w:val="003E02A6"/>
    <w:rsid w:val="003E03E2"/>
    <w:rsid w:val="003E1007"/>
    <w:rsid w:val="003E74CE"/>
    <w:rsid w:val="003F1280"/>
    <w:rsid w:val="003F2AE8"/>
    <w:rsid w:val="003F7CDF"/>
    <w:rsid w:val="003F7F3A"/>
    <w:rsid w:val="003F7FA2"/>
    <w:rsid w:val="0040008A"/>
    <w:rsid w:val="0040038E"/>
    <w:rsid w:val="0040045B"/>
    <w:rsid w:val="00400587"/>
    <w:rsid w:val="00410506"/>
    <w:rsid w:val="00412CC3"/>
    <w:rsid w:val="00412CDE"/>
    <w:rsid w:val="004130A8"/>
    <w:rsid w:val="00421AA5"/>
    <w:rsid w:val="0042796A"/>
    <w:rsid w:val="004330CC"/>
    <w:rsid w:val="0043354F"/>
    <w:rsid w:val="0043531A"/>
    <w:rsid w:val="0043554D"/>
    <w:rsid w:val="00435A62"/>
    <w:rsid w:val="00437762"/>
    <w:rsid w:val="00441151"/>
    <w:rsid w:val="00442AE6"/>
    <w:rsid w:val="00442EB5"/>
    <w:rsid w:val="0044677B"/>
    <w:rsid w:val="0045266A"/>
    <w:rsid w:val="00453A28"/>
    <w:rsid w:val="00454CA0"/>
    <w:rsid w:val="00455620"/>
    <w:rsid w:val="00455793"/>
    <w:rsid w:val="00455C6B"/>
    <w:rsid w:val="004600AB"/>
    <w:rsid w:val="004621B0"/>
    <w:rsid w:val="00463D99"/>
    <w:rsid w:val="00464E06"/>
    <w:rsid w:val="004665C2"/>
    <w:rsid w:val="00466622"/>
    <w:rsid w:val="004667C0"/>
    <w:rsid w:val="00466A3E"/>
    <w:rsid w:val="00470260"/>
    <w:rsid w:val="00470756"/>
    <w:rsid w:val="00470A9A"/>
    <w:rsid w:val="00474516"/>
    <w:rsid w:val="004755B5"/>
    <w:rsid w:val="0047565A"/>
    <w:rsid w:val="0048059F"/>
    <w:rsid w:val="004815DC"/>
    <w:rsid w:val="00484089"/>
    <w:rsid w:val="0048429D"/>
    <w:rsid w:val="00485895"/>
    <w:rsid w:val="00486B09"/>
    <w:rsid w:val="00490144"/>
    <w:rsid w:val="004902FD"/>
    <w:rsid w:val="0049397F"/>
    <w:rsid w:val="00495101"/>
    <w:rsid w:val="004A6289"/>
    <w:rsid w:val="004A63FE"/>
    <w:rsid w:val="004A7F2B"/>
    <w:rsid w:val="004B34FF"/>
    <w:rsid w:val="004B4745"/>
    <w:rsid w:val="004C14E3"/>
    <w:rsid w:val="004C1831"/>
    <w:rsid w:val="004C4DCE"/>
    <w:rsid w:val="004C4EC0"/>
    <w:rsid w:val="004D12E8"/>
    <w:rsid w:val="004D1E7C"/>
    <w:rsid w:val="004D2A15"/>
    <w:rsid w:val="004E0AF3"/>
    <w:rsid w:val="004E5634"/>
    <w:rsid w:val="004E5C08"/>
    <w:rsid w:val="004E7BDB"/>
    <w:rsid w:val="004F0BF5"/>
    <w:rsid w:val="004F1997"/>
    <w:rsid w:val="004F2256"/>
    <w:rsid w:val="004F396B"/>
    <w:rsid w:val="00501481"/>
    <w:rsid w:val="005017B4"/>
    <w:rsid w:val="00506E28"/>
    <w:rsid w:val="0051076B"/>
    <w:rsid w:val="0051247A"/>
    <w:rsid w:val="00514DED"/>
    <w:rsid w:val="005276C8"/>
    <w:rsid w:val="005303A7"/>
    <w:rsid w:val="00532CFD"/>
    <w:rsid w:val="00533AE3"/>
    <w:rsid w:val="005343A3"/>
    <w:rsid w:val="00535BBE"/>
    <w:rsid w:val="005415D0"/>
    <w:rsid w:val="005447F5"/>
    <w:rsid w:val="005461D4"/>
    <w:rsid w:val="005505B7"/>
    <w:rsid w:val="00550A45"/>
    <w:rsid w:val="00554BF2"/>
    <w:rsid w:val="0055576C"/>
    <w:rsid w:val="00565D98"/>
    <w:rsid w:val="00566A34"/>
    <w:rsid w:val="00567183"/>
    <w:rsid w:val="00567270"/>
    <w:rsid w:val="00570635"/>
    <w:rsid w:val="0057527D"/>
    <w:rsid w:val="00575C87"/>
    <w:rsid w:val="005802D4"/>
    <w:rsid w:val="00582310"/>
    <w:rsid w:val="00582AE2"/>
    <w:rsid w:val="005843DC"/>
    <w:rsid w:val="00590CFF"/>
    <w:rsid w:val="00592077"/>
    <w:rsid w:val="005927BE"/>
    <w:rsid w:val="0059427F"/>
    <w:rsid w:val="00594E62"/>
    <w:rsid w:val="00596420"/>
    <w:rsid w:val="00597D20"/>
    <w:rsid w:val="005A104B"/>
    <w:rsid w:val="005A5921"/>
    <w:rsid w:val="005B3BA4"/>
    <w:rsid w:val="005B5AFD"/>
    <w:rsid w:val="005B734D"/>
    <w:rsid w:val="005C2DEF"/>
    <w:rsid w:val="005C341F"/>
    <w:rsid w:val="005D1AF2"/>
    <w:rsid w:val="005D4554"/>
    <w:rsid w:val="005D4F31"/>
    <w:rsid w:val="005D7F04"/>
    <w:rsid w:val="005E051F"/>
    <w:rsid w:val="005E11AA"/>
    <w:rsid w:val="005E1433"/>
    <w:rsid w:val="005E43C5"/>
    <w:rsid w:val="005E50A5"/>
    <w:rsid w:val="005E5500"/>
    <w:rsid w:val="005E55C4"/>
    <w:rsid w:val="005E59C2"/>
    <w:rsid w:val="005F0509"/>
    <w:rsid w:val="005F29C9"/>
    <w:rsid w:val="005F3DF7"/>
    <w:rsid w:val="005F5B3B"/>
    <w:rsid w:val="005F65F6"/>
    <w:rsid w:val="005F6A30"/>
    <w:rsid w:val="006010D3"/>
    <w:rsid w:val="00601184"/>
    <w:rsid w:val="00601BB3"/>
    <w:rsid w:val="0060259B"/>
    <w:rsid w:val="00604F4B"/>
    <w:rsid w:val="00605970"/>
    <w:rsid w:val="00605D89"/>
    <w:rsid w:val="006068CB"/>
    <w:rsid w:val="00606DEA"/>
    <w:rsid w:val="006102A1"/>
    <w:rsid w:val="00611BB2"/>
    <w:rsid w:val="00612B31"/>
    <w:rsid w:val="00613042"/>
    <w:rsid w:val="00614E24"/>
    <w:rsid w:val="006152CC"/>
    <w:rsid w:val="00620DE2"/>
    <w:rsid w:val="00624031"/>
    <w:rsid w:val="00624E0D"/>
    <w:rsid w:val="00627748"/>
    <w:rsid w:val="00631E29"/>
    <w:rsid w:val="0063242D"/>
    <w:rsid w:val="006354F6"/>
    <w:rsid w:val="006401F3"/>
    <w:rsid w:val="00640242"/>
    <w:rsid w:val="0064197B"/>
    <w:rsid w:val="00641D77"/>
    <w:rsid w:val="00646D35"/>
    <w:rsid w:val="00646DFB"/>
    <w:rsid w:val="00653146"/>
    <w:rsid w:val="00660BC2"/>
    <w:rsid w:val="00663A10"/>
    <w:rsid w:val="0066722A"/>
    <w:rsid w:val="0067043D"/>
    <w:rsid w:val="006707BE"/>
    <w:rsid w:val="00675E16"/>
    <w:rsid w:val="00675EEA"/>
    <w:rsid w:val="00676AA4"/>
    <w:rsid w:val="00682A91"/>
    <w:rsid w:val="00683180"/>
    <w:rsid w:val="006849A5"/>
    <w:rsid w:val="00687147"/>
    <w:rsid w:val="00695A06"/>
    <w:rsid w:val="006A1321"/>
    <w:rsid w:val="006A3568"/>
    <w:rsid w:val="006B0C34"/>
    <w:rsid w:val="006B2A78"/>
    <w:rsid w:val="006B4715"/>
    <w:rsid w:val="006C05C5"/>
    <w:rsid w:val="006C0BAD"/>
    <w:rsid w:val="006C0E15"/>
    <w:rsid w:val="006C1D3B"/>
    <w:rsid w:val="006C44C4"/>
    <w:rsid w:val="006C6C2E"/>
    <w:rsid w:val="006C7244"/>
    <w:rsid w:val="006D3483"/>
    <w:rsid w:val="006D54DE"/>
    <w:rsid w:val="006D66F3"/>
    <w:rsid w:val="006E1A95"/>
    <w:rsid w:val="006E29B3"/>
    <w:rsid w:val="006E52D8"/>
    <w:rsid w:val="006E7255"/>
    <w:rsid w:val="006F0D66"/>
    <w:rsid w:val="006F1558"/>
    <w:rsid w:val="006F33EC"/>
    <w:rsid w:val="006F4250"/>
    <w:rsid w:val="006F725E"/>
    <w:rsid w:val="00701B3D"/>
    <w:rsid w:val="00702596"/>
    <w:rsid w:val="007028CE"/>
    <w:rsid w:val="00704529"/>
    <w:rsid w:val="00713A49"/>
    <w:rsid w:val="00713F97"/>
    <w:rsid w:val="00714FF5"/>
    <w:rsid w:val="00715F7E"/>
    <w:rsid w:val="007160FB"/>
    <w:rsid w:val="00721188"/>
    <w:rsid w:val="0072479C"/>
    <w:rsid w:val="00724AA3"/>
    <w:rsid w:val="007313AF"/>
    <w:rsid w:val="00732328"/>
    <w:rsid w:val="00733058"/>
    <w:rsid w:val="00733201"/>
    <w:rsid w:val="007366BA"/>
    <w:rsid w:val="0073670A"/>
    <w:rsid w:val="00737328"/>
    <w:rsid w:val="00737B16"/>
    <w:rsid w:val="00741C32"/>
    <w:rsid w:val="0074262F"/>
    <w:rsid w:val="0074422B"/>
    <w:rsid w:val="007463BD"/>
    <w:rsid w:val="00750934"/>
    <w:rsid w:val="00753EE9"/>
    <w:rsid w:val="00754B76"/>
    <w:rsid w:val="007568AB"/>
    <w:rsid w:val="00757986"/>
    <w:rsid w:val="00761C89"/>
    <w:rsid w:val="00762155"/>
    <w:rsid w:val="007637B9"/>
    <w:rsid w:val="00764491"/>
    <w:rsid w:val="007710B4"/>
    <w:rsid w:val="00771F86"/>
    <w:rsid w:val="00772322"/>
    <w:rsid w:val="007751A4"/>
    <w:rsid w:val="007752BD"/>
    <w:rsid w:val="00775347"/>
    <w:rsid w:val="00775D52"/>
    <w:rsid w:val="0078288A"/>
    <w:rsid w:val="00783BC8"/>
    <w:rsid w:val="007853EC"/>
    <w:rsid w:val="00785F72"/>
    <w:rsid w:val="007910ED"/>
    <w:rsid w:val="00793C3A"/>
    <w:rsid w:val="007951CA"/>
    <w:rsid w:val="00796857"/>
    <w:rsid w:val="007979C3"/>
    <w:rsid w:val="007A2827"/>
    <w:rsid w:val="007A37F5"/>
    <w:rsid w:val="007B0212"/>
    <w:rsid w:val="007B1C61"/>
    <w:rsid w:val="007B1E6E"/>
    <w:rsid w:val="007B24B7"/>
    <w:rsid w:val="007B2E96"/>
    <w:rsid w:val="007B55E8"/>
    <w:rsid w:val="007C034C"/>
    <w:rsid w:val="007C7882"/>
    <w:rsid w:val="007D277D"/>
    <w:rsid w:val="007D369E"/>
    <w:rsid w:val="007E3F5D"/>
    <w:rsid w:val="007E6E4A"/>
    <w:rsid w:val="007F53E1"/>
    <w:rsid w:val="00804175"/>
    <w:rsid w:val="00805E4C"/>
    <w:rsid w:val="00806179"/>
    <w:rsid w:val="00806829"/>
    <w:rsid w:val="00807FDB"/>
    <w:rsid w:val="008223EC"/>
    <w:rsid w:val="008229A0"/>
    <w:rsid w:val="0082369E"/>
    <w:rsid w:val="008245F7"/>
    <w:rsid w:val="00824F99"/>
    <w:rsid w:val="00826F7B"/>
    <w:rsid w:val="0082730C"/>
    <w:rsid w:val="00827EB0"/>
    <w:rsid w:val="00833A36"/>
    <w:rsid w:val="00835CC7"/>
    <w:rsid w:val="008378E0"/>
    <w:rsid w:val="00841D7E"/>
    <w:rsid w:val="00843044"/>
    <w:rsid w:val="008437A2"/>
    <w:rsid w:val="00844A37"/>
    <w:rsid w:val="00846F39"/>
    <w:rsid w:val="00850223"/>
    <w:rsid w:val="008502AF"/>
    <w:rsid w:val="00852B37"/>
    <w:rsid w:val="00853171"/>
    <w:rsid w:val="0085661C"/>
    <w:rsid w:val="00856C80"/>
    <w:rsid w:val="00857B0A"/>
    <w:rsid w:val="00857FF8"/>
    <w:rsid w:val="0086054D"/>
    <w:rsid w:val="00864968"/>
    <w:rsid w:val="008652B7"/>
    <w:rsid w:val="008662B3"/>
    <w:rsid w:val="00874014"/>
    <w:rsid w:val="00877FD6"/>
    <w:rsid w:val="00881246"/>
    <w:rsid w:val="00886FA3"/>
    <w:rsid w:val="00890D7F"/>
    <w:rsid w:val="0089153E"/>
    <w:rsid w:val="0089243F"/>
    <w:rsid w:val="00893E90"/>
    <w:rsid w:val="00897511"/>
    <w:rsid w:val="0089779A"/>
    <w:rsid w:val="008A1B6E"/>
    <w:rsid w:val="008A274E"/>
    <w:rsid w:val="008A29A8"/>
    <w:rsid w:val="008B0145"/>
    <w:rsid w:val="008B14B3"/>
    <w:rsid w:val="008B73F2"/>
    <w:rsid w:val="008B7DE4"/>
    <w:rsid w:val="008B7E15"/>
    <w:rsid w:val="008C182E"/>
    <w:rsid w:val="008C2B9C"/>
    <w:rsid w:val="008D0CC3"/>
    <w:rsid w:val="008D2039"/>
    <w:rsid w:val="008D2307"/>
    <w:rsid w:val="008D5F6A"/>
    <w:rsid w:val="008D6165"/>
    <w:rsid w:val="008D6AD8"/>
    <w:rsid w:val="008E210C"/>
    <w:rsid w:val="008E3AC2"/>
    <w:rsid w:val="008E7D65"/>
    <w:rsid w:val="008F07C8"/>
    <w:rsid w:val="008F276B"/>
    <w:rsid w:val="008F34F9"/>
    <w:rsid w:val="008F4A91"/>
    <w:rsid w:val="008F4E1D"/>
    <w:rsid w:val="00900231"/>
    <w:rsid w:val="00900EDA"/>
    <w:rsid w:val="00902383"/>
    <w:rsid w:val="00906997"/>
    <w:rsid w:val="00911530"/>
    <w:rsid w:val="00913CBE"/>
    <w:rsid w:val="009178A4"/>
    <w:rsid w:val="009202D2"/>
    <w:rsid w:val="00920529"/>
    <w:rsid w:val="00922E0C"/>
    <w:rsid w:val="009235BA"/>
    <w:rsid w:val="00925569"/>
    <w:rsid w:val="009269AC"/>
    <w:rsid w:val="009278D8"/>
    <w:rsid w:val="00932AB1"/>
    <w:rsid w:val="00936F94"/>
    <w:rsid w:val="00937C09"/>
    <w:rsid w:val="00941B74"/>
    <w:rsid w:val="00942AB2"/>
    <w:rsid w:val="009440F8"/>
    <w:rsid w:val="0095006B"/>
    <w:rsid w:val="00952019"/>
    <w:rsid w:val="0095281C"/>
    <w:rsid w:val="009578A8"/>
    <w:rsid w:val="00961545"/>
    <w:rsid w:val="00961665"/>
    <w:rsid w:val="00965B57"/>
    <w:rsid w:val="00966AB2"/>
    <w:rsid w:val="00967C70"/>
    <w:rsid w:val="0097038E"/>
    <w:rsid w:val="0097043C"/>
    <w:rsid w:val="00970CC1"/>
    <w:rsid w:val="009715C7"/>
    <w:rsid w:val="0097245A"/>
    <w:rsid w:val="00973F01"/>
    <w:rsid w:val="009749C3"/>
    <w:rsid w:val="009760A9"/>
    <w:rsid w:val="009820F1"/>
    <w:rsid w:val="00982D37"/>
    <w:rsid w:val="009834EA"/>
    <w:rsid w:val="00983E01"/>
    <w:rsid w:val="009847A2"/>
    <w:rsid w:val="009859A9"/>
    <w:rsid w:val="00985EA7"/>
    <w:rsid w:val="00985F9D"/>
    <w:rsid w:val="0098779D"/>
    <w:rsid w:val="00987E3C"/>
    <w:rsid w:val="00990E31"/>
    <w:rsid w:val="00993230"/>
    <w:rsid w:val="009A175A"/>
    <w:rsid w:val="009A1793"/>
    <w:rsid w:val="009A4F0C"/>
    <w:rsid w:val="009A671E"/>
    <w:rsid w:val="009B69B1"/>
    <w:rsid w:val="009C0C67"/>
    <w:rsid w:val="009C2A0D"/>
    <w:rsid w:val="009C4855"/>
    <w:rsid w:val="009C7359"/>
    <w:rsid w:val="009C7D32"/>
    <w:rsid w:val="009D3075"/>
    <w:rsid w:val="009D369E"/>
    <w:rsid w:val="009D385F"/>
    <w:rsid w:val="009D69F1"/>
    <w:rsid w:val="009D7ACE"/>
    <w:rsid w:val="009D7B09"/>
    <w:rsid w:val="009E716C"/>
    <w:rsid w:val="009F093F"/>
    <w:rsid w:val="009F0B89"/>
    <w:rsid w:val="009F1C53"/>
    <w:rsid w:val="009F6190"/>
    <w:rsid w:val="00A045F7"/>
    <w:rsid w:val="00A07875"/>
    <w:rsid w:val="00A133F1"/>
    <w:rsid w:val="00A141D3"/>
    <w:rsid w:val="00A16807"/>
    <w:rsid w:val="00A16ADE"/>
    <w:rsid w:val="00A17C1F"/>
    <w:rsid w:val="00A21551"/>
    <w:rsid w:val="00A217D8"/>
    <w:rsid w:val="00A21B5D"/>
    <w:rsid w:val="00A26721"/>
    <w:rsid w:val="00A3161B"/>
    <w:rsid w:val="00A33E14"/>
    <w:rsid w:val="00A36F86"/>
    <w:rsid w:val="00A426B1"/>
    <w:rsid w:val="00A43749"/>
    <w:rsid w:val="00A5078F"/>
    <w:rsid w:val="00A5605D"/>
    <w:rsid w:val="00A56EA5"/>
    <w:rsid w:val="00A610AB"/>
    <w:rsid w:val="00A63DA8"/>
    <w:rsid w:val="00A64EE5"/>
    <w:rsid w:val="00A67826"/>
    <w:rsid w:val="00A67F8A"/>
    <w:rsid w:val="00A71D7D"/>
    <w:rsid w:val="00A74956"/>
    <w:rsid w:val="00A74DE8"/>
    <w:rsid w:val="00A75508"/>
    <w:rsid w:val="00A7561E"/>
    <w:rsid w:val="00A7586E"/>
    <w:rsid w:val="00A81A0F"/>
    <w:rsid w:val="00A81DA6"/>
    <w:rsid w:val="00A9086F"/>
    <w:rsid w:val="00A91FAB"/>
    <w:rsid w:val="00AA2430"/>
    <w:rsid w:val="00AA458D"/>
    <w:rsid w:val="00AA6AAE"/>
    <w:rsid w:val="00AA78BE"/>
    <w:rsid w:val="00AB00D0"/>
    <w:rsid w:val="00AB0CC8"/>
    <w:rsid w:val="00AB1005"/>
    <w:rsid w:val="00AB10AF"/>
    <w:rsid w:val="00AB4535"/>
    <w:rsid w:val="00AB62AD"/>
    <w:rsid w:val="00AC1CBE"/>
    <w:rsid w:val="00AC346C"/>
    <w:rsid w:val="00AC3534"/>
    <w:rsid w:val="00AC4600"/>
    <w:rsid w:val="00AC693F"/>
    <w:rsid w:val="00AD0701"/>
    <w:rsid w:val="00AD66C3"/>
    <w:rsid w:val="00AD7717"/>
    <w:rsid w:val="00AE0761"/>
    <w:rsid w:val="00AE34B5"/>
    <w:rsid w:val="00AE3B31"/>
    <w:rsid w:val="00AE4F26"/>
    <w:rsid w:val="00AE59A1"/>
    <w:rsid w:val="00AE5EAA"/>
    <w:rsid w:val="00AE6002"/>
    <w:rsid w:val="00AE6F9D"/>
    <w:rsid w:val="00AF121C"/>
    <w:rsid w:val="00AF30BC"/>
    <w:rsid w:val="00B03608"/>
    <w:rsid w:val="00B05CBD"/>
    <w:rsid w:val="00B064C5"/>
    <w:rsid w:val="00B0745E"/>
    <w:rsid w:val="00B10A42"/>
    <w:rsid w:val="00B117CA"/>
    <w:rsid w:val="00B1294D"/>
    <w:rsid w:val="00B136DA"/>
    <w:rsid w:val="00B14847"/>
    <w:rsid w:val="00B15EB9"/>
    <w:rsid w:val="00B171E3"/>
    <w:rsid w:val="00B23D70"/>
    <w:rsid w:val="00B240D0"/>
    <w:rsid w:val="00B251B6"/>
    <w:rsid w:val="00B266FB"/>
    <w:rsid w:val="00B271D3"/>
    <w:rsid w:val="00B465A2"/>
    <w:rsid w:val="00B478A0"/>
    <w:rsid w:val="00B47BEC"/>
    <w:rsid w:val="00B50111"/>
    <w:rsid w:val="00B513D1"/>
    <w:rsid w:val="00B54D76"/>
    <w:rsid w:val="00B62C6C"/>
    <w:rsid w:val="00B635AF"/>
    <w:rsid w:val="00B6786F"/>
    <w:rsid w:val="00B70651"/>
    <w:rsid w:val="00B71C7F"/>
    <w:rsid w:val="00B731E9"/>
    <w:rsid w:val="00B75E11"/>
    <w:rsid w:val="00B768F7"/>
    <w:rsid w:val="00B822B5"/>
    <w:rsid w:val="00B93461"/>
    <w:rsid w:val="00B94D19"/>
    <w:rsid w:val="00B96C74"/>
    <w:rsid w:val="00B9764C"/>
    <w:rsid w:val="00BA351E"/>
    <w:rsid w:val="00BA5F39"/>
    <w:rsid w:val="00BB025A"/>
    <w:rsid w:val="00BB05D8"/>
    <w:rsid w:val="00BB4113"/>
    <w:rsid w:val="00BB4C98"/>
    <w:rsid w:val="00BB544B"/>
    <w:rsid w:val="00BC24A5"/>
    <w:rsid w:val="00BC28E9"/>
    <w:rsid w:val="00BC361A"/>
    <w:rsid w:val="00BC4FF4"/>
    <w:rsid w:val="00BC5F6E"/>
    <w:rsid w:val="00BC69B8"/>
    <w:rsid w:val="00BD466F"/>
    <w:rsid w:val="00BD536E"/>
    <w:rsid w:val="00BD7430"/>
    <w:rsid w:val="00BD7FF2"/>
    <w:rsid w:val="00BE542A"/>
    <w:rsid w:val="00BF06B1"/>
    <w:rsid w:val="00BF20E2"/>
    <w:rsid w:val="00BF5B4F"/>
    <w:rsid w:val="00BF6C1D"/>
    <w:rsid w:val="00C01A59"/>
    <w:rsid w:val="00C029BC"/>
    <w:rsid w:val="00C056FF"/>
    <w:rsid w:val="00C11EE3"/>
    <w:rsid w:val="00C12F2B"/>
    <w:rsid w:val="00C13E6E"/>
    <w:rsid w:val="00C13F9F"/>
    <w:rsid w:val="00C20A9A"/>
    <w:rsid w:val="00C306EB"/>
    <w:rsid w:val="00C30B78"/>
    <w:rsid w:val="00C37521"/>
    <w:rsid w:val="00C462D7"/>
    <w:rsid w:val="00C46CEA"/>
    <w:rsid w:val="00C5104F"/>
    <w:rsid w:val="00C510AA"/>
    <w:rsid w:val="00C53671"/>
    <w:rsid w:val="00C55830"/>
    <w:rsid w:val="00C576E9"/>
    <w:rsid w:val="00C6052C"/>
    <w:rsid w:val="00C60956"/>
    <w:rsid w:val="00C628D5"/>
    <w:rsid w:val="00C6335E"/>
    <w:rsid w:val="00C63C5F"/>
    <w:rsid w:val="00C704FE"/>
    <w:rsid w:val="00C70E7C"/>
    <w:rsid w:val="00C72E33"/>
    <w:rsid w:val="00C775F8"/>
    <w:rsid w:val="00C81E5C"/>
    <w:rsid w:val="00C841FC"/>
    <w:rsid w:val="00C845E1"/>
    <w:rsid w:val="00C847B2"/>
    <w:rsid w:val="00C8573A"/>
    <w:rsid w:val="00C90BCF"/>
    <w:rsid w:val="00C90FBF"/>
    <w:rsid w:val="00C913CE"/>
    <w:rsid w:val="00C91D05"/>
    <w:rsid w:val="00C92131"/>
    <w:rsid w:val="00C93EBA"/>
    <w:rsid w:val="00CA33E0"/>
    <w:rsid w:val="00CA369C"/>
    <w:rsid w:val="00CA4448"/>
    <w:rsid w:val="00CB0892"/>
    <w:rsid w:val="00CB1AF6"/>
    <w:rsid w:val="00CB1F84"/>
    <w:rsid w:val="00CB3994"/>
    <w:rsid w:val="00CB6343"/>
    <w:rsid w:val="00CB7585"/>
    <w:rsid w:val="00CC396F"/>
    <w:rsid w:val="00CC45C9"/>
    <w:rsid w:val="00CC6A0F"/>
    <w:rsid w:val="00CD1A39"/>
    <w:rsid w:val="00CD2552"/>
    <w:rsid w:val="00CD5156"/>
    <w:rsid w:val="00CD5416"/>
    <w:rsid w:val="00CD771B"/>
    <w:rsid w:val="00CF1F17"/>
    <w:rsid w:val="00CF207D"/>
    <w:rsid w:val="00CF2BD5"/>
    <w:rsid w:val="00CF36BA"/>
    <w:rsid w:val="00CF429D"/>
    <w:rsid w:val="00D02C51"/>
    <w:rsid w:val="00D0335A"/>
    <w:rsid w:val="00D033C0"/>
    <w:rsid w:val="00D04E4E"/>
    <w:rsid w:val="00D06900"/>
    <w:rsid w:val="00D12220"/>
    <w:rsid w:val="00D15DBD"/>
    <w:rsid w:val="00D17DB7"/>
    <w:rsid w:val="00D221AB"/>
    <w:rsid w:val="00D25670"/>
    <w:rsid w:val="00D276E7"/>
    <w:rsid w:val="00D33BE4"/>
    <w:rsid w:val="00D3728F"/>
    <w:rsid w:val="00D37FB7"/>
    <w:rsid w:val="00D454FB"/>
    <w:rsid w:val="00D46EF4"/>
    <w:rsid w:val="00D50C41"/>
    <w:rsid w:val="00D52140"/>
    <w:rsid w:val="00D555F0"/>
    <w:rsid w:val="00D57F17"/>
    <w:rsid w:val="00D617D0"/>
    <w:rsid w:val="00D6351D"/>
    <w:rsid w:val="00D66AB9"/>
    <w:rsid w:val="00D745DD"/>
    <w:rsid w:val="00D82487"/>
    <w:rsid w:val="00D8338B"/>
    <w:rsid w:val="00D835D0"/>
    <w:rsid w:val="00D87271"/>
    <w:rsid w:val="00D93817"/>
    <w:rsid w:val="00D94D74"/>
    <w:rsid w:val="00D95152"/>
    <w:rsid w:val="00D97A0F"/>
    <w:rsid w:val="00DA1226"/>
    <w:rsid w:val="00DA1CD9"/>
    <w:rsid w:val="00DA3781"/>
    <w:rsid w:val="00DA43F9"/>
    <w:rsid w:val="00DA479A"/>
    <w:rsid w:val="00DA4A70"/>
    <w:rsid w:val="00DA4E70"/>
    <w:rsid w:val="00DA51AE"/>
    <w:rsid w:val="00DB04D0"/>
    <w:rsid w:val="00DB11F8"/>
    <w:rsid w:val="00DB3C67"/>
    <w:rsid w:val="00DB43FB"/>
    <w:rsid w:val="00DB56FD"/>
    <w:rsid w:val="00DB5F3A"/>
    <w:rsid w:val="00DC144E"/>
    <w:rsid w:val="00DC35C9"/>
    <w:rsid w:val="00DC7CE7"/>
    <w:rsid w:val="00DD6212"/>
    <w:rsid w:val="00DD7BF2"/>
    <w:rsid w:val="00DE3904"/>
    <w:rsid w:val="00DE3DBF"/>
    <w:rsid w:val="00DF1E5C"/>
    <w:rsid w:val="00DF3B09"/>
    <w:rsid w:val="00DF6D13"/>
    <w:rsid w:val="00E00AC7"/>
    <w:rsid w:val="00E017DC"/>
    <w:rsid w:val="00E01C6A"/>
    <w:rsid w:val="00E04594"/>
    <w:rsid w:val="00E063F6"/>
    <w:rsid w:val="00E073D2"/>
    <w:rsid w:val="00E1231B"/>
    <w:rsid w:val="00E12386"/>
    <w:rsid w:val="00E1275C"/>
    <w:rsid w:val="00E140FE"/>
    <w:rsid w:val="00E157FA"/>
    <w:rsid w:val="00E15E43"/>
    <w:rsid w:val="00E20B55"/>
    <w:rsid w:val="00E21186"/>
    <w:rsid w:val="00E2147C"/>
    <w:rsid w:val="00E2223B"/>
    <w:rsid w:val="00E234FA"/>
    <w:rsid w:val="00E23871"/>
    <w:rsid w:val="00E30867"/>
    <w:rsid w:val="00E30F5C"/>
    <w:rsid w:val="00E34606"/>
    <w:rsid w:val="00E34C0C"/>
    <w:rsid w:val="00E36372"/>
    <w:rsid w:val="00E433B8"/>
    <w:rsid w:val="00E436A5"/>
    <w:rsid w:val="00E51A57"/>
    <w:rsid w:val="00E5403A"/>
    <w:rsid w:val="00E56D93"/>
    <w:rsid w:val="00E6140C"/>
    <w:rsid w:val="00E61E3D"/>
    <w:rsid w:val="00E63398"/>
    <w:rsid w:val="00E711F8"/>
    <w:rsid w:val="00E73158"/>
    <w:rsid w:val="00E745EE"/>
    <w:rsid w:val="00E76B48"/>
    <w:rsid w:val="00E80A9E"/>
    <w:rsid w:val="00E81CA7"/>
    <w:rsid w:val="00E85974"/>
    <w:rsid w:val="00E87B12"/>
    <w:rsid w:val="00E92D7A"/>
    <w:rsid w:val="00E932F9"/>
    <w:rsid w:val="00EA08E8"/>
    <w:rsid w:val="00EA0D6F"/>
    <w:rsid w:val="00EA3222"/>
    <w:rsid w:val="00EA3491"/>
    <w:rsid w:val="00EA3B20"/>
    <w:rsid w:val="00EB1DD8"/>
    <w:rsid w:val="00EB3829"/>
    <w:rsid w:val="00EB5541"/>
    <w:rsid w:val="00EB679F"/>
    <w:rsid w:val="00EC0CC2"/>
    <w:rsid w:val="00EC1986"/>
    <w:rsid w:val="00EC2ABC"/>
    <w:rsid w:val="00ED2AB0"/>
    <w:rsid w:val="00ED3644"/>
    <w:rsid w:val="00ED579F"/>
    <w:rsid w:val="00ED60A8"/>
    <w:rsid w:val="00ED706A"/>
    <w:rsid w:val="00EE00C9"/>
    <w:rsid w:val="00EE0334"/>
    <w:rsid w:val="00EE5689"/>
    <w:rsid w:val="00EE7995"/>
    <w:rsid w:val="00EF038A"/>
    <w:rsid w:val="00EF09EE"/>
    <w:rsid w:val="00EF29AF"/>
    <w:rsid w:val="00EF376B"/>
    <w:rsid w:val="00EF7494"/>
    <w:rsid w:val="00EF7C11"/>
    <w:rsid w:val="00F00F04"/>
    <w:rsid w:val="00F026DF"/>
    <w:rsid w:val="00F02C9A"/>
    <w:rsid w:val="00F12F5C"/>
    <w:rsid w:val="00F13955"/>
    <w:rsid w:val="00F22BFB"/>
    <w:rsid w:val="00F30465"/>
    <w:rsid w:val="00F307A8"/>
    <w:rsid w:val="00F37FEE"/>
    <w:rsid w:val="00F4259F"/>
    <w:rsid w:val="00F43DD0"/>
    <w:rsid w:val="00F4474D"/>
    <w:rsid w:val="00F44B1B"/>
    <w:rsid w:val="00F45AD0"/>
    <w:rsid w:val="00F5129C"/>
    <w:rsid w:val="00F5306D"/>
    <w:rsid w:val="00F53519"/>
    <w:rsid w:val="00F53556"/>
    <w:rsid w:val="00F55368"/>
    <w:rsid w:val="00F56968"/>
    <w:rsid w:val="00F56985"/>
    <w:rsid w:val="00F60910"/>
    <w:rsid w:val="00F615CC"/>
    <w:rsid w:val="00F61D8D"/>
    <w:rsid w:val="00F638D5"/>
    <w:rsid w:val="00F672FF"/>
    <w:rsid w:val="00F72327"/>
    <w:rsid w:val="00F73E6D"/>
    <w:rsid w:val="00F74DA1"/>
    <w:rsid w:val="00F760CF"/>
    <w:rsid w:val="00F80BF9"/>
    <w:rsid w:val="00F81646"/>
    <w:rsid w:val="00F86992"/>
    <w:rsid w:val="00F9061E"/>
    <w:rsid w:val="00F920B2"/>
    <w:rsid w:val="00F9328D"/>
    <w:rsid w:val="00F9570F"/>
    <w:rsid w:val="00F95C17"/>
    <w:rsid w:val="00F95EB9"/>
    <w:rsid w:val="00F97F5F"/>
    <w:rsid w:val="00FA1A65"/>
    <w:rsid w:val="00FA1D16"/>
    <w:rsid w:val="00FA216F"/>
    <w:rsid w:val="00FA7D48"/>
    <w:rsid w:val="00FB0352"/>
    <w:rsid w:val="00FB237E"/>
    <w:rsid w:val="00FB2635"/>
    <w:rsid w:val="00FB2B72"/>
    <w:rsid w:val="00FC2CD0"/>
    <w:rsid w:val="00FC502C"/>
    <w:rsid w:val="00FC5454"/>
    <w:rsid w:val="00FC7C08"/>
    <w:rsid w:val="00FD2DB2"/>
    <w:rsid w:val="00FD798A"/>
    <w:rsid w:val="00FE2EF9"/>
    <w:rsid w:val="00FE2F90"/>
    <w:rsid w:val="00FF06D7"/>
    <w:rsid w:val="01235B96"/>
    <w:rsid w:val="02724848"/>
    <w:rsid w:val="02B12B4A"/>
    <w:rsid w:val="03502EE6"/>
    <w:rsid w:val="035212B0"/>
    <w:rsid w:val="043D4E77"/>
    <w:rsid w:val="04627780"/>
    <w:rsid w:val="06080B3E"/>
    <w:rsid w:val="072C03D9"/>
    <w:rsid w:val="07D61065"/>
    <w:rsid w:val="08FB7730"/>
    <w:rsid w:val="0C4F725E"/>
    <w:rsid w:val="0CD63F4C"/>
    <w:rsid w:val="0D565003"/>
    <w:rsid w:val="0DA47391"/>
    <w:rsid w:val="0E0255A5"/>
    <w:rsid w:val="0E502A89"/>
    <w:rsid w:val="0EE27862"/>
    <w:rsid w:val="0F390165"/>
    <w:rsid w:val="10B71BBB"/>
    <w:rsid w:val="122E666E"/>
    <w:rsid w:val="12D72E97"/>
    <w:rsid w:val="1322640A"/>
    <w:rsid w:val="141140C1"/>
    <w:rsid w:val="14201DA3"/>
    <w:rsid w:val="14EB5504"/>
    <w:rsid w:val="15CA538F"/>
    <w:rsid w:val="16566F14"/>
    <w:rsid w:val="18236DE3"/>
    <w:rsid w:val="18C535EB"/>
    <w:rsid w:val="19AF75C3"/>
    <w:rsid w:val="19B47531"/>
    <w:rsid w:val="19F17E3E"/>
    <w:rsid w:val="1A436249"/>
    <w:rsid w:val="1A56084A"/>
    <w:rsid w:val="1C584BB5"/>
    <w:rsid w:val="1D534116"/>
    <w:rsid w:val="1DE07D41"/>
    <w:rsid w:val="1E384068"/>
    <w:rsid w:val="1E3E4A94"/>
    <w:rsid w:val="1F8927A5"/>
    <w:rsid w:val="1F9352D3"/>
    <w:rsid w:val="1FD74821"/>
    <w:rsid w:val="21DC5877"/>
    <w:rsid w:val="22C81958"/>
    <w:rsid w:val="236554E0"/>
    <w:rsid w:val="24107A5A"/>
    <w:rsid w:val="24542F10"/>
    <w:rsid w:val="24FD2909"/>
    <w:rsid w:val="26272C81"/>
    <w:rsid w:val="28101DD7"/>
    <w:rsid w:val="282204A2"/>
    <w:rsid w:val="29625D2D"/>
    <w:rsid w:val="2CC74E7D"/>
    <w:rsid w:val="2DF002CB"/>
    <w:rsid w:val="2DF72B7C"/>
    <w:rsid w:val="2E2D0377"/>
    <w:rsid w:val="2F2E6FA7"/>
    <w:rsid w:val="2FD63906"/>
    <w:rsid w:val="312F0D78"/>
    <w:rsid w:val="31FE63E8"/>
    <w:rsid w:val="33ED0261"/>
    <w:rsid w:val="341C42FE"/>
    <w:rsid w:val="34DE6991"/>
    <w:rsid w:val="36D668E1"/>
    <w:rsid w:val="377F38B7"/>
    <w:rsid w:val="37E27FCD"/>
    <w:rsid w:val="388D0E31"/>
    <w:rsid w:val="3A105100"/>
    <w:rsid w:val="3A3E27E0"/>
    <w:rsid w:val="3B6D13C7"/>
    <w:rsid w:val="3BD614B7"/>
    <w:rsid w:val="3C91310E"/>
    <w:rsid w:val="3D081715"/>
    <w:rsid w:val="3DAF5796"/>
    <w:rsid w:val="3FD61700"/>
    <w:rsid w:val="40806B31"/>
    <w:rsid w:val="40C24288"/>
    <w:rsid w:val="40E5769E"/>
    <w:rsid w:val="410B1412"/>
    <w:rsid w:val="414D4665"/>
    <w:rsid w:val="451F28BB"/>
    <w:rsid w:val="46972220"/>
    <w:rsid w:val="471474C6"/>
    <w:rsid w:val="47BC1159"/>
    <w:rsid w:val="482A516C"/>
    <w:rsid w:val="485D1D78"/>
    <w:rsid w:val="490B5EDC"/>
    <w:rsid w:val="490E28AC"/>
    <w:rsid w:val="49173A99"/>
    <w:rsid w:val="49B354D8"/>
    <w:rsid w:val="49BE1140"/>
    <w:rsid w:val="4A7162AD"/>
    <w:rsid w:val="4CA07E5A"/>
    <w:rsid w:val="4CC872A8"/>
    <w:rsid w:val="4E130F95"/>
    <w:rsid w:val="4FFF2BF8"/>
    <w:rsid w:val="501C7677"/>
    <w:rsid w:val="50BB64D4"/>
    <w:rsid w:val="547835A9"/>
    <w:rsid w:val="54EF61F0"/>
    <w:rsid w:val="56260CE8"/>
    <w:rsid w:val="5689280E"/>
    <w:rsid w:val="56FE0BA9"/>
    <w:rsid w:val="58262DCD"/>
    <w:rsid w:val="591D02E2"/>
    <w:rsid w:val="5A0267A3"/>
    <w:rsid w:val="5A8B33BB"/>
    <w:rsid w:val="5A8D21F8"/>
    <w:rsid w:val="5AAA6B40"/>
    <w:rsid w:val="5B4B3AD8"/>
    <w:rsid w:val="5C204C1D"/>
    <w:rsid w:val="5CAE4E65"/>
    <w:rsid w:val="5D526412"/>
    <w:rsid w:val="5D9E43A6"/>
    <w:rsid w:val="5F082A72"/>
    <w:rsid w:val="5F2C7F1E"/>
    <w:rsid w:val="5F487ACD"/>
    <w:rsid w:val="602D4638"/>
    <w:rsid w:val="602D6CC3"/>
    <w:rsid w:val="614E2809"/>
    <w:rsid w:val="615B3C9D"/>
    <w:rsid w:val="61C80A51"/>
    <w:rsid w:val="630A55E2"/>
    <w:rsid w:val="637B3F00"/>
    <w:rsid w:val="6393509B"/>
    <w:rsid w:val="63F849E6"/>
    <w:rsid w:val="64322AF9"/>
    <w:rsid w:val="64806E67"/>
    <w:rsid w:val="6515592E"/>
    <w:rsid w:val="65366C57"/>
    <w:rsid w:val="653E7F1B"/>
    <w:rsid w:val="66503870"/>
    <w:rsid w:val="667353AA"/>
    <w:rsid w:val="67676D9A"/>
    <w:rsid w:val="67781E18"/>
    <w:rsid w:val="67E175F7"/>
    <w:rsid w:val="68B50461"/>
    <w:rsid w:val="698A0CE2"/>
    <w:rsid w:val="6C7260D4"/>
    <w:rsid w:val="6CBE46EF"/>
    <w:rsid w:val="6D875C64"/>
    <w:rsid w:val="6E86032E"/>
    <w:rsid w:val="6E864837"/>
    <w:rsid w:val="6E867F08"/>
    <w:rsid w:val="6EB97444"/>
    <w:rsid w:val="6F522849"/>
    <w:rsid w:val="705B7629"/>
    <w:rsid w:val="71163697"/>
    <w:rsid w:val="71884925"/>
    <w:rsid w:val="71A04DFD"/>
    <w:rsid w:val="71DE6993"/>
    <w:rsid w:val="721203BB"/>
    <w:rsid w:val="72695482"/>
    <w:rsid w:val="72715450"/>
    <w:rsid w:val="73365B24"/>
    <w:rsid w:val="73B66AC1"/>
    <w:rsid w:val="74F82C13"/>
    <w:rsid w:val="76A1350D"/>
    <w:rsid w:val="77031FBF"/>
    <w:rsid w:val="79F91D2C"/>
    <w:rsid w:val="7A7A487B"/>
    <w:rsid w:val="7AAE571C"/>
    <w:rsid w:val="7C127843"/>
    <w:rsid w:val="7C1976F0"/>
    <w:rsid w:val="7C6F7FEF"/>
    <w:rsid w:val="7F99649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Calibri"/>
      <w:kern w:val="2"/>
      <w:sz w:val="32"/>
      <w:szCs w:val="32"/>
      <w:lang w:val="en-US" w:eastAsia="zh-CN" w:bidi="ar-SA"/>
    </w:rPr>
  </w:style>
  <w:style w:type="paragraph" w:styleId="4">
    <w:name w:val="heading 1"/>
    <w:basedOn w:val="1"/>
    <w:next w:val="1"/>
    <w:qFormat/>
    <w:uiPriority w:val="1"/>
    <w:pPr>
      <w:spacing w:before="7"/>
      <w:ind w:left="1023"/>
      <w:outlineLvl w:val="0"/>
    </w:pPr>
    <w:rPr>
      <w:rFonts w:ascii="楷体_GB2312" w:hAnsi="楷体_GB2312" w:eastAsia="楷体_GB2312" w:cs="楷体_GB2312"/>
      <w:b/>
      <w:bCs/>
      <w:sz w:val="32"/>
      <w:szCs w:val="32"/>
      <w:lang w:val="zh-TW" w:eastAsia="zh-TW" w:bidi="zh-TW"/>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ind w:left="117"/>
      <w:jc w:val="left"/>
    </w:pPr>
    <w:rPr>
      <w:rFonts w:ascii="宋体" w:hAnsi="宋体" w:eastAsia="宋体" w:cs="Times New Roman"/>
      <w:kern w:val="0"/>
      <w:sz w:val="29"/>
      <w:szCs w:val="29"/>
    </w:rPr>
  </w:style>
  <w:style w:type="paragraph" w:styleId="3">
    <w:name w:val="toc 5"/>
    <w:basedOn w:val="1"/>
    <w:next w:val="1"/>
    <w:qFormat/>
    <w:uiPriority w:val="0"/>
    <w:pPr>
      <w:ind w:left="1680"/>
    </w:pPr>
  </w:style>
  <w:style w:type="paragraph" w:styleId="5">
    <w:name w:val="Date"/>
    <w:basedOn w:val="1"/>
    <w:next w:val="1"/>
    <w:link w:val="28"/>
    <w:qFormat/>
    <w:uiPriority w:val="99"/>
    <w:pPr>
      <w:ind w:left="100" w:leftChars="2500"/>
    </w:pPr>
  </w:style>
  <w:style w:type="paragraph" w:styleId="6">
    <w:name w:val="Balloon Text"/>
    <w:basedOn w:val="1"/>
    <w:link w:val="50"/>
    <w:semiHidden/>
    <w:qFormat/>
    <w:uiPriority w:val="99"/>
    <w:rPr>
      <w:sz w:val="18"/>
      <w:szCs w:val="18"/>
    </w:rPr>
  </w:style>
  <w:style w:type="paragraph" w:styleId="7">
    <w:name w:val="footer"/>
    <w:basedOn w:val="1"/>
    <w:link w:val="48"/>
    <w:qFormat/>
    <w:uiPriority w:val="99"/>
    <w:pPr>
      <w:tabs>
        <w:tab w:val="center" w:pos="4153"/>
        <w:tab w:val="right" w:pos="8306"/>
      </w:tabs>
      <w:snapToGrid w:val="0"/>
      <w:jc w:val="left"/>
    </w:pPr>
    <w:rPr>
      <w:sz w:val="18"/>
      <w:szCs w:val="18"/>
    </w:rPr>
  </w:style>
  <w:style w:type="paragraph" w:styleId="8">
    <w:name w:val="header"/>
    <w:basedOn w:val="1"/>
    <w:link w:val="49"/>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Indent 3"/>
    <w:basedOn w:val="1"/>
    <w:link w:val="38"/>
    <w:qFormat/>
    <w:uiPriority w:val="99"/>
    <w:pPr>
      <w:spacing w:after="120"/>
      <w:ind w:left="420" w:leftChars="200"/>
    </w:pPr>
    <w:rPr>
      <w:rFonts w:ascii="Times New Roman" w:hAnsi="Times New Roman" w:eastAsia="宋体" w:cs="Times New Roman"/>
      <w:sz w:val="16"/>
      <w:szCs w:val="16"/>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1">
    <w:name w:val="Normal (Web)"/>
    <w:basedOn w:val="1"/>
    <w:qFormat/>
    <w:uiPriority w:val="99"/>
    <w:pPr>
      <w:widowControl/>
      <w:spacing w:before="75" w:line="432" w:lineRule="atLeast"/>
      <w:jc w:val="left"/>
    </w:pPr>
    <w:rPr>
      <w:rFonts w:ascii="宋体" w:hAnsi="宋体" w:cs="宋体"/>
      <w:kern w:val="0"/>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99"/>
    <w:rPr>
      <w:b/>
      <w:bCs/>
    </w:rPr>
  </w:style>
  <w:style w:type="character" w:styleId="16">
    <w:name w:val="page number"/>
    <w:basedOn w:val="14"/>
    <w:qFormat/>
    <w:uiPriority w:val="99"/>
  </w:style>
  <w:style w:type="character" w:styleId="17">
    <w:name w:val="FollowedHyperlink"/>
    <w:basedOn w:val="14"/>
    <w:semiHidden/>
    <w:unhideWhenUsed/>
    <w:qFormat/>
    <w:uiPriority w:val="99"/>
    <w:rPr>
      <w:color w:val="800080"/>
      <w:u w:val="single"/>
    </w:rPr>
  </w:style>
  <w:style w:type="character" w:styleId="18">
    <w:name w:val="Hyperlink"/>
    <w:basedOn w:val="14"/>
    <w:qFormat/>
    <w:uiPriority w:val="99"/>
    <w:rPr>
      <w:color w:val="0000FF"/>
      <w:u w:val="single"/>
    </w:rPr>
  </w:style>
  <w:style w:type="character" w:customStyle="1" w:styleId="19">
    <w:name w:val="Header Char"/>
    <w:basedOn w:val="14"/>
    <w:semiHidden/>
    <w:qFormat/>
    <w:uiPriority w:val="99"/>
    <w:rPr>
      <w:rFonts w:eastAsia="仿宋_GB2312" w:cs="Calibri"/>
      <w:sz w:val="18"/>
      <w:szCs w:val="18"/>
    </w:rPr>
  </w:style>
  <w:style w:type="character" w:customStyle="1" w:styleId="20">
    <w:name w:val="Header Char1"/>
    <w:qFormat/>
    <w:locked/>
    <w:uiPriority w:val="99"/>
    <w:rPr>
      <w:kern w:val="2"/>
      <w:sz w:val="18"/>
      <w:szCs w:val="18"/>
    </w:rPr>
  </w:style>
  <w:style w:type="character" w:customStyle="1" w:styleId="21">
    <w:name w:val="Footer Char"/>
    <w:basedOn w:val="14"/>
    <w:semiHidden/>
    <w:qFormat/>
    <w:uiPriority w:val="99"/>
    <w:rPr>
      <w:rFonts w:eastAsia="仿宋_GB2312" w:cs="Calibri"/>
      <w:sz w:val="18"/>
      <w:szCs w:val="18"/>
    </w:rPr>
  </w:style>
  <w:style w:type="character" w:customStyle="1" w:styleId="22">
    <w:name w:val="Footer Char1"/>
    <w:qFormat/>
    <w:locked/>
    <w:uiPriority w:val="99"/>
    <w:rPr>
      <w:kern w:val="2"/>
      <w:sz w:val="18"/>
      <w:szCs w:val="18"/>
    </w:rPr>
  </w:style>
  <w:style w:type="paragraph" w:customStyle="1" w:styleId="23">
    <w:name w:val="0"/>
    <w:basedOn w:val="1"/>
    <w:qFormat/>
    <w:uiPriority w:val="99"/>
    <w:pPr>
      <w:widowControl/>
      <w:snapToGrid w:val="0"/>
    </w:pPr>
    <w:rPr>
      <w:rFonts w:ascii="Times New Roman" w:hAnsi="Times New Roman" w:cs="Times New Roman"/>
      <w:kern w:val="0"/>
    </w:rPr>
  </w:style>
  <w:style w:type="character" w:customStyle="1" w:styleId="24">
    <w:name w:val="Balloon Text Char"/>
    <w:basedOn w:val="14"/>
    <w:semiHidden/>
    <w:qFormat/>
    <w:uiPriority w:val="99"/>
    <w:rPr>
      <w:rFonts w:eastAsia="仿宋_GB2312" w:cs="Calibri"/>
      <w:sz w:val="0"/>
      <w:szCs w:val="0"/>
    </w:rPr>
  </w:style>
  <w:style w:type="character" w:customStyle="1" w:styleId="25">
    <w:name w:val="Balloon Text Char1"/>
    <w:semiHidden/>
    <w:qFormat/>
    <w:locked/>
    <w:uiPriority w:val="99"/>
    <w:rPr>
      <w:kern w:val="2"/>
      <w:sz w:val="18"/>
      <w:szCs w:val="18"/>
    </w:rPr>
  </w:style>
  <w:style w:type="paragraph" w:customStyle="1" w:styleId="26">
    <w:name w:val="Char"/>
    <w:basedOn w:val="1"/>
    <w:semiHidden/>
    <w:qFormat/>
    <w:uiPriority w:val="99"/>
    <w:rPr>
      <w:rFonts w:ascii="Times New Roman" w:hAnsi="Times New Roman" w:cs="Times New Roman"/>
    </w:rPr>
  </w:style>
  <w:style w:type="paragraph" w:customStyle="1" w:styleId="27">
    <w:name w:val="列出段落"/>
    <w:basedOn w:val="1"/>
    <w:qFormat/>
    <w:uiPriority w:val="99"/>
    <w:pPr>
      <w:ind w:firstLine="420" w:firstLineChars="200"/>
    </w:pPr>
    <w:rPr>
      <w:rFonts w:eastAsia="宋体"/>
    </w:rPr>
  </w:style>
  <w:style w:type="character" w:customStyle="1" w:styleId="28">
    <w:name w:val="日期 字符"/>
    <w:basedOn w:val="14"/>
    <w:link w:val="5"/>
    <w:semiHidden/>
    <w:qFormat/>
    <w:uiPriority w:val="99"/>
    <w:rPr>
      <w:rFonts w:eastAsia="仿宋_GB2312" w:cs="Calibri"/>
      <w:sz w:val="32"/>
      <w:szCs w:val="32"/>
    </w:rPr>
  </w:style>
  <w:style w:type="paragraph" w:customStyle="1" w:styleId="29">
    <w:name w:val="p0"/>
    <w:basedOn w:val="1"/>
    <w:qFormat/>
    <w:uiPriority w:val="99"/>
    <w:pPr>
      <w:widowControl/>
    </w:pPr>
    <w:rPr>
      <w:rFonts w:eastAsia="宋体"/>
      <w:kern w:val="0"/>
      <w:sz w:val="21"/>
      <w:szCs w:val="21"/>
    </w:rPr>
  </w:style>
  <w:style w:type="character" w:customStyle="1" w:styleId="30">
    <w:name w:val="font11"/>
    <w:basedOn w:val="14"/>
    <w:qFormat/>
    <w:uiPriority w:val="99"/>
    <w:rPr>
      <w:rFonts w:ascii="宋体" w:hAnsi="宋体" w:eastAsia="宋体" w:cs="宋体"/>
      <w:b/>
      <w:bCs/>
      <w:color w:val="000000"/>
      <w:sz w:val="22"/>
      <w:szCs w:val="22"/>
      <w:u w:val="none"/>
    </w:rPr>
  </w:style>
  <w:style w:type="character" w:customStyle="1" w:styleId="31">
    <w:name w:val="font21"/>
    <w:basedOn w:val="14"/>
    <w:qFormat/>
    <w:uiPriority w:val="99"/>
    <w:rPr>
      <w:rFonts w:ascii="宋体" w:hAnsi="宋体" w:eastAsia="宋体" w:cs="宋体"/>
      <w:color w:val="000000"/>
      <w:sz w:val="22"/>
      <w:szCs w:val="22"/>
      <w:u w:val="none"/>
    </w:rPr>
  </w:style>
  <w:style w:type="character" w:customStyle="1" w:styleId="32">
    <w:name w:val="font01"/>
    <w:basedOn w:val="14"/>
    <w:qFormat/>
    <w:uiPriority w:val="99"/>
    <w:rPr>
      <w:rFonts w:ascii="宋体" w:hAnsi="宋体" w:eastAsia="宋体" w:cs="宋体"/>
      <w:color w:val="000000"/>
      <w:sz w:val="22"/>
      <w:szCs w:val="22"/>
      <w:u w:val="none"/>
    </w:rPr>
  </w:style>
  <w:style w:type="character" w:customStyle="1" w:styleId="33">
    <w:name w:val="font31"/>
    <w:basedOn w:val="14"/>
    <w:qFormat/>
    <w:uiPriority w:val="99"/>
    <w:rPr>
      <w:rFonts w:ascii="仿宋_GB2312" w:eastAsia="仿宋_GB2312" w:cs="仿宋_GB2312"/>
      <w:b/>
      <w:bCs/>
      <w:color w:val="000000"/>
      <w:sz w:val="22"/>
      <w:szCs w:val="22"/>
      <w:u w:val="none"/>
    </w:rPr>
  </w:style>
  <w:style w:type="character" w:customStyle="1" w:styleId="34">
    <w:name w:val="font41"/>
    <w:basedOn w:val="14"/>
    <w:qFormat/>
    <w:uiPriority w:val="99"/>
    <w:rPr>
      <w:rFonts w:ascii="仿宋_GB2312" w:eastAsia="仿宋_GB2312" w:cs="仿宋_GB2312"/>
      <w:color w:val="000000"/>
      <w:sz w:val="22"/>
      <w:szCs w:val="22"/>
      <w:u w:val="none"/>
    </w:rPr>
  </w:style>
  <w:style w:type="paragraph" w:customStyle="1" w:styleId="35">
    <w:name w:val="列表段落1"/>
    <w:basedOn w:val="1"/>
    <w:qFormat/>
    <w:uiPriority w:val="99"/>
    <w:pPr>
      <w:ind w:firstLine="420" w:firstLineChars="200"/>
    </w:pPr>
    <w:rPr>
      <w:rFonts w:ascii="等线" w:hAnsi="等线" w:eastAsia="等线" w:cs="等线"/>
      <w:sz w:val="21"/>
      <w:szCs w:val="21"/>
    </w:rPr>
  </w:style>
  <w:style w:type="paragraph" w:customStyle="1" w:styleId="36">
    <w:name w:val="p17"/>
    <w:basedOn w:val="1"/>
    <w:qFormat/>
    <w:uiPriority w:val="99"/>
    <w:pPr>
      <w:widowControl/>
      <w:spacing w:before="100" w:after="100"/>
      <w:jc w:val="left"/>
    </w:pPr>
    <w:rPr>
      <w:rFonts w:ascii="宋体" w:hAnsi="宋体" w:eastAsia="宋体" w:cs="宋体"/>
      <w:kern w:val="0"/>
      <w:sz w:val="24"/>
      <w:szCs w:val="24"/>
    </w:rPr>
  </w:style>
  <w:style w:type="paragraph" w:customStyle="1" w:styleId="37">
    <w:name w:val="p16"/>
    <w:basedOn w:val="1"/>
    <w:qFormat/>
    <w:uiPriority w:val="99"/>
    <w:pPr>
      <w:widowControl/>
      <w:spacing w:before="100" w:after="100"/>
      <w:jc w:val="left"/>
    </w:pPr>
    <w:rPr>
      <w:rFonts w:ascii="宋体" w:hAnsi="宋体" w:eastAsia="宋体" w:cs="宋体"/>
      <w:kern w:val="0"/>
      <w:sz w:val="24"/>
      <w:szCs w:val="24"/>
    </w:rPr>
  </w:style>
  <w:style w:type="character" w:customStyle="1" w:styleId="38">
    <w:name w:val="正文文本缩进 3 字符"/>
    <w:basedOn w:val="14"/>
    <w:link w:val="9"/>
    <w:semiHidden/>
    <w:qFormat/>
    <w:uiPriority w:val="99"/>
    <w:rPr>
      <w:rFonts w:eastAsia="仿宋_GB2312" w:cs="Calibri"/>
      <w:sz w:val="16"/>
      <w:szCs w:val="16"/>
    </w:rPr>
  </w:style>
  <w:style w:type="character" w:customStyle="1" w:styleId="39">
    <w:name w:val="15"/>
    <w:basedOn w:val="14"/>
    <w:qFormat/>
    <w:uiPriority w:val="99"/>
    <w:rPr>
      <w:rFonts w:ascii="Calibri" w:hAnsi="Calibri" w:cs="Calibri"/>
      <w:color w:val="0000FF"/>
      <w:u w:val="single"/>
    </w:rPr>
  </w:style>
  <w:style w:type="character" w:customStyle="1" w:styleId="40">
    <w:name w:val="font61"/>
    <w:basedOn w:val="14"/>
    <w:qFormat/>
    <w:uiPriority w:val="99"/>
    <w:rPr>
      <w:rFonts w:ascii="宋体" w:hAnsi="宋体" w:eastAsia="宋体" w:cs="宋体"/>
      <w:color w:val="000000"/>
      <w:sz w:val="24"/>
      <w:szCs w:val="24"/>
      <w:u w:val="none"/>
    </w:rPr>
  </w:style>
  <w:style w:type="paragraph" w:customStyle="1" w:styleId="41">
    <w:name w:val="Default"/>
    <w:basedOn w:val="1"/>
    <w:qFormat/>
    <w:uiPriority w:val="99"/>
    <w:pPr>
      <w:autoSpaceDE w:val="0"/>
      <w:autoSpaceDN w:val="0"/>
      <w:adjustRightInd w:val="0"/>
      <w:jc w:val="left"/>
    </w:pPr>
    <w:rPr>
      <w:rFonts w:ascii="仿宋_GB2312" w:cs="仿宋_GB2312"/>
      <w:color w:val="000000"/>
      <w:kern w:val="0"/>
      <w:sz w:val="24"/>
      <w:szCs w:val="24"/>
    </w:rPr>
  </w:style>
  <w:style w:type="paragraph" w:customStyle="1" w:styleId="42">
    <w:name w:val="公文正文"/>
    <w:basedOn w:val="1"/>
    <w:qFormat/>
    <w:uiPriority w:val="99"/>
    <w:pPr>
      <w:ind w:firstLine="200" w:firstLineChars="200"/>
    </w:pPr>
    <w:rPr>
      <w:rFonts w:ascii="Times New Roman" w:hAnsi="Times New Roman" w:cs="Times New Roman"/>
      <w:sz w:val="30"/>
      <w:szCs w:val="30"/>
    </w:rPr>
  </w:style>
  <w:style w:type="character" w:customStyle="1" w:styleId="43">
    <w:name w:val="font91"/>
    <w:basedOn w:val="14"/>
    <w:qFormat/>
    <w:uiPriority w:val="99"/>
    <w:rPr>
      <w:rFonts w:ascii="微软雅黑" w:hAnsi="微软雅黑" w:eastAsia="微软雅黑" w:cs="微软雅黑"/>
      <w:color w:val="000000"/>
      <w:sz w:val="18"/>
      <w:szCs w:val="18"/>
      <w:u w:val="none"/>
    </w:rPr>
  </w:style>
  <w:style w:type="character" w:customStyle="1" w:styleId="44">
    <w:name w:val="font81"/>
    <w:basedOn w:val="14"/>
    <w:qFormat/>
    <w:uiPriority w:val="99"/>
    <w:rPr>
      <w:rFonts w:ascii="宋体" w:hAnsi="宋体" w:eastAsia="宋体" w:cs="宋体"/>
      <w:color w:val="000000"/>
      <w:sz w:val="18"/>
      <w:szCs w:val="18"/>
      <w:u w:val="none"/>
    </w:rPr>
  </w:style>
  <w:style w:type="character" w:customStyle="1" w:styleId="45">
    <w:name w:val="font71"/>
    <w:basedOn w:val="14"/>
    <w:qFormat/>
    <w:uiPriority w:val="99"/>
    <w:rPr>
      <w:rFonts w:ascii="Times New Roman" w:hAnsi="Times New Roman" w:cs="Times New Roman"/>
      <w:color w:val="000000"/>
      <w:sz w:val="18"/>
      <w:szCs w:val="18"/>
      <w:u w:val="none"/>
    </w:rPr>
  </w:style>
  <w:style w:type="character" w:customStyle="1" w:styleId="46">
    <w:name w:val="font51"/>
    <w:basedOn w:val="14"/>
    <w:qFormat/>
    <w:uiPriority w:val="0"/>
    <w:rPr>
      <w:rFonts w:hint="eastAsia" w:ascii="仿宋_GB2312" w:eastAsia="仿宋_GB2312" w:cs="仿宋_GB2312"/>
      <w:color w:val="000000"/>
      <w:sz w:val="21"/>
      <w:szCs w:val="21"/>
      <w:u w:val="none"/>
    </w:rPr>
  </w:style>
  <w:style w:type="character" w:customStyle="1" w:styleId="47">
    <w:name w:val="font101"/>
    <w:basedOn w:val="14"/>
    <w:qFormat/>
    <w:uiPriority w:val="0"/>
    <w:rPr>
      <w:rFonts w:hint="eastAsia" w:ascii="方正书宋_GBK" w:hAnsi="方正书宋_GBK" w:eastAsia="方正书宋_GBK" w:cs="方正书宋_GBK"/>
      <w:color w:val="000000"/>
      <w:sz w:val="21"/>
      <w:szCs w:val="21"/>
      <w:u w:val="none"/>
    </w:rPr>
  </w:style>
  <w:style w:type="character" w:customStyle="1" w:styleId="48">
    <w:name w:val="页脚 字符"/>
    <w:basedOn w:val="14"/>
    <w:link w:val="7"/>
    <w:qFormat/>
    <w:uiPriority w:val="0"/>
    <w:rPr>
      <w:rFonts w:hint="eastAsia" w:ascii="仿宋_GB2312" w:eastAsia="仿宋_GB2312" w:cs="仿宋_GB2312"/>
      <w:kern w:val="2"/>
      <w:sz w:val="18"/>
      <w:szCs w:val="18"/>
      <w:lang w:val="en-US" w:eastAsia="zh-CN" w:bidi="ar"/>
    </w:rPr>
  </w:style>
  <w:style w:type="character" w:customStyle="1" w:styleId="49">
    <w:name w:val="页眉 字符"/>
    <w:basedOn w:val="14"/>
    <w:link w:val="8"/>
    <w:qFormat/>
    <w:uiPriority w:val="0"/>
    <w:rPr>
      <w:rFonts w:hint="eastAsia" w:ascii="仿宋_GB2312" w:eastAsia="仿宋_GB2312" w:cs="仿宋_GB2312"/>
      <w:kern w:val="2"/>
      <w:sz w:val="18"/>
      <w:szCs w:val="18"/>
      <w:lang w:val="en-US" w:eastAsia="zh-CN" w:bidi="ar"/>
    </w:rPr>
  </w:style>
  <w:style w:type="character" w:customStyle="1" w:styleId="50">
    <w:name w:val="批注框文本 字符"/>
    <w:basedOn w:val="14"/>
    <w:link w:val="6"/>
    <w:qFormat/>
    <w:uiPriority w:val="0"/>
    <w:rPr>
      <w:rFonts w:hint="eastAsia" w:ascii="仿宋_GB2312" w:eastAsia="仿宋_GB2312" w:cs="仿宋_GB2312"/>
      <w:kern w:val="2"/>
      <w:sz w:val="18"/>
      <w:szCs w:val="18"/>
      <w:lang w:val="en-US" w:eastAsia="zh-CN" w:bidi="ar"/>
    </w:rPr>
  </w:style>
  <w:style w:type="paragraph" w:customStyle="1" w:styleId="51">
    <w:name w:val="NormalNormal"/>
    <w:qFormat/>
    <w:uiPriority w:val="0"/>
    <w:pPr>
      <w:widowControl w:val="0"/>
      <w:jc w:val="both"/>
    </w:pPr>
    <w:rPr>
      <w:rFonts w:ascii="Calibri" w:hAnsi="Calibri" w:eastAsia="宋体" w:cs="Times New Roman"/>
      <w:kern w:val="2"/>
      <w:sz w:val="21"/>
      <w:szCs w:val="24"/>
      <w:lang w:val="en-US" w:eastAsia="zh-CN" w:bidi="ar-SA"/>
    </w:rPr>
  </w:style>
  <w:style w:type="paragraph" w:customStyle="1" w:styleId="52">
    <w:name w:val="正文-公1"/>
    <w:basedOn w:val="1"/>
    <w:qFormat/>
    <w:uiPriority w:val="99"/>
    <w:pPr>
      <w:ind w:firstLine="200" w:firstLineChars="200"/>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济南市人民政府</Company>
  <Pages>9</Pages>
  <Words>2353</Words>
  <Characters>2412</Characters>
  <Lines>32</Lines>
  <Paragraphs>9</Paragraphs>
  <TotalTime>1</TotalTime>
  <ScaleCrop>false</ScaleCrop>
  <LinksUpToDate>false</LinksUpToDate>
  <CharactersWithSpaces>2412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2025-09-22T09:21:00Z</dcterms:created>
  <dc:creator>lhz</dc:creator>
  <cp:lastModifiedBy>如阳光般明媚</cp:lastModifiedBy>
  <cp:lastPrinted>2024-01-11T06:35:00Z</cp:lastPrinted>
  <dcterms:modified xsi:type="dcterms:W3CDTF">2026-08-25T07:50:35Z</dcterms:modified>
  <dc:title>中共济南市水利局党组文件</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4E0769A033B84E059D1319C674FA2278_13</vt:lpwstr>
  </property>
  <property fmtid="{D5CDD505-2E9C-101B-9397-08002B2CF9AE}" pid="4" name="KSOTemplateDocerSaveRecord">
    <vt:lpwstr>eyJoZGlkIjoiMzhkMTY5ZTg5NmQzYzQ5ZWQ4MzhmN2JlZWRkZjA4MWYiLCJ1c2VySWQiOiIzNTk0Nzk3NTcifQ==</vt:lpwstr>
  </property>
</Properties>
</file>